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pacing w:val="10"/>
          <w:sz w:val="30"/>
          <w:szCs w:val="30"/>
        </w:rPr>
      </w:pPr>
      <w:r>
        <w:rPr>
          <w:rFonts w:hint="eastAsia" w:ascii="黑体" w:hAnsi="黑体" w:eastAsia="黑体" w:cs="黑体"/>
          <w:spacing w:val="10"/>
          <w:sz w:val="30"/>
          <w:szCs w:val="30"/>
        </w:rPr>
        <w:t>附件2</w:t>
      </w:r>
    </w:p>
    <w:p>
      <w:pPr>
        <w:spacing w:before="156" w:beforeLines="50" w:after="156" w:afterLines="50" w:line="600" w:lineRule="exact"/>
        <w:jc w:val="center"/>
        <w:rPr>
          <w:rFonts w:hint="eastAsia" w:ascii="方正小标宋_GBK" w:hAnsi="方正小标宋_GBK" w:eastAsia="方正小标宋_GBK" w:cs="方正小标宋_GBK"/>
          <w:spacing w:val="16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spacing w:val="16"/>
          <w:sz w:val="42"/>
          <w:szCs w:val="42"/>
        </w:rPr>
        <w:t>2019年度政府信息公开情况统计表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8"/>
        <w:gridCol w:w="1100"/>
        <w:gridCol w:w="16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ascii="黑体" w:hAnsi="黑体" w:eastAsia="黑体"/>
                <w:color w:val="000000"/>
                <w:sz w:val="30"/>
                <w:szCs w:val="30"/>
              </w:rPr>
              <w:t>统 计 指 标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ascii="黑体" w:hAnsi="黑体" w:eastAsia="黑体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ascii="黑体" w:hAnsi="黑体" w:eastAsia="黑体"/>
                <w:color w:val="000000"/>
                <w:sz w:val="30"/>
                <w:szCs w:val="30"/>
              </w:rPr>
              <w:t>统计数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一、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信息发布</w:t>
            </w:r>
            <w:r>
              <w:rPr>
                <w:rFonts w:ascii="黑体" w:hAnsi="黑体" w:eastAsia="黑体"/>
                <w:color w:val="000000"/>
                <w:sz w:val="24"/>
              </w:rPr>
              <w:t>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（一）主动公开政府信息数</w:t>
            </w:r>
          </w:p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（不同渠道和方式公开相同信息计1条）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142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（二）通过不同渠道和方式公开政府信息的情况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1.政府公报公开政府信息数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2.政府网站公开政府信息数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142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3.政务微博公开政府信息数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4.政务微信公开政府信息数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5.政务客户端公开政府信息数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6.其他方式公开政府信息数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（三）建议提案办理结果公开情况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1.人大代表建议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2.政协提案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（四）政府信息动态管理情况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1.依申请公开信息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7条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2.解密公开信息数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（五）重大决策预公开情况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1.重大决策征集公众意见次数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2.公众反馈意见次数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3.征集到意见数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4.不予采纳意见数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二、回应解读情况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（一）回应公众关注热点或重大舆情数</w:t>
            </w:r>
          </w:p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（不同方式回应同一热点或舆情计1次）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（二）通过不同渠道和方式回应解读的情况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1.参加或举办新闻发布会总次数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其中：主要负责同志参加新闻发布会次数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2.政府网站在线访谈次数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其中：主要负责同志参加政府网站在线访谈次数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3.主要负责同志解读政策数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4.政策解读稿件发布数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篇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5.微博微信回应事件数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6.其他方式回应事件数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（三）会议开放情况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1.面向公众开放会议次数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2.参会公众代表人数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0人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三</w:t>
            </w:r>
            <w:r>
              <w:rPr>
                <w:rFonts w:ascii="黑体" w:hAnsi="黑体" w:eastAsia="黑体"/>
                <w:color w:val="000000"/>
                <w:sz w:val="24"/>
              </w:rPr>
              <w:t>、举报投诉数量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ascii="仿宋_GB2312" w:hAnsi="仿宋_GB2312" w:eastAsia="仿宋_GB2312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四</w:t>
            </w:r>
            <w:r>
              <w:rPr>
                <w:rFonts w:ascii="黑体" w:hAnsi="黑体" w:eastAsia="黑体"/>
                <w:color w:val="000000"/>
                <w:sz w:val="24"/>
              </w:rPr>
              <w:t>、机构建设和保障经费情况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（一）政府信息公开工作专门机构数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1个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（二）设置政府信息公开查阅点数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1个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（三）从事政府信息公开工作人员数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2人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1.专职人员数（不包括政府公报及政府网站工作</w:t>
            </w:r>
          </w:p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人员数）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0人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2.兼职人数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2人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E1FA1"/>
    <w:rsid w:val="69973F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王进</cp:lastModifiedBy>
  <dcterms:modified xsi:type="dcterms:W3CDTF">2020-01-19T06:58:47Z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