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 xml:space="preserve">附件2：  </w:t>
      </w:r>
    </w:p>
    <w:p>
      <w:pPr>
        <w:keepNext w:val="0"/>
        <w:keepLines w:val="0"/>
        <w:pageBreakBefore w:val="0"/>
        <w:kinsoku/>
        <w:wordWrap/>
        <w:overflowPunct/>
        <w:topLinePunct w:val="0"/>
        <w:autoSpaceDE/>
        <w:autoSpaceDN/>
        <w:bidi w:val="0"/>
        <w:adjustRightInd/>
        <w:snapToGrid/>
        <w:spacing w:line="560" w:lineRule="exact"/>
        <w:jc w:val="center"/>
      </w:pPr>
      <w:bookmarkStart w:id="0" w:name="_GoBack"/>
      <w:r>
        <w:rPr>
          <w:rFonts w:hint="eastAsia" w:ascii="方正小标宋简体" w:hAnsi="方正小标宋简体" w:eastAsia="方正小标宋简体" w:cs="方正小标宋简体"/>
          <w:sz w:val="44"/>
          <w:szCs w:val="44"/>
          <w:lang w:val="en-US" w:eastAsia="zh-CN" w:bidi="ar-SA"/>
        </w:rPr>
        <w:t>花溪区2024年创建县域节水型社会责任分解表</w:t>
      </w:r>
    </w:p>
    <w:bookmarkEnd w:id="0"/>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
        <w:gridCol w:w="734"/>
        <w:gridCol w:w="1448"/>
        <w:gridCol w:w="2409"/>
        <w:gridCol w:w="3595"/>
        <w:gridCol w:w="4229"/>
        <w:gridCol w:w="1125"/>
        <w:gridCol w:w="728"/>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132"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35"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评价类别</w:t>
            </w:r>
          </w:p>
        </w:tc>
        <w:tc>
          <w:tcPr>
            <w:tcW w:w="46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评价内容</w:t>
            </w:r>
          </w:p>
        </w:tc>
        <w:tc>
          <w:tcPr>
            <w:tcW w:w="77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赋分标准</w:t>
            </w:r>
          </w:p>
        </w:tc>
        <w:tc>
          <w:tcPr>
            <w:tcW w:w="115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现状</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应提交材料清单</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负责单位</w:t>
            </w:r>
          </w:p>
        </w:tc>
        <w:tc>
          <w:tcPr>
            <w:tcW w:w="23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分值</w:t>
            </w:r>
          </w:p>
        </w:tc>
        <w:tc>
          <w:tcPr>
            <w:tcW w:w="298"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698" w:type="pct"/>
            <w:gridSpan w:val="2"/>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必备条件</w:t>
            </w:r>
          </w:p>
        </w:tc>
        <w:tc>
          <w:tcPr>
            <w:tcW w:w="77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1.制定县域节水型社会达标建设实施方案，明确达标建设目标任务、责任分工和完成时限</w:t>
            </w:r>
          </w:p>
        </w:tc>
        <w:tc>
          <w:tcPr>
            <w:tcW w:w="2505" w:type="pct"/>
            <w:gridSpan w:val="2"/>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建设实施方案</w:t>
            </w:r>
            <w:r>
              <w:rPr>
                <w:rFonts w:hint="eastAsia" w:ascii="宋体" w:hAnsi="宋体" w:eastAsia="宋体" w:cs="宋体"/>
                <w:i w:val="0"/>
                <w:iCs w:val="0"/>
                <w:color w:val="auto"/>
                <w:sz w:val="18"/>
                <w:szCs w:val="18"/>
                <w:u w:val="single"/>
              </w:rPr>
              <w:t xml:space="preserve">  </w:t>
            </w:r>
            <w:r>
              <w:rPr>
                <w:rFonts w:hint="eastAsia" w:ascii="宋体" w:hAnsi="宋体" w:cs="宋体"/>
                <w:i w:val="0"/>
                <w:iCs w:val="0"/>
                <w:color w:val="auto"/>
                <w:sz w:val="18"/>
                <w:szCs w:val="18"/>
                <w:u w:val="single"/>
                <w:lang w:eastAsia="zh-CN"/>
              </w:rPr>
              <w:t>☑</w:t>
            </w:r>
            <w:r>
              <w:rPr>
                <w:rFonts w:hint="eastAsia" w:ascii="宋体" w:hAnsi="宋体" w:eastAsia="宋体" w:cs="宋体"/>
                <w:i w:val="0"/>
                <w:iCs w:val="0"/>
                <w:color w:val="auto"/>
                <w:sz w:val="18"/>
                <w:szCs w:val="18"/>
                <w:u w:val="single"/>
              </w:rPr>
              <w:t xml:space="preserve">是 / □否  </w:t>
            </w:r>
            <w:r>
              <w:rPr>
                <w:rFonts w:hint="eastAsia" w:ascii="宋体" w:hAnsi="宋体" w:eastAsia="宋体" w:cs="宋体"/>
                <w:i w:val="0"/>
                <w:iCs w:val="0"/>
                <w:color w:val="auto"/>
                <w:sz w:val="18"/>
                <w:szCs w:val="18"/>
                <w:u w:val="none"/>
              </w:rPr>
              <w:t>明确达标建设目标任务</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区水务局确认）</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建设实施方案</w:t>
            </w:r>
            <w:r>
              <w:rPr>
                <w:rStyle w:val="7"/>
                <w:color w:val="auto"/>
                <w:sz w:val="18"/>
                <w:szCs w:val="18"/>
                <w:u w:val="single"/>
                <w:lang w:val="en-US" w:eastAsia="zh-CN" w:bidi="ar"/>
              </w:rPr>
              <w:t xml:space="preserve">  </w:t>
            </w:r>
            <w:r>
              <w:rPr>
                <w:rStyle w:val="7"/>
                <w:color w:val="auto"/>
                <w:sz w:val="18"/>
                <w:szCs w:val="18"/>
                <w:lang w:val="en-US" w:eastAsia="zh-CN" w:bidi="ar"/>
              </w:rPr>
              <w:t>☑是</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□否</w:t>
            </w:r>
            <w:r>
              <w:rPr>
                <w:rStyle w:val="7"/>
                <w:color w:val="auto"/>
                <w:sz w:val="18"/>
                <w:szCs w:val="18"/>
                <w:u w:val="single"/>
                <w:lang w:val="en-US" w:eastAsia="zh-CN" w:bidi="ar"/>
              </w:rPr>
              <w:t xml:space="preserve">  </w:t>
            </w:r>
            <w:r>
              <w:rPr>
                <w:rStyle w:val="6"/>
                <w:color w:val="auto"/>
                <w:sz w:val="18"/>
                <w:szCs w:val="18"/>
                <w:lang w:val="en-US" w:eastAsia="zh-CN" w:bidi="ar"/>
              </w:rPr>
              <w:t>责任分工和完成时限</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区水务局确认）</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建设实施方案</w:t>
            </w:r>
            <w:r>
              <w:rPr>
                <w:rStyle w:val="7"/>
                <w:color w:val="auto"/>
                <w:sz w:val="18"/>
                <w:szCs w:val="18"/>
                <w:u w:val="single"/>
                <w:lang w:val="en-US" w:eastAsia="zh-CN" w:bidi="ar"/>
              </w:rPr>
              <w:t xml:space="preserve">  </w:t>
            </w:r>
            <w:r>
              <w:rPr>
                <w:rStyle w:val="7"/>
                <w:color w:val="auto"/>
                <w:sz w:val="18"/>
                <w:szCs w:val="18"/>
                <w:lang w:val="en-US" w:eastAsia="zh-CN" w:bidi="ar"/>
              </w:rPr>
              <w:t>☑是</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□否</w:t>
            </w:r>
            <w:r>
              <w:rPr>
                <w:rStyle w:val="7"/>
                <w:color w:val="auto"/>
                <w:sz w:val="18"/>
                <w:szCs w:val="18"/>
                <w:u w:val="single"/>
                <w:lang w:val="en-US" w:eastAsia="zh-CN" w:bidi="ar"/>
              </w:rPr>
              <w:t xml:space="preserve">  </w:t>
            </w:r>
            <w:r>
              <w:rPr>
                <w:rStyle w:val="6"/>
                <w:color w:val="auto"/>
                <w:sz w:val="18"/>
                <w:szCs w:val="18"/>
                <w:lang w:val="en-US" w:eastAsia="zh-CN" w:bidi="ar"/>
              </w:rPr>
              <w:t>责任分工和完成时限</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区水务局确认）</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一票否决</w:t>
            </w:r>
          </w:p>
        </w:tc>
        <w:tc>
          <w:tcPr>
            <w:tcW w:w="298"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2"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698" w:type="pct"/>
            <w:gridSpan w:val="2"/>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2.评价年县域用水总量和强度符合控制指标要求。</w:t>
            </w:r>
          </w:p>
        </w:tc>
        <w:tc>
          <w:tcPr>
            <w:tcW w:w="2505" w:type="pct"/>
            <w:gridSpan w:val="2"/>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2023年用水总量目标值为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19500</w:t>
            </w:r>
            <w:r>
              <w:rPr>
                <w:rStyle w:val="7"/>
                <w:color w:val="auto"/>
                <w:sz w:val="18"/>
                <w:szCs w:val="18"/>
                <w:u w:val="single"/>
                <w:lang w:val="en-US" w:eastAsia="zh-CN" w:bidi="ar"/>
              </w:rPr>
              <w:t xml:space="preserve">   </w:t>
            </w:r>
            <w:r>
              <w:rPr>
                <w:rStyle w:val="6"/>
                <w:color w:val="auto"/>
                <w:sz w:val="18"/>
                <w:szCs w:val="18"/>
                <w:lang w:val="en-US" w:eastAsia="zh-CN" w:bidi="ar"/>
              </w:rPr>
              <w:t>万m³，实际值为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15265.2247</w:t>
            </w:r>
            <w:r>
              <w:rPr>
                <w:rStyle w:val="7"/>
                <w:color w:val="auto"/>
                <w:sz w:val="18"/>
                <w:szCs w:val="18"/>
                <w:u w:val="single"/>
                <w:lang w:val="en-US" w:eastAsia="zh-CN" w:bidi="ar"/>
              </w:rPr>
              <w:t xml:space="preserve">       </w:t>
            </w:r>
            <w:r>
              <w:rPr>
                <w:rStyle w:val="6"/>
                <w:color w:val="auto"/>
                <w:sz w:val="18"/>
                <w:szCs w:val="18"/>
                <w:lang w:val="en-US" w:eastAsia="zh-CN" w:bidi="ar"/>
              </w:rPr>
              <w:t>万m³，</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年万元</w:t>
            </w:r>
            <w:r>
              <w:rPr>
                <w:rStyle w:val="6"/>
                <w:color w:val="auto"/>
                <w:sz w:val="18"/>
                <w:szCs w:val="18"/>
                <w:u w:val="single"/>
                <w:lang w:val="en-US" w:eastAsia="zh-CN" w:bidi="ar"/>
              </w:rPr>
              <w:t xml:space="preserve"> </w:t>
            </w:r>
            <w:r>
              <w:rPr>
                <w:rStyle w:val="6"/>
                <w:color w:val="auto"/>
                <w:sz w:val="18"/>
                <w:szCs w:val="18"/>
                <w:lang w:val="en-US" w:eastAsia="zh-CN" w:bidi="ar"/>
              </w:rPr>
              <w:t>GDP</w:t>
            </w:r>
            <w:r>
              <w:rPr>
                <w:rStyle w:val="6"/>
                <w:color w:val="auto"/>
                <w:sz w:val="18"/>
                <w:szCs w:val="18"/>
                <w:u w:val="single"/>
                <w:lang w:val="en-US" w:eastAsia="zh-CN" w:bidi="ar"/>
              </w:rPr>
              <w:t xml:space="preserve"> </w:t>
            </w:r>
            <w:r>
              <w:rPr>
                <w:rStyle w:val="6"/>
                <w:color w:val="auto"/>
                <w:sz w:val="18"/>
                <w:szCs w:val="18"/>
                <w:lang w:val="en-US" w:eastAsia="zh-CN" w:bidi="ar"/>
              </w:rPr>
              <w:t>用水量下降率目标值为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9.6</w:t>
            </w:r>
            <w:r>
              <w:rPr>
                <w:rStyle w:val="7"/>
                <w:color w:val="auto"/>
                <w:sz w:val="18"/>
                <w:szCs w:val="18"/>
                <w:u w:val="single"/>
                <w:lang w:val="en-US" w:eastAsia="zh-CN" w:bidi="ar"/>
              </w:rPr>
              <w:t xml:space="preserve">      </w:t>
            </w:r>
            <w:r>
              <w:rPr>
                <w:rStyle w:val="6"/>
                <w:color w:val="auto"/>
                <w:sz w:val="18"/>
                <w:szCs w:val="18"/>
                <w:lang w:val="en-US" w:eastAsia="zh-CN" w:bidi="ar"/>
              </w:rPr>
              <w:t>%，实际值为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40.5</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年万元工业增加值用水量下降率目标值</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11.6</w:t>
            </w:r>
            <w:r>
              <w:rPr>
                <w:rStyle w:val="7"/>
                <w:color w:val="auto"/>
                <w:sz w:val="18"/>
                <w:szCs w:val="18"/>
                <w:u w:val="single"/>
                <w:lang w:val="en-US" w:eastAsia="zh-CN" w:bidi="ar"/>
              </w:rPr>
              <w:t xml:space="preserve">  </w:t>
            </w:r>
            <w:r>
              <w:rPr>
                <w:rStyle w:val="6"/>
                <w:color w:val="auto"/>
                <w:sz w:val="18"/>
                <w:szCs w:val="18"/>
                <w:lang w:val="en-US" w:eastAsia="zh-CN" w:bidi="ar"/>
              </w:rPr>
              <w:t>%，实际值为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62.4</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u w:val="single"/>
                <w:lang w:val="en-US" w:eastAsia="zh-CN" w:bidi="ar"/>
              </w:rPr>
              <w:t xml:space="preserve"> </w:t>
            </w:r>
            <w:r>
              <w:rPr>
                <w:rStyle w:val="6"/>
                <w:color w:val="auto"/>
                <w:sz w:val="18"/>
                <w:szCs w:val="18"/>
                <w:lang w:val="en-US" w:eastAsia="zh-CN" w:bidi="ar"/>
              </w:rPr>
              <w:t>年农田灌溉水有效利用系数目标值为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0.51</w:t>
            </w:r>
            <w:r>
              <w:rPr>
                <w:rStyle w:val="7"/>
                <w:color w:val="auto"/>
                <w:sz w:val="18"/>
                <w:szCs w:val="18"/>
                <w:u w:val="single"/>
                <w:lang w:val="en-US" w:eastAsia="zh-CN" w:bidi="ar"/>
              </w:rPr>
              <w:t xml:space="preserve">       </w:t>
            </w:r>
            <w:r>
              <w:rPr>
                <w:rStyle w:val="6"/>
                <w:color w:val="auto"/>
                <w:sz w:val="18"/>
                <w:szCs w:val="18"/>
                <w:lang w:val="en-US" w:eastAsia="zh-CN" w:bidi="ar"/>
              </w:rPr>
              <w:t>，实际值为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0.511</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一票否决</w:t>
            </w:r>
          </w:p>
        </w:tc>
        <w:tc>
          <w:tcPr>
            <w:tcW w:w="298"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698" w:type="pct"/>
            <w:gridSpan w:val="2"/>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3.评价年县域江河取水量和地下水取水量符合控制指标要求</w:t>
            </w:r>
          </w:p>
        </w:tc>
        <w:tc>
          <w:tcPr>
            <w:tcW w:w="2505" w:type="pct"/>
            <w:gridSpan w:val="2"/>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2023年花溪区江河取水量额定值为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18968</w:t>
            </w:r>
            <w:r>
              <w:rPr>
                <w:rStyle w:val="7"/>
                <w:color w:val="auto"/>
                <w:sz w:val="18"/>
                <w:szCs w:val="18"/>
                <w:u w:val="single"/>
                <w:lang w:val="en-US" w:eastAsia="zh-CN" w:bidi="ar"/>
              </w:rPr>
              <w:t xml:space="preserve">    </w:t>
            </w:r>
            <w:r>
              <w:rPr>
                <w:rStyle w:val="6"/>
                <w:color w:val="auto"/>
                <w:sz w:val="18"/>
                <w:szCs w:val="18"/>
                <w:lang w:val="en-US" w:eastAsia="zh-CN" w:bidi="ar"/>
              </w:rPr>
              <w:t>万m³，实际取水量为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14602.9798</w:t>
            </w:r>
            <w:r>
              <w:rPr>
                <w:rStyle w:val="7"/>
                <w:color w:val="auto"/>
                <w:sz w:val="18"/>
                <w:szCs w:val="18"/>
                <w:u w:val="single"/>
                <w:lang w:val="en-US" w:eastAsia="zh-CN" w:bidi="ar"/>
              </w:rPr>
              <w:t xml:space="preserve">  </w:t>
            </w:r>
            <w:r>
              <w:rPr>
                <w:rStyle w:val="6"/>
                <w:color w:val="auto"/>
                <w:sz w:val="18"/>
                <w:szCs w:val="18"/>
                <w:lang w:val="en-US" w:eastAsia="zh-CN" w:bidi="ar"/>
              </w:rPr>
              <w:t>万m³，</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年花溪区地下水取水量额定值为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532</w:t>
            </w:r>
            <w:r>
              <w:rPr>
                <w:rStyle w:val="7"/>
                <w:color w:val="auto"/>
                <w:sz w:val="18"/>
                <w:szCs w:val="18"/>
                <w:u w:val="single"/>
                <w:lang w:val="en-US" w:eastAsia="zh-CN" w:bidi="ar"/>
              </w:rPr>
              <w:t xml:space="preserve">   </w:t>
            </w:r>
            <w:r>
              <w:rPr>
                <w:rStyle w:val="6"/>
                <w:color w:val="auto"/>
                <w:sz w:val="18"/>
                <w:szCs w:val="18"/>
                <w:lang w:val="en-US" w:eastAsia="zh-CN" w:bidi="ar"/>
              </w:rPr>
              <w:t>万m³，实际取水量为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237.1145</w:t>
            </w:r>
            <w:r>
              <w:rPr>
                <w:rStyle w:val="7"/>
                <w:color w:val="auto"/>
                <w:sz w:val="18"/>
                <w:szCs w:val="18"/>
                <w:u w:val="single"/>
                <w:lang w:val="en-US" w:eastAsia="zh-CN" w:bidi="ar"/>
              </w:rPr>
              <w:t xml:space="preserve">     </w:t>
            </w:r>
            <w:r>
              <w:rPr>
                <w:rStyle w:val="6"/>
                <w:color w:val="auto"/>
                <w:sz w:val="18"/>
                <w:szCs w:val="18"/>
                <w:lang w:val="en-US" w:eastAsia="zh-CN" w:bidi="ar"/>
              </w:rPr>
              <w:t>万m³，</w:t>
            </w:r>
            <w:r>
              <w:rPr>
                <w:rStyle w:val="6"/>
                <w:color w:val="auto"/>
                <w:sz w:val="18"/>
                <w:szCs w:val="18"/>
                <w:lang w:val="en-US" w:eastAsia="zh-CN" w:bidi="ar"/>
              </w:rPr>
              <w:br w:type="textWrapping"/>
            </w:r>
            <w:r>
              <w:rPr>
                <w:rStyle w:val="7"/>
                <w:color w:val="auto"/>
                <w:sz w:val="18"/>
                <w:szCs w:val="18"/>
                <w:u w:val="single"/>
                <w:lang w:val="en-US" w:eastAsia="zh-CN" w:bidi="ar"/>
              </w:rPr>
              <w:t xml:space="preserve">  </w:t>
            </w:r>
            <w:r>
              <w:rPr>
                <w:rStyle w:val="7"/>
                <w:color w:val="auto"/>
                <w:sz w:val="18"/>
                <w:szCs w:val="18"/>
                <w:lang w:val="en-US" w:eastAsia="zh-CN" w:bidi="ar"/>
              </w:rPr>
              <w:t>☑符合</w:t>
            </w:r>
            <w:r>
              <w:rPr>
                <w:rStyle w:val="7"/>
                <w:color w:val="auto"/>
                <w:sz w:val="18"/>
                <w:szCs w:val="18"/>
                <w:u w:val="single"/>
                <w:lang w:val="en-US" w:eastAsia="zh-CN" w:bidi="ar"/>
              </w:rPr>
              <w:t xml:space="preserve"> </w:t>
            </w:r>
            <w:r>
              <w:rPr>
                <w:rStyle w:val="7"/>
                <w:color w:val="auto"/>
                <w:sz w:val="18"/>
                <w:szCs w:val="18"/>
                <w:lang w:val="en-US" w:eastAsia="zh-CN" w:bidi="ar"/>
              </w:rPr>
              <w:t>/</w:t>
            </w:r>
            <w:r>
              <w:rPr>
                <w:rStyle w:val="7"/>
                <w:color w:val="auto"/>
                <w:sz w:val="18"/>
                <w:szCs w:val="18"/>
                <w:u w:val="single"/>
                <w:lang w:val="en-US" w:eastAsia="zh-CN" w:bidi="ar"/>
              </w:rPr>
              <w:t xml:space="preserve"> </w:t>
            </w:r>
            <w:r>
              <w:rPr>
                <w:rStyle w:val="7"/>
                <w:color w:val="auto"/>
                <w:sz w:val="18"/>
                <w:szCs w:val="18"/>
                <w:lang w:val="en-US" w:eastAsia="zh-CN" w:bidi="ar"/>
              </w:rPr>
              <w:t>□不符合</w:t>
            </w:r>
            <w:r>
              <w:rPr>
                <w:rStyle w:val="7"/>
                <w:color w:val="auto"/>
                <w:sz w:val="18"/>
                <w:szCs w:val="18"/>
                <w:u w:val="single"/>
                <w:lang w:val="en-US" w:eastAsia="zh-CN" w:bidi="ar"/>
              </w:rPr>
              <w:t xml:space="preserve">  </w:t>
            </w:r>
            <w:r>
              <w:rPr>
                <w:rStyle w:val="6"/>
                <w:color w:val="auto"/>
                <w:sz w:val="18"/>
                <w:szCs w:val="18"/>
                <w:lang w:val="en-US" w:eastAsia="zh-CN" w:bidi="ar"/>
              </w:rPr>
              <w:t>指标要求。</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一票否决</w:t>
            </w:r>
          </w:p>
        </w:tc>
        <w:tc>
          <w:tcPr>
            <w:tcW w:w="298"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698" w:type="pct"/>
            <w:gridSpan w:val="2"/>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4.评价年</w:t>
            </w:r>
            <w:r>
              <w:rPr>
                <w:rFonts w:hint="eastAsia" w:ascii="宋体" w:hAnsi="宋体" w:cs="宋体"/>
                <w:i w:val="0"/>
                <w:iCs w:val="0"/>
                <w:color w:val="auto"/>
                <w:kern w:val="0"/>
                <w:sz w:val="18"/>
                <w:szCs w:val="18"/>
                <w:u w:val="none"/>
                <w:lang w:val="en-US" w:eastAsia="zh-CN" w:bidi="ar"/>
              </w:rPr>
              <w:t>中央生态环境保护督察</w:t>
            </w:r>
            <w:r>
              <w:rPr>
                <w:rFonts w:hint="eastAsia" w:ascii="宋体" w:hAnsi="宋体" w:eastAsia="宋体" w:cs="宋体"/>
                <w:i w:val="0"/>
                <w:iCs w:val="0"/>
                <w:color w:val="auto"/>
                <w:kern w:val="0"/>
                <w:sz w:val="18"/>
                <w:szCs w:val="18"/>
                <w:u w:val="none"/>
                <w:lang w:val="en-US" w:eastAsia="zh-CN" w:bidi="ar"/>
              </w:rPr>
              <w:t>、长江经济带和黄河流域生态环境警示片、中央巡视、国家审计、媒体报道等未发现节水重大问题</w:t>
            </w:r>
          </w:p>
        </w:tc>
        <w:tc>
          <w:tcPr>
            <w:tcW w:w="2505" w:type="pct"/>
            <w:gridSpan w:val="2"/>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□有 /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无  </w:t>
            </w:r>
            <w:r>
              <w:rPr>
                <w:rStyle w:val="6"/>
                <w:color w:val="auto"/>
                <w:sz w:val="18"/>
                <w:szCs w:val="18"/>
                <w:u w:val="single"/>
                <w:lang w:val="en-US" w:eastAsia="zh-CN" w:bidi="ar"/>
              </w:rPr>
              <w:t>节水重大问题。</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确认</w:t>
            </w:r>
            <w:r>
              <w:rPr>
                <w:rFonts w:hint="eastAsia" w:ascii="宋体" w:hAnsi="宋体" w:eastAsia="宋体" w:cs="宋体"/>
                <w:i w:val="0"/>
                <w:iCs w:val="0"/>
                <w:color w:val="auto"/>
                <w:sz w:val="18"/>
                <w:szCs w:val="18"/>
                <w:u w:val="none"/>
                <w:lang w:eastAsia="zh-CN"/>
              </w:rPr>
              <w:t>）</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一票否决</w:t>
            </w:r>
          </w:p>
        </w:tc>
        <w:tc>
          <w:tcPr>
            <w:tcW w:w="298"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用水定额管理</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严格各行业用水定额管理，强化定额使用</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在水资源论证、取水许可、节水载体认定等工作中严格执行用水定额，得8分。在近两年上级部门水资源管理监督检查中，发一例未按规定使用用水定额的，扣1分，扣完为止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2023年批复的水资源论证</w:t>
            </w: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7</w:t>
            </w: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个；</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年申报通过的节水载体</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  1</w:t>
            </w:r>
            <w:r>
              <w:rPr>
                <w:rStyle w:val="7"/>
                <w:color w:val="auto"/>
                <w:sz w:val="18"/>
                <w:szCs w:val="18"/>
                <w:u w:val="single"/>
                <w:lang w:val="en-US" w:eastAsia="zh-CN" w:bidi="ar"/>
              </w:rPr>
              <w:t xml:space="preserve">  </w:t>
            </w:r>
            <w:r>
              <w:rPr>
                <w:rStyle w:val="6"/>
                <w:color w:val="auto"/>
                <w:sz w:val="18"/>
                <w:szCs w:val="18"/>
                <w:lang w:val="en-US" w:eastAsia="zh-CN" w:bidi="ar"/>
              </w:rPr>
              <w:t>个；</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color w:val="auto"/>
                <w:sz w:val="18"/>
                <w:szCs w:val="18"/>
                <w:lang w:val="en-US" w:eastAsia="zh-CN" w:bidi="ar"/>
              </w:rPr>
            </w:pPr>
            <w:r>
              <w:rPr>
                <w:rStyle w:val="6"/>
                <w:color w:val="auto"/>
                <w:sz w:val="18"/>
                <w:szCs w:val="18"/>
                <w:lang w:val="en-US" w:eastAsia="zh-CN" w:bidi="ar"/>
              </w:rPr>
              <w:t>未按规定使用用水定额的数量</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w:t>
            </w:r>
            <w:r>
              <w:rPr>
                <w:rStyle w:val="7"/>
                <w:color w:val="auto"/>
                <w:sz w:val="18"/>
                <w:szCs w:val="18"/>
                <w:u w:val="single"/>
                <w:lang w:val="en-US" w:eastAsia="zh-CN" w:bidi="ar"/>
              </w:rPr>
              <w:t xml:space="preserve"> </w:t>
            </w:r>
            <w:r>
              <w:rPr>
                <w:rStyle w:val="6"/>
                <w:color w:val="auto"/>
                <w:sz w:val="18"/>
                <w:szCs w:val="18"/>
                <w:lang w:val="en-US" w:eastAsia="zh-CN" w:bidi="ar"/>
              </w:rPr>
              <w:t>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Style w:val="6"/>
                <w:rFonts w:hint="default"/>
                <w:color w:val="auto"/>
                <w:sz w:val="18"/>
                <w:szCs w:val="18"/>
                <w:lang w:val="en-US" w:eastAsia="zh-CN" w:bidi="ar"/>
              </w:rPr>
            </w:pPr>
            <w:r>
              <w:rPr>
                <w:rFonts w:hint="eastAsia" w:ascii="宋体" w:hAnsi="宋体" w:eastAsia="宋体" w:cs="宋体"/>
                <w:i w:val="0"/>
                <w:iCs w:val="0"/>
                <w:color w:val="auto"/>
                <w:sz w:val="18"/>
                <w:szCs w:val="18"/>
                <w:u w:val="none"/>
                <w:lang w:val="en-US" w:eastAsia="zh-CN"/>
              </w:rPr>
              <w:t>本项评价内容材料全部由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提供并校对。</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★1.2023年全部新办、延续取水许可</w:t>
            </w:r>
            <w:r>
              <w:rPr>
                <w:rFonts w:hint="eastAsia" w:ascii="宋体" w:hAnsi="宋体" w:cs="宋体"/>
                <w:i w:val="0"/>
                <w:iCs w:val="0"/>
                <w:color w:val="auto"/>
                <w:kern w:val="0"/>
                <w:sz w:val="18"/>
                <w:szCs w:val="18"/>
                <w:u w:val="none"/>
                <w:lang w:val="en-US" w:eastAsia="zh-CN" w:bidi="ar"/>
              </w:rPr>
              <w:t>的</w:t>
            </w:r>
            <w:r>
              <w:rPr>
                <w:rFonts w:hint="eastAsia" w:ascii="宋体" w:hAnsi="宋体" w:eastAsia="宋体" w:cs="宋体"/>
                <w:i w:val="0"/>
                <w:iCs w:val="0"/>
                <w:color w:val="auto"/>
                <w:kern w:val="0"/>
                <w:sz w:val="18"/>
                <w:szCs w:val="18"/>
                <w:u w:val="none"/>
                <w:lang w:val="en-US" w:eastAsia="zh-CN" w:bidi="ar"/>
              </w:rPr>
              <w:t>取水户名录</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★2.2023年全部新办、延续取水许可的水资源论证报告（用水定额部分）及相关批复（不少于4个，不足按实际数量提供）</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★3.2023年节水载体创建申报自评材料（用水定额部分）（不少于4个，不足按实际数量提供）</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6"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4.近两年国、自治区、市等上级部门针对本县（市、区）开展水资源管理与节约用水监督检查结果通报，若有请提供，若无请由上级水行政主管部门提供无相关检查证明</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计划用水管理</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严格计划用水管理， 推动计划用水管理全覆盖</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纳入计划用水管理的用水单位数量占应纳入计划用水管理的用水单位数量比例达到100%,得8分;每低 2%,扣1分扣完为止;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实行计划用水管理制度的相关政策文件；政策文件为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贵阳市花溪区水务管理局关于转发水利部《计划用水管理办法》的通知》</w:t>
            </w:r>
            <w:r>
              <w:rPr>
                <w:rStyle w:val="7"/>
                <w:color w:val="auto"/>
                <w:sz w:val="18"/>
                <w:szCs w:val="18"/>
                <w:u w:val="single"/>
                <w:lang w:val="en-US" w:eastAsia="zh-CN" w:bidi="ar"/>
              </w:rPr>
              <w:t xml:space="preserve">  </w:t>
            </w:r>
            <w:r>
              <w:rPr>
                <w:rStyle w:val="6"/>
                <w:color w:val="auto"/>
                <w:sz w:val="18"/>
                <w:szCs w:val="18"/>
                <w:u w:val="none"/>
                <w:lang w:val="en-US" w:eastAsia="zh-CN" w:bidi="ar"/>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2023年应纳入计划用水的用水单位数量</w:t>
            </w:r>
            <w:r>
              <w:rPr>
                <w:rStyle w:val="6"/>
                <w:rFonts w:hint="eastAsia"/>
                <w:color w:val="auto"/>
                <w:sz w:val="18"/>
                <w:szCs w:val="18"/>
                <w:u w:val="none"/>
                <w:lang w:val="en-US" w:eastAsia="zh-CN" w:bidi="ar"/>
              </w:rPr>
              <w:t>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232 </w:t>
            </w:r>
            <w:r>
              <w:rPr>
                <w:rStyle w:val="7"/>
                <w:color w:val="auto"/>
                <w:sz w:val="18"/>
                <w:szCs w:val="18"/>
                <w:u w:val="single"/>
                <w:lang w:val="en-US" w:eastAsia="zh-CN" w:bidi="ar"/>
              </w:rPr>
              <w:t xml:space="preserve"> </w:t>
            </w:r>
            <w:r>
              <w:rPr>
                <w:rStyle w:val="6"/>
                <w:color w:val="auto"/>
                <w:sz w:val="18"/>
                <w:szCs w:val="18"/>
                <w:u w:val="none"/>
                <w:lang w:val="en-US" w:eastAsia="zh-CN" w:bidi="ar"/>
              </w:rPr>
              <w:t>个；</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202</w:t>
            </w:r>
            <w:r>
              <w:rPr>
                <w:rStyle w:val="6"/>
                <w:rFonts w:hint="eastAsia"/>
                <w:color w:val="auto"/>
                <w:sz w:val="18"/>
                <w:szCs w:val="18"/>
                <w:u w:val="none"/>
                <w:lang w:val="en-US" w:eastAsia="zh-CN" w:bidi="ar"/>
              </w:rPr>
              <w:t>3年度已</w:t>
            </w:r>
            <w:r>
              <w:rPr>
                <w:rStyle w:val="6"/>
                <w:color w:val="auto"/>
                <w:sz w:val="18"/>
                <w:szCs w:val="18"/>
                <w:u w:val="none"/>
                <w:lang w:val="en-US" w:eastAsia="zh-CN" w:bidi="ar"/>
              </w:rPr>
              <w:t>纳入计划用水的用水单位数</w:t>
            </w:r>
            <w:r>
              <w:rPr>
                <w:rStyle w:val="6"/>
                <w:rFonts w:hint="eastAsia"/>
                <w:color w:val="auto"/>
                <w:sz w:val="18"/>
                <w:szCs w:val="18"/>
                <w:u w:val="none"/>
                <w:lang w:val="en-US" w:eastAsia="zh-CN" w:bidi="ar"/>
              </w:rPr>
              <w:t>为</w:t>
            </w:r>
            <w:r>
              <w:rPr>
                <w:rStyle w:val="7"/>
                <w:rFonts w:hint="eastAsia"/>
                <w:color w:val="auto"/>
                <w:sz w:val="18"/>
                <w:szCs w:val="18"/>
                <w:u w:val="single"/>
                <w:lang w:val="en-US" w:eastAsia="zh-CN" w:bidi="ar"/>
              </w:rPr>
              <w:t xml:space="preserve">  232   </w:t>
            </w:r>
            <w:r>
              <w:rPr>
                <w:rStyle w:val="6"/>
                <w:color w:val="auto"/>
                <w:sz w:val="18"/>
                <w:szCs w:val="18"/>
                <w:u w:val="none"/>
                <w:lang w:val="en-US" w:eastAsia="zh-CN" w:bidi="ar"/>
              </w:rPr>
              <w:t>个；</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color w:val="auto"/>
                <w:sz w:val="18"/>
                <w:szCs w:val="18"/>
                <w:u w:val="none"/>
                <w:lang w:val="en-US" w:eastAsia="zh-CN" w:bidi="ar"/>
              </w:rPr>
            </w:pPr>
            <w:r>
              <w:rPr>
                <w:rStyle w:val="6"/>
                <w:color w:val="auto"/>
                <w:sz w:val="18"/>
                <w:szCs w:val="18"/>
                <w:u w:val="none"/>
                <w:lang w:val="en-US" w:eastAsia="zh-CN" w:bidi="ar"/>
              </w:rPr>
              <w:t>计划用水下达比例为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100</w:t>
            </w:r>
            <w:r>
              <w:rPr>
                <w:rStyle w:val="7"/>
                <w:color w:val="auto"/>
                <w:sz w:val="18"/>
                <w:szCs w:val="18"/>
                <w:u w:val="single"/>
                <w:lang w:val="en-US" w:eastAsia="zh-CN" w:bidi="ar"/>
              </w:rPr>
              <w:t xml:space="preserve">   </w:t>
            </w:r>
            <w:r>
              <w:rPr>
                <w:rStyle w:val="6"/>
                <w:color w:val="auto"/>
                <w:sz w:val="18"/>
                <w:szCs w:val="1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Style w:val="6"/>
                <w:rFonts w:hint="eastAsia"/>
                <w:color w:val="auto"/>
                <w:sz w:val="18"/>
                <w:szCs w:val="18"/>
                <w:u w:val="none"/>
                <w:lang w:val="en-US" w:eastAsia="zh-CN" w:bidi="ar"/>
              </w:rPr>
            </w:pPr>
            <w:r>
              <w:rPr>
                <w:rFonts w:hint="eastAsia" w:ascii="宋体" w:hAnsi="宋体" w:eastAsia="宋体" w:cs="宋体"/>
                <w:i w:val="0"/>
                <w:iCs w:val="0"/>
                <w:color w:val="auto"/>
                <w:sz w:val="18"/>
                <w:szCs w:val="18"/>
                <w:u w:val="none"/>
                <w:lang w:val="en-US" w:eastAsia="zh-CN"/>
              </w:rPr>
              <w:t>本项评价内容材料全部由</w:t>
            </w:r>
            <w:r>
              <w:rPr>
                <w:rFonts w:hint="eastAsia" w:ascii="宋体" w:hAnsi="宋体" w:eastAsia="宋体" w:cs="宋体"/>
                <w:i w:val="0"/>
                <w:iCs w:val="0"/>
                <w:color w:val="auto"/>
                <w:sz w:val="18"/>
                <w:szCs w:val="18"/>
                <w:u w:val="none"/>
                <w:lang w:eastAsia="zh-CN"/>
              </w:rPr>
              <w:t>区水务局</w:t>
            </w:r>
            <w:r>
              <w:rPr>
                <w:rFonts w:hint="eastAsia" w:ascii="宋体" w:hAnsi="宋体" w:eastAsia="宋体" w:cs="宋体"/>
                <w:i w:val="0"/>
                <w:iCs w:val="0"/>
                <w:color w:val="auto"/>
                <w:sz w:val="18"/>
                <w:szCs w:val="18"/>
                <w:u w:val="none"/>
                <w:lang w:val="en-US" w:eastAsia="zh-CN"/>
              </w:rPr>
              <w:t>提供并校对。</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★1.县（区）关于实行计划用水管理制度的相关政策文件或采用的上级管理部门印发的有关落实计划用水管理的政策文件；</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highlight w:val="yellow"/>
                <w:u w:val="none"/>
                <w:lang w:val="en-US"/>
              </w:rPr>
            </w:pPr>
            <w:r>
              <w:rPr>
                <w:rFonts w:hint="eastAsia" w:ascii="宋体" w:hAnsi="宋体" w:cs="宋体"/>
                <w:i w:val="0"/>
                <w:iCs w:val="0"/>
                <w:color w:val="auto"/>
                <w:kern w:val="0"/>
                <w:sz w:val="18"/>
                <w:szCs w:val="18"/>
                <w:highlight w:val="none"/>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★2.2023年应纳入计划用水管理的城镇非居民用水户清单（包括纳入取水许可管理和从公共供水管网取水的工业、服务业用水单位，具体范围依据地方计划用水管理政策文件确定）</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★3.2023年计划用水下达及调整文件等（需明确已纳入计划用水管理的城镇非居民用水户名单）</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5" w:type="pct"/>
            <w:vMerge w:val="restart"/>
            <w:tcBorders>
              <w:top w:val="single" w:color="000000" w:sz="4" w:space="0"/>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用水计量</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完善农业灌溉用水监测计量体系</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农业灌溉用水计量率≥60%,得4分；每低3%扣1分，扣完为止；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发现大中型灌区渠首和干支渠口门没有实现取水计量的，每处灌区扣1分，扣完为止；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发现有5万亩以上的大中型灌区渠首取水口未实现在线计量的，每处灌区扣1分，扣完为止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2023年农业灌溉用水总量</w:t>
            </w:r>
            <w:r>
              <w:rPr>
                <w:rStyle w:val="7"/>
                <w:rFonts w:hint="eastAsia"/>
                <w:color w:val="auto"/>
                <w:sz w:val="18"/>
                <w:szCs w:val="18"/>
                <w:u w:val="single"/>
                <w:lang w:val="en-US" w:eastAsia="zh-CN" w:bidi="ar"/>
              </w:rPr>
              <w:t>4710.5513</w:t>
            </w:r>
            <w:r>
              <w:rPr>
                <w:rStyle w:val="7"/>
                <w:color w:val="auto"/>
                <w:sz w:val="18"/>
                <w:szCs w:val="18"/>
                <w:u w:val="single"/>
                <w:lang w:val="en-US" w:eastAsia="zh-CN" w:bidi="ar"/>
              </w:rPr>
              <w:t xml:space="preserve"> </w:t>
            </w:r>
            <w:r>
              <w:rPr>
                <w:rStyle w:val="6"/>
                <w:color w:val="auto"/>
                <w:sz w:val="18"/>
                <w:szCs w:val="18"/>
                <w:lang w:val="en-US" w:eastAsia="zh-CN" w:bidi="ar"/>
              </w:rPr>
              <w:t>万m³；</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cs="宋体"/>
                <w:i w:val="0"/>
                <w:iCs w:val="0"/>
                <w:color w:val="auto"/>
                <w:sz w:val="18"/>
                <w:szCs w:val="18"/>
                <w:u w:val="none"/>
                <w:lang w:val="en-US" w:eastAsia="zh-CN"/>
              </w:rPr>
              <w:t>水务</w:t>
            </w:r>
            <w:r>
              <w:rPr>
                <w:rFonts w:hint="eastAsia" w:ascii="宋体" w:hAnsi="宋体" w:eastAsia="宋体" w:cs="宋体"/>
                <w:i w:val="0"/>
                <w:iCs w:val="0"/>
                <w:color w:val="auto"/>
                <w:sz w:val="18"/>
                <w:szCs w:val="18"/>
                <w:u w:val="none"/>
                <w:lang w:val="en-US" w:eastAsia="zh-CN"/>
              </w:rPr>
              <w:t>局提供数据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年农业灌溉用水计量水量为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待定</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 </w:t>
            </w:r>
            <w:r>
              <w:rPr>
                <w:rStyle w:val="6"/>
                <w:color w:val="auto"/>
                <w:sz w:val="18"/>
                <w:szCs w:val="18"/>
                <w:lang w:val="en-US" w:eastAsia="zh-CN" w:bidi="ar"/>
              </w:rPr>
              <w:t>万m³；</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cs="宋体"/>
                <w:i w:val="0"/>
                <w:iCs w:val="0"/>
                <w:color w:val="auto"/>
                <w:sz w:val="18"/>
                <w:szCs w:val="18"/>
                <w:u w:val="none"/>
                <w:lang w:val="en-US" w:eastAsia="zh-CN"/>
              </w:rPr>
              <w:t>水务</w:t>
            </w:r>
            <w:r>
              <w:rPr>
                <w:rFonts w:hint="eastAsia" w:ascii="宋体" w:hAnsi="宋体" w:eastAsia="宋体" w:cs="宋体"/>
                <w:i w:val="0"/>
                <w:iCs w:val="0"/>
                <w:color w:val="auto"/>
                <w:sz w:val="18"/>
                <w:szCs w:val="18"/>
                <w:u w:val="none"/>
                <w:lang w:val="en-US" w:eastAsia="zh-CN"/>
              </w:rPr>
              <w:t>局提供数据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w:t>
            </w:r>
            <w:r>
              <w:rPr>
                <w:rStyle w:val="6"/>
                <w:color w:val="auto"/>
                <w:sz w:val="18"/>
                <w:szCs w:val="18"/>
                <w:lang w:val="en-US" w:eastAsia="zh-CN" w:bidi="ar"/>
              </w:rPr>
              <w:t>年农业灌溉用水计量率</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待定</w:t>
            </w:r>
            <w:r>
              <w:rPr>
                <w:rStyle w:val="7"/>
                <w:color w:val="auto"/>
                <w:sz w:val="18"/>
                <w:szCs w:val="18"/>
                <w:u w:val="single"/>
                <w:lang w:val="en-US" w:eastAsia="zh-CN" w:bidi="ar"/>
              </w:rPr>
              <w:t xml:space="preserve"> </w:t>
            </w:r>
            <w:r>
              <w:rPr>
                <w:rStyle w:val="6"/>
                <w:color w:val="auto"/>
                <w:sz w:val="18"/>
                <w:szCs w:val="18"/>
                <w:lang w:val="en-US" w:eastAsia="zh-CN" w:bidi="ar"/>
              </w:rPr>
              <w:t>%；</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eastAsia="宋体" w:cs="宋体"/>
                <w:i w:val="0"/>
                <w:iCs w:val="0"/>
                <w:color w:val="auto"/>
                <w:sz w:val="18"/>
                <w:szCs w:val="18"/>
                <w:u w:val="none"/>
                <w:lang w:val="en-US" w:eastAsia="zh-CN"/>
              </w:rPr>
              <w:t>水务局提供数据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说明：花溪区无大中型灌区</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★1.省市水资源公报，明确县（区）年度农业灌溉用水总量；</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★2.县（区）实施用水计量的灌区面积和年度用水量，用水计量设施现场照片；</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3.实施高效节水灌溉、推动农业用水计量安装等有关政策文件、项目验收资料等；</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、农业局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7"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4.利用水泵、机井灌溉并采用以电折水方式计量的，需提供以电折水计算依据和测量验证证明，以及用水台账、电费缴纳票据等佐证材料。</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完善工业用水监测计量体系</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工业用水计量率为100%，得4分；每低 2%，扣1分，扣完为止；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发现一例工业用水计量不符合要求的，扣1分，扣完为止；发现有国家、省、市三级重点监控工业企业用水户用水计量率未达到 100%的，本项不得分</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rFonts w:ascii="宋体" w:hAnsi="宋体" w:eastAsia="宋体" w:cs="宋体"/>
                <w:i w:val="0"/>
                <w:iCs w:val="0"/>
                <w:color w:val="auto"/>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2023年工业用</w:t>
            </w:r>
            <w:r>
              <w:rPr>
                <w:rStyle w:val="6"/>
                <w:rFonts w:hint="eastAsia" w:ascii="宋体" w:hAnsi="宋体" w:eastAsia="宋体" w:cs="宋体"/>
                <w:i w:val="0"/>
                <w:iCs w:val="0"/>
                <w:color w:val="auto"/>
                <w:sz w:val="18"/>
                <w:szCs w:val="18"/>
                <w:lang w:val="en-US" w:eastAsia="zh-CN" w:bidi="ar"/>
              </w:rPr>
              <w:t>水总量为</w:t>
            </w:r>
            <w:r>
              <w:rPr>
                <w:rStyle w:val="6"/>
                <w:rFonts w:ascii="宋体" w:hAnsi="宋体" w:eastAsia="宋体" w:cs="宋体"/>
                <w:i w:val="0"/>
                <w:iCs w:val="0"/>
                <w:color w:val="auto"/>
                <w:sz w:val="18"/>
                <w:szCs w:val="18"/>
                <w:u w:val="single"/>
                <w:lang w:val="en-US" w:eastAsia="zh-CN" w:bidi="ar"/>
              </w:rPr>
              <w:t xml:space="preserve"> </w:t>
            </w:r>
            <w:r>
              <w:rPr>
                <w:rStyle w:val="6"/>
                <w:rFonts w:hint="eastAsia" w:ascii="宋体" w:hAnsi="宋体" w:cs="宋体"/>
                <w:i w:val="0"/>
                <w:iCs w:val="0"/>
                <w:color w:val="auto"/>
                <w:sz w:val="18"/>
                <w:szCs w:val="18"/>
                <w:u w:val="single"/>
                <w:lang w:val="en-US" w:eastAsia="zh-CN" w:bidi="ar"/>
              </w:rPr>
              <w:t>3622.4944</w:t>
            </w:r>
            <w:r>
              <w:rPr>
                <w:rStyle w:val="6"/>
                <w:rFonts w:hint="eastAsia"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lang w:val="en-US" w:eastAsia="zh-CN" w:bidi="ar"/>
              </w:rPr>
              <w:t>万m³；</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eastAsia="宋体" w:cs="宋体"/>
                <w:i w:val="0"/>
                <w:iCs w:val="0"/>
                <w:color w:val="auto"/>
                <w:kern w:val="0"/>
                <w:sz w:val="18"/>
                <w:szCs w:val="18"/>
                <w:u w:val="none"/>
                <w:lang w:val="en-US" w:eastAsia="zh-CN" w:bidi="ar"/>
              </w:rPr>
              <w:t>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rFonts w:ascii="宋体" w:hAnsi="宋体" w:eastAsia="宋体" w:cs="宋体"/>
                <w:i w:val="0"/>
                <w:iCs w:val="0"/>
                <w:color w:val="auto"/>
                <w:sz w:val="18"/>
                <w:szCs w:val="18"/>
                <w:lang w:val="en-US" w:eastAsia="zh-CN" w:bidi="ar"/>
              </w:rPr>
            </w:pPr>
            <w:r>
              <w:rPr>
                <w:rStyle w:val="6"/>
                <w:rFonts w:ascii="宋体" w:hAnsi="宋体" w:eastAsia="宋体" w:cs="宋体"/>
                <w:i w:val="0"/>
                <w:iCs w:val="0"/>
                <w:color w:val="auto"/>
                <w:sz w:val="18"/>
                <w:szCs w:val="18"/>
                <w:u w:val="none"/>
                <w:lang w:val="en-US" w:eastAsia="zh-CN" w:bidi="ar"/>
              </w:rPr>
              <w:t>2023</w:t>
            </w:r>
            <w:r>
              <w:rPr>
                <w:rStyle w:val="6"/>
                <w:rFonts w:ascii="宋体" w:hAnsi="宋体" w:eastAsia="宋体" w:cs="宋体"/>
                <w:i w:val="0"/>
                <w:iCs w:val="0"/>
                <w:color w:val="auto"/>
                <w:sz w:val="18"/>
                <w:szCs w:val="18"/>
                <w:lang w:val="en-US" w:eastAsia="zh-CN" w:bidi="ar"/>
              </w:rPr>
              <w:t>年工业用水计量水量为</w:t>
            </w:r>
            <w:r>
              <w:rPr>
                <w:rStyle w:val="6"/>
                <w:rFonts w:hint="eastAsia" w:ascii="宋体" w:hAnsi="宋体" w:cs="宋体"/>
                <w:i w:val="0"/>
                <w:iCs w:val="0"/>
                <w:color w:val="auto"/>
                <w:sz w:val="18"/>
                <w:szCs w:val="18"/>
                <w:u w:val="single"/>
                <w:lang w:val="en-US" w:eastAsia="zh-CN" w:bidi="ar"/>
              </w:rPr>
              <w:t>3622.4944</w:t>
            </w:r>
            <w:r>
              <w:rPr>
                <w:rStyle w:val="6"/>
                <w:rFonts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lang w:val="en-US" w:eastAsia="zh-CN" w:bidi="ar"/>
              </w:rPr>
              <w:t>万m³；</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rFonts w:ascii="宋体" w:hAnsi="宋体" w:eastAsia="宋体" w:cs="宋体"/>
                <w:i w:val="0"/>
                <w:iCs w:val="0"/>
                <w:color w:val="auto"/>
                <w:sz w:val="18"/>
                <w:szCs w:val="18"/>
                <w:lang w:val="en-US" w:eastAsia="zh-CN" w:bidi="ar"/>
              </w:rPr>
            </w:pPr>
            <w:r>
              <w:rPr>
                <w:rStyle w:val="6"/>
                <w:rFonts w:ascii="宋体" w:hAnsi="宋体" w:eastAsia="宋体" w:cs="宋体"/>
                <w:i w:val="0"/>
                <w:iCs w:val="0"/>
                <w:color w:val="auto"/>
                <w:sz w:val="18"/>
                <w:szCs w:val="18"/>
                <w:lang w:val="en-US" w:eastAsia="zh-CN" w:bidi="ar"/>
              </w:rPr>
              <w:t>国家、省、市三级重点监控工业企业用水户用水有</w:t>
            </w:r>
            <w:r>
              <w:rPr>
                <w:rStyle w:val="6"/>
                <w:rFonts w:ascii="宋体" w:hAnsi="宋体" w:eastAsia="宋体" w:cs="宋体"/>
                <w:i w:val="0"/>
                <w:iCs w:val="0"/>
                <w:color w:val="auto"/>
                <w:sz w:val="18"/>
                <w:szCs w:val="18"/>
                <w:u w:val="single"/>
                <w:lang w:val="en-US" w:eastAsia="zh-CN" w:bidi="ar"/>
              </w:rPr>
              <w:t xml:space="preserve"> </w:t>
            </w:r>
            <w:r>
              <w:rPr>
                <w:rStyle w:val="6"/>
                <w:rFonts w:hint="eastAsia" w:ascii="宋体" w:hAnsi="宋体" w:eastAsia="宋体" w:cs="宋体"/>
                <w:i w:val="0"/>
                <w:iCs w:val="0"/>
                <w:color w:val="auto"/>
                <w:sz w:val="18"/>
                <w:szCs w:val="18"/>
                <w:u w:val="single"/>
                <w:lang w:val="en-US" w:eastAsia="zh-CN" w:bidi="ar"/>
              </w:rPr>
              <w:t xml:space="preserve"> </w:t>
            </w:r>
            <w:r>
              <w:rPr>
                <w:rStyle w:val="6"/>
                <w:rFonts w:hint="eastAsia" w:ascii="宋体" w:hAnsi="宋体" w:cs="宋体"/>
                <w:i w:val="0"/>
                <w:iCs w:val="0"/>
                <w:color w:val="auto"/>
                <w:sz w:val="18"/>
                <w:szCs w:val="18"/>
                <w:u w:val="single"/>
                <w:lang w:val="en-US" w:eastAsia="zh-CN" w:bidi="ar"/>
              </w:rPr>
              <w:t>6</w:t>
            </w:r>
            <w:r>
              <w:rPr>
                <w:rStyle w:val="6"/>
                <w:rFonts w:hint="eastAsia"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lang w:val="en-US" w:eastAsia="zh-CN" w:bidi="ar"/>
              </w:rPr>
              <w:t>个；</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cs="宋体"/>
                <w:i w:val="0"/>
                <w:iCs w:val="0"/>
                <w:color w:val="auto"/>
                <w:sz w:val="18"/>
                <w:szCs w:val="18"/>
                <w:u w:val="none"/>
                <w:lang w:val="en-US" w:eastAsia="zh-CN"/>
              </w:rPr>
              <w:t>区水务局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rFonts w:ascii="宋体" w:hAnsi="宋体" w:eastAsia="宋体" w:cs="宋体"/>
                <w:i w:val="0"/>
                <w:iCs w:val="0"/>
                <w:color w:val="auto"/>
                <w:sz w:val="18"/>
                <w:szCs w:val="18"/>
                <w:u w:val="none"/>
                <w:lang w:val="en-US" w:eastAsia="zh-CN" w:bidi="ar"/>
              </w:rPr>
              <w:t>2023</w:t>
            </w:r>
            <w:r>
              <w:rPr>
                <w:rStyle w:val="6"/>
                <w:rFonts w:ascii="宋体" w:hAnsi="宋体" w:eastAsia="宋体" w:cs="宋体"/>
                <w:i w:val="0"/>
                <w:iCs w:val="0"/>
                <w:color w:val="auto"/>
                <w:sz w:val="18"/>
                <w:szCs w:val="18"/>
                <w:lang w:val="en-US" w:eastAsia="zh-CN" w:bidi="ar"/>
              </w:rPr>
              <w:t>年工业用水计量率为</w:t>
            </w:r>
            <w:r>
              <w:rPr>
                <w:rStyle w:val="6"/>
                <w:rFonts w:ascii="宋体" w:hAnsi="宋体" w:eastAsia="宋体" w:cs="宋体"/>
                <w:i w:val="0"/>
                <w:iCs w:val="0"/>
                <w:color w:val="auto"/>
                <w:sz w:val="18"/>
                <w:szCs w:val="18"/>
                <w:u w:val="single"/>
                <w:lang w:val="en-US" w:eastAsia="zh-CN" w:bidi="ar"/>
              </w:rPr>
              <w:t xml:space="preserve"> </w:t>
            </w:r>
            <w:r>
              <w:rPr>
                <w:rStyle w:val="6"/>
                <w:rFonts w:hint="eastAsia" w:ascii="宋体" w:hAnsi="宋体" w:cs="宋体"/>
                <w:i w:val="0"/>
                <w:iCs w:val="0"/>
                <w:color w:val="auto"/>
                <w:sz w:val="18"/>
                <w:szCs w:val="18"/>
                <w:u w:val="single"/>
                <w:lang w:val="en-US" w:eastAsia="zh-CN" w:bidi="ar"/>
              </w:rPr>
              <w:t>100</w:t>
            </w:r>
            <w:r>
              <w:rPr>
                <w:rStyle w:val="6"/>
                <w:rFonts w:ascii="宋体" w:hAnsi="宋体" w:eastAsia="宋体" w:cs="宋体"/>
                <w:i w:val="0"/>
                <w:iCs w:val="0"/>
                <w:color w:val="auto"/>
                <w:sz w:val="18"/>
                <w:szCs w:val="18"/>
                <w:u w:val="single"/>
                <w:lang w:val="en-US" w:eastAsia="zh-CN" w:bidi="ar"/>
              </w:rPr>
              <w:t xml:space="preserve"> </w:t>
            </w:r>
            <w:r>
              <w:rPr>
                <w:rStyle w:val="6"/>
                <w:rFonts w:ascii="宋体" w:hAnsi="宋体" w:eastAsia="宋体" w:cs="宋体"/>
                <w:i w:val="0"/>
                <w:iCs w:val="0"/>
                <w:color w:val="auto"/>
                <w:sz w:val="18"/>
                <w:szCs w:val="18"/>
                <w:lang w:val="en-US" w:eastAsia="zh-CN" w:bidi="ar"/>
              </w:rPr>
              <w:t>%；</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eastAsia="宋体" w:cs="宋体"/>
                <w:i w:val="0"/>
                <w:iCs w:val="0"/>
                <w:color w:val="auto"/>
                <w:sz w:val="18"/>
                <w:szCs w:val="18"/>
                <w:u w:val="none"/>
                <w:lang w:val="en-US" w:eastAsia="zh-CN"/>
              </w:rPr>
              <w:t>水务局提供数据</w:t>
            </w:r>
            <w:r>
              <w:rPr>
                <w:rFonts w:hint="eastAsia" w:ascii="宋体" w:hAnsi="宋体" w:eastAsia="宋体" w:cs="宋体"/>
                <w:i w:val="0"/>
                <w:iCs w:val="0"/>
                <w:color w:val="auto"/>
                <w:sz w:val="18"/>
                <w:szCs w:val="18"/>
                <w:u w:val="none"/>
                <w:lang w:eastAsia="zh-CN"/>
              </w:rPr>
              <w:t>）</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★1.省市水资源公报，明确县（区）年度工业用水总量；</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★2.纳入取水许可管理的工业企业用水户年度用水量统计表；</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★3.公共供水管网工业企业用水户年度用水量统计表；</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sz w:val="18"/>
                <w:szCs w:val="18"/>
                <w:u w:val="none"/>
                <w:lang w:val="en-US" w:eastAsia="zh-CN"/>
              </w:rPr>
              <w:t>区水务公司</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★4.县（区）统计部门或工信部门提供的规模以上工业企业名单（规模以上指年主营业务收入在2000万元以上的工业企业）</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区工信局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水价机制</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推进农业水价综合改革，建立健全农业水价形成机制和农业用水精准补贴机制</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农业水价综合改革实际实施面积占全县灌溉面积比例达到80%的，得2分；每低1%，扣0.1分，扣完为止；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印发农业水价综合改革精准补贴办法的，得1分；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财政落实农业水价综合改革精准补贴资金的，得1分</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☑有 / □无  </w:t>
            </w:r>
            <w:r>
              <w:rPr>
                <w:rStyle w:val="6"/>
                <w:color w:val="auto"/>
                <w:sz w:val="18"/>
                <w:szCs w:val="18"/>
                <w:u w:val="none"/>
                <w:lang w:val="en-US" w:eastAsia="zh-CN" w:bidi="ar"/>
              </w:rPr>
              <w:t>实行农业水价综合改革精准补贴办法文件；政策文件名为</w:t>
            </w:r>
            <w:r>
              <w:rPr>
                <w:rStyle w:val="7"/>
                <w:color w:val="auto"/>
                <w:sz w:val="18"/>
                <w:szCs w:val="18"/>
                <w:u w:val="single"/>
                <w:lang w:val="en-US" w:eastAsia="zh-CN" w:bidi="ar"/>
              </w:rPr>
              <w:t>《</w:t>
            </w:r>
            <w:r>
              <w:rPr>
                <w:rStyle w:val="7"/>
                <w:rFonts w:hint="eastAsia"/>
                <w:color w:val="auto"/>
                <w:sz w:val="18"/>
                <w:szCs w:val="18"/>
                <w:u w:val="single"/>
                <w:lang w:val="en-US" w:eastAsia="zh-CN" w:bidi="ar"/>
              </w:rPr>
              <w:t>花溪区水利工程农业水价小型灌区精准补贴办法》(试行)</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cs="宋体"/>
                <w:i w:val="0"/>
                <w:iCs w:val="0"/>
                <w:color w:val="auto"/>
                <w:sz w:val="18"/>
                <w:szCs w:val="18"/>
                <w:u w:val="none"/>
                <w:lang w:val="en-US" w:eastAsia="zh-CN"/>
              </w:rPr>
              <w:t>水务局</w:t>
            </w:r>
            <w:r>
              <w:rPr>
                <w:rFonts w:hint="eastAsia" w:ascii="宋体" w:hAnsi="宋体" w:eastAsia="宋体" w:cs="宋体"/>
                <w:i w:val="0"/>
                <w:iCs w:val="0"/>
                <w:color w:val="auto"/>
                <w:sz w:val="18"/>
                <w:szCs w:val="18"/>
                <w:u w:val="none"/>
                <w:lang w:val="en-US" w:eastAsia="zh-CN"/>
              </w:rPr>
              <w:t>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rFonts w:ascii="宋体" w:hAnsi="宋体" w:eastAsia="宋体" w:cs="宋体"/>
                <w:i w:val="0"/>
                <w:iCs w:val="0"/>
                <w:color w:val="auto"/>
                <w:sz w:val="18"/>
                <w:szCs w:val="18"/>
                <w:lang w:val="en-US" w:eastAsia="zh-CN" w:bidi="ar"/>
              </w:rPr>
            </w:pPr>
            <w:r>
              <w:rPr>
                <w:rStyle w:val="6"/>
                <w:color w:val="auto"/>
                <w:sz w:val="18"/>
                <w:szCs w:val="18"/>
                <w:u w:val="none"/>
                <w:lang w:val="en-US" w:eastAsia="zh-CN" w:bidi="ar"/>
              </w:rPr>
              <w:t>截止至2024年，花溪区农业水价综合改革实际实施面积为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129306</w:t>
            </w:r>
            <w:r>
              <w:rPr>
                <w:rStyle w:val="7"/>
                <w:color w:val="auto"/>
                <w:sz w:val="18"/>
                <w:szCs w:val="18"/>
                <w:u w:val="single"/>
                <w:lang w:val="en-US" w:eastAsia="zh-CN" w:bidi="ar"/>
              </w:rPr>
              <w:t xml:space="preserve">   </w:t>
            </w:r>
            <w:r>
              <w:rPr>
                <w:rStyle w:val="6"/>
                <w:color w:val="auto"/>
                <w:sz w:val="18"/>
                <w:szCs w:val="18"/>
                <w:u w:val="none"/>
                <w:lang w:val="en-US" w:eastAsia="zh-CN" w:bidi="ar"/>
              </w:rPr>
              <w:t>亩；</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由区水务局提供数据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花溪区灌溉总面积为</w:t>
            </w:r>
            <w:r>
              <w:rPr>
                <w:rStyle w:val="7"/>
                <w:color w:val="auto"/>
                <w:sz w:val="18"/>
                <w:szCs w:val="18"/>
                <w:u w:val="single"/>
                <w:lang w:val="en-US" w:eastAsia="zh-CN" w:bidi="ar"/>
              </w:rPr>
              <w:t xml:space="preserve">  </w:t>
            </w:r>
            <w:r>
              <w:rPr>
                <w:rStyle w:val="6"/>
                <w:rFonts w:hint="eastAsia"/>
                <w:color w:val="auto"/>
                <w:sz w:val="18"/>
                <w:szCs w:val="18"/>
                <w:u w:val="single"/>
                <w:lang w:val="en-US" w:eastAsia="zh-CN" w:bidi="ar"/>
              </w:rPr>
              <w:t>141734.1</w:t>
            </w:r>
            <w:r>
              <w:rPr>
                <w:rStyle w:val="7"/>
                <w:color w:val="auto"/>
                <w:sz w:val="18"/>
                <w:szCs w:val="18"/>
                <w:u w:val="single"/>
                <w:lang w:val="en-US" w:eastAsia="zh-CN" w:bidi="ar"/>
              </w:rPr>
              <w:t xml:space="preserve"> </w:t>
            </w:r>
            <w:r>
              <w:rPr>
                <w:rStyle w:val="6"/>
                <w:color w:val="auto"/>
                <w:sz w:val="18"/>
                <w:szCs w:val="18"/>
                <w:u w:val="none"/>
                <w:lang w:val="en-US" w:eastAsia="zh-CN" w:bidi="ar"/>
              </w:rPr>
              <w:t>亩；</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区水务局提供数据</w:t>
            </w:r>
            <w:r>
              <w:rPr>
                <w:rFonts w:hint="eastAsia" w:ascii="宋体" w:hAnsi="宋体" w:eastAsia="宋体" w:cs="宋体"/>
                <w:i w:val="0"/>
                <w:iCs w:val="0"/>
                <w:color w:val="auto"/>
                <w:sz w:val="18"/>
                <w:szCs w:val="18"/>
                <w:u w:val="none"/>
                <w:lang w:eastAsia="zh-CN"/>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农业水价综合改革为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91</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由区水务局提供数据</w:t>
            </w:r>
            <w:r>
              <w:rPr>
                <w:rFonts w:hint="eastAsia" w:ascii="宋体" w:hAnsi="宋体" w:eastAsia="宋体" w:cs="宋体"/>
                <w:i w:val="0"/>
                <w:iCs w:val="0"/>
                <w:color w:val="auto"/>
                <w:sz w:val="18"/>
                <w:szCs w:val="18"/>
                <w:u w:val="none"/>
                <w:lang w:eastAsia="zh-CN"/>
              </w:rPr>
              <w:t>）</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★1.关于推进农业水价综合改革的政策文件、实施方案等，需明确县（区）计划实施的总面积；</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★2.县（区）累计已实施改革总面积的验收证明材料或上级主管部门提供的证明材料；</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★3.县（区）关于农业水价综合改革精准补贴的标准（需明确占运行维护成本比例）、补助经费批复和使用证明材料；</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4.农业供水工程运行维护成本核算材料；</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5.县（区）实际实施农业水价综合改革面积范围矢量图。</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8"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实行居民用水阶梯水价制度</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实行城镇居民生活用水阶梯水价制度,得4分;发现一例制度未有效落实的，扣1分，扣完为止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实行居民用水阶梯水价制度的政策文件；</w:t>
            </w:r>
            <w:r>
              <w:rPr>
                <w:rStyle w:val="6"/>
                <w:rFonts w:ascii="宋体" w:hAnsi="宋体" w:eastAsia="宋体" w:cs="宋体"/>
                <w:color w:val="auto"/>
                <w:sz w:val="18"/>
                <w:szCs w:val="18"/>
                <w:u w:val="none"/>
                <w:lang w:val="en-US" w:eastAsia="zh-CN" w:bidi="ar"/>
              </w:rPr>
              <w:t xml:space="preserve">政策文件名为 </w:t>
            </w:r>
            <w:r>
              <w:rPr>
                <w:rStyle w:val="6"/>
                <w:rFonts w:ascii="宋体" w:hAnsi="宋体" w:eastAsia="宋体" w:cs="宋体"/>
                <w:color w:val="auto"/>
                <w:sz w:val="18"/>
                <w:szCs w:val="18"/>
                <w:u w:val="single"/>
                <w:lang w:val="en-US" w:eastAsia="zh-CN" w:bidi="ar"/>
              </w:rPr>
              <w:t>《</w:t>
            </w:r>
            <w:r>
              <w:rPr>
                <w:rStyle w:val="6"/>
                <w:rFonts w:hint="eastAsia" w:ascii="宋体" w:hAnsi="宋体" w:eastAsia="宋体" w:cs="宋体"/>
                <w:color w:val="auto"/>
                <w:sz w:val="18"/>
                <w:szCs w:val="18"/>
                <w:u w:val="single"/>
                <w:lang w:val="en-US" w:eastAsia="zh-CN" w:bidi="ar"/>
              </w:rPr>
              <w:t>关于完善城镇居民用水阶梯价格和非居民用水超定额累进加价制度的通知》（花发改价〔2019〕2号）</w:t>
            </w:r>
            <w:r>
              <w:rPr>
                <w:rStyle w:val="6"/>
                <w:rFonts w:ascii="宋体" w:hAnsi="宋体" w:eastAsia="宋体" w:cs="宋体"/>
                <w:color w:val="auto"/>
                <w:sz w:val="18"/>
                <w:szCs w:val="18"/>
                <w:u w:val="none"/>
                <w:lang w:val="en-US" w:eastAsia="zh-CN" w:bidi="ar"/>
              </w:rPr>
              <w:t>。</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由</w:t>
            </w:r>
            <w:r>
              <w:rPr>
                <w:rFonts w:hint="eastAsia" w:ascii="宋体" w:hAnsi="宋体" w:eastAsia="宋体" w:cs="宋体"/>
                <w:i w:val="0"/>
                <w:iCs w:val="0"/>
                <w:color w:val="auto"/>
                <w:sz w:val="18"/>
                <w:szCs w:val="18"/>
                <w:u w:val="none"/>
                <w:lang w:eastAsia="zh-CN"/>
              </w:rPr>
              <w:t>区</w:t>
            </w:r>
            <w:r>
              <w:rPr>
                <w:rFonts w:hint="eastAsia" w:ascii="宋体" w:hAnsi="宋体" w:eastAsia="宋体" w:cs="宋体"/>
                <w:i w:val="0"/>
                <w:iCs w:val="0"/>
                <w:color w:val="auto"/>
                <w:sz w:val="18"/>
                <w:szCs w:val="18"/>
                <w:u w:val="none"/>
                <w:lang w:val="en-US" w:eastAsia="zh-CN"/>
              </w:rPr>
              <w:t>发改局、区财政局提供数据</w:t>
            </w:r>
            <w:r>
              <w:rPr>
                <w:rFonts w:hint="eastAsia" w:ascii="宋体" w:hAnsi="宋体" w:eastAsia="宋体" w:cs="宋体"/>
                <w:i w:val="0"/>
                <w:iCs w:val="0"/>
                <w:color w:val="auto"/>
                <w:sz w:val="18"/>
                <w:szCs w:val="18"/>
                <w:u w:val="none"/>
                <w:lang w:eastAsia="zh-CN"/>
              </w:rPr>
              <w:t>）</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★1.县（区）关于实行居民用水阶梯水价制度的政策文件或采用的上级管理部门印发的有关落实居民用水阶梯水价制度的政策文件；</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2.近两年部分用水户阶梯水价缴费发票或收据；</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区水务公司</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推进农村供水工程水费收缴</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农村集中供水工程水费收缴率≥90%，得4分；每低1%，扣0.2分，扣完为止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w:t>
            </w:r>
            <w:r>
              <w:rPr>
                <w:rStyle w:val="6"/>
                <w:rFonts w:hint="eastAsia"/>
                <w:color w:val="auto"/>
                <w:sz w:val="18"/>
                <w:szCs w:val="18"/>
                <w:u w:val="none"/>
                <w:lang w:val="en-US" w:eastAsia="zh-CN" w:bidi="ar"/>
              </w:rPr>
              <w:t>收缴农村供水工程水费的</w:t>
            </w:r>
            <w:r>
              <w:rPr>
                <w:rStyle w:val="6"/>
                <w:color w:val="auto"/>
                <w:sz w:val="18"/>
                <w:szCs w:val="18"/>
                <w:u w:val="none"/>
                <w:lang w:val="en-US" w:eastAsia="zh-CN" w:bidi="ar"/>
              </w:rPr>
              <w:t>政策文件；政策文件名为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花溪区发改局关于调整花溪区石板镇片区供水水价格并推行阶梯式水价的通知》(花发改价〔2014〕3号)、《花溪区发改局关于完善城镇居民用水阶梯价格和非居民用水超定额累进加价制度的通知》《花发改价〔2019〕2号)</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（由区水务局、区财政局提供数据）</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农村供水工程水费收缴率为</w:t>
            </w:r>
            <w:r>
              <w:rPr>
                <w:rStyle w:val="7"/>
                <w:rFonts w:hint="eastAsia"/>
                <w:color w:val="auto"/>
                <w:sz w:val="18"/>
                <w:szCs w:val="18"/>
                <w:u w:val="single"/>
                <w:lang w:val="en-US" w:eastAsia="zh-CN" w:bidi="ar"/>
              </w:rPr>
              <w:t>92.5</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Style w:val="6"/>
                <w:rFonts w:hint="eastAsia"/>
                <w:color w:val="auto"/>
                <w:sz w:val="18"/>
                <w:szCs w:val="18"/>
                <w:u w:val="none"/>
                <w:lang w:val="en-US" w:eastAsia="zh-CN" w:bidi="ar"/>
              </w:rPr>
              <w:t>（由各乡镇（街道）、区水务局提供数据）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★1.县（区）关于收缴农村供水工程水费的政策文件；</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★2.2023年农村供水工程水费收缴征收情况统计表（含用水户名称、征缴额、对应水资源量等）；</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区水务公司、农投公司、城投公司、各乡镇办事处</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★3.2023年部分农村人饮用水户缴费发票或收据；</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各乡镇（街道）</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水价机制</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实行非居民用水超计划超定额累进加价制度</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实行非居民用水超计划超定额累进加价制度，得4分;发现一例制度未有效落实的，扣1分，扣完为止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实行非居民用水超计划超定额累进加价；政策文件名为</w:t>
            </w:r>
            <w:r>
              <w:rPr>
                <w:rStyle w:val="7"/>
                <w:color w:val="auto"/>
                <w:sz w:val="18"/>
                <w:szCs w:val="18"/>
                <w:u w:val="single"/>
                <w:lang w:val="en-US" w:eastAsia="zh-CN" w:bidi="ar"/>
              </w:rPr>
              <w:t xml:space="preserve"> </w:t>
            </w:r>
            <w:r>
              <w:rPr>
                <w:rStyle w:val="6"/>
                <w:rFonts w:ascii="宋体" w:hAnsi="宋体" w:eastAsia="宋体" w:cs="宋体"/>
                <w:color w:val="auto"/>
                <w:sz w:val="18"/>
                <w:szCs w:val="18"/>
                <w:u w:val="single"/>
                <w:lang w:val="en-US" w:eastAsia="zh-CN" w:bidi="ar"/>
              </w:rPr>
              <w:t>《</w:t>
            </w:r>
            <w:r>
              <w:rPr>
                <w:rStyle w:val="6"/>
                <w:rFonts w:hint="eastAsia" w:ascii="宋体" w:hAnsi="宋体" w:eastAsia="宋体" w:cs="宋体"/>
                <w:color w:val="auto"/>
                <w:sz w:val="18"/>
                <w:szCs w:val="18"/>
                <w:u w:val="single"/>
                <w:lang w:val="en-US" w:eastAsia="zh-CN" w:bidi="ar"/>
              </w:rPr>
              <w:t>关于完善城镇居民用水阶梯价格和非居民用水超定额累进加价制度的通知》（花发改价〔2019〕2号）</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Style w:val="6"/>
                <w:rFonts w:hint="eastAsia"/>
                <w:color w:val="auto"/>
                <w:sz w:val="18"/>
                <w:szCs w:val="18"/>
                <w:u w:val="none"/>
                <w:lang w:val="en-US" w:eastAsia="zh-CN" w:bidi="ar"/>
              </w:rPr>
              <w:t>（由区发改局提供数据）</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rFonts w:hint="eastAsia"/>
                <w:color w:val="auto"/>
                <w:sz w:val="18"/>
                <w:szCs w:val="18"/>
                <w:u w:val="none"/>
                <w:lang w:val="en-US" w:eastAsia="zh-CN" w:bidi="ar"/>
              </w:rPr>
              <w:t>2023年</w:t>
            </w:r>
            <w:r>
              <w:rPr>
                <w:rStyle w:val="6"/>
                <w:color w:val="auto"/>
                <w:sz w:val="18"/>
                <w:szCs w:val="18"/>
                <w:u w:val="none"/>
                <w:lang w:val="en-US" w:eastAsia="zh-CN" w:bidi="ar"/>
              </w:rPr>
              <w:t>用水</w:t>
            </w:r>
            <w:r>
              <w:rPr>
                <w:rStyle w:val="6"/>
                <w:rFonts w:ascii="宋体" w:hAnsi="宋体" w:eastAsia="宋体" w:cs="宋体"/>
                <w:color w:val="auto"/>
                <w:sz w:val="18"/>
                <w:szCs w:val="18"/>
                <w:u w:val="none"/>
                <w:lang w:val="en-US" w:eastAsia="zh-CN" w:bidi="ar"/>
              </w:rPr>
              <w:t>超计划</w:t>
            </w:r>
            <w:r>
              <w:rPr>
                <w:rStyle w:val="6"/>
                <w:color w:val="auto"/>
                <w:sz w:val="18"/>
                <w:szCs w:val="18"/>
                <w:u w:val="none"/>
                <w:lang w:val="en-US" w:eastAsia="zh-CN" w:bidi="ar"/>
              </w:rPr>
              <w:t>超定额用水户数量为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 3</w:t>
            </w:r>
            <w:r>
              <w:rPr>
                <w:rStyle w:val="6"/>
                <w:color w:val="auto"/>
                <w:sz w:val="18"/>
                <w:szCs w:val="18"/>
                <w:u w:val="none"/>
                <w:lang w:val="en-US" w:eastAsia="zh-CN" w:bidi="ar"/>
              </w:rPr>
              <w:t>个；</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rFonts w:hint="eastAsia"/>
                <w:color w:val="auto"/>
                <w:sz w:val="18"/>
                <w:szCs w:val="18"/>
                <w:u w:val="none"/>
                <w:lang w:val="en-US" w:eastAsia="zh-CN" w:bidi="ar"/>
              </w:rPr>
              <w:t>2023年</w:t>
            </w:r>
            <w:r>
              <w:rPr>
                <w:rStyle w:val="6"/>
                <w:color w:val="auto"/>
                <w:sz w:val="18"/>
                <w:szCs w:val="18"/>
                <w:u w:val="none"/>
                <w:lang w:val="en-US" w:eastAsia="zh-CN" w:bidi="ar"/>
              </w:rPr>
              <w:t>用水超计划超</w:t>
            </w:r>
            <w:r>
              <w:rPr>
                <w:rStyle w:val="6"/>
                <w:rFonts w:ascii="宋体" w:hAnsi="宋体" w:eastAsia="宋体" w:cs="宋体"/>
                <w:color w:val="auto"/>
                <w:sz w:val="18"/>
                <w:szCs w:val="18"/>
                <w:u w:val="none"/>
                <w:lang w:val="en-US" w:eastAsia="zh-CN" w:bidi="ar"/>
              </w:rPr>
              <w:t>定额</w:t>
            </w:r>
            <w:r>
              <w:rPr>
                <w:rStyle w:val="6"/>
                <w:color w:val="auto"/>
                <w:sz w:val="18"/>
                <w:szCs w:val="18"/>
                <w:u w:val="none"/>
                <w:lang w:val="en-US" w:eastAsia="zh-CN" w:bidi="ar"/>
              </w:rPr>
              <w:t>累进加价收缴金额为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0.6534</w:t>
            </w:r>
            <w:r>
              <w:rPr>
                <w:rStyle w:val="6"/>
                <w:color w:val="auto"/>
                <w:sz w:val="18"/>
                <w:szCs w:val="18"/>
                <w:u w:val="none"/>
                <w:lang w:val="en-US" w:eastAsia="zh-CN" w:bidi="ar"/>
              </w:rPr>
              <w:t>万元。</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★1.县（区）关于实行非居民用水超计划超定额累进加价制度政策文件或采用的上级管理部门印发的有关落实非居民用水超计划超定额累进加价制度政策文件；</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2.近两年部分非居民用水户实行超计划超定额累进加价缴费发票或收据；</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0"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3.如未发生超计划超定额情况，需提供水行政主管部门出具的证明材料</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水资源费征缴</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农村集中供水工程水费收缴率≥90%，得4分；每低1%，扣0.2分，扣完为止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Style w:val="6"/>
                <w:color w:val="auto"/>
                <w:sz w:val="18"/>
                <w:szCs w:val="18"/>
                <w:u w:val="single"/>
                <w:lang w:val="en-US" w:eastAsia="zh-CN" w:bidi="ar"/>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实行水资源费征收的政策文件；政策文件</w:t>
            </w:r>
            <w:r>
              <w:rPr>
                <w:rStyle w:val="6"/>
                <w:rFonts w:hint="eastAsia"/>
                <w:color w:val="auto"/>
                <w:sz w:val="18"/>
                <w:szCs w:val="18"/>
                <w:u w:val="none"/>
                <w:lang w:val="en-US" w:eastAsia="zh-CN" w:bidi="ar"/>
              </w:rPr>
              <w:t>名</w:t>
            </w:r>
            <w:r>
              <w:rPr>
                <w:rStyle w:val="6"/>
                <w:color w:val="auto"/>
                <w:sz w:val="18"/>
                <w:szCs w:val="18"/>
                <w:u w:val="none"/>
                <w:lang w:val="en-US" w:eastAsia="zh-CN" w:bidi="ar"/>
              </w:rPr>
              <w:t>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关于转发省发展改革委 省财政厅 省水利厅关于调整水资源费征收标准有关事项的通知</w:t>
            </w:r>
            <w:r>
              <w:rPr>
                <w:rStyle w:val="7"/>
                <w:color w:val="auto"/>
                <w:sz w:val="18"/>
                <w:szCs w:val="18"/>
                <w:u w:val="single"/>
                <w:lang w:val="en-US" w:eastAsia="zh-CN" w:bidi="ar"/>
              </w:rPr>
              <w:t>》（</w:t>
            </w:r>
            <w:r>
              <w:rPr>
                <w:rStyle w:val="7"/>
                <w:rFonts w:hint="eastAsia"/>
                <w:color w:val="auto"/>
                <w:sz w:val="18"/>
                <w:szCs w:val="18"/>
                <w:u w:val="single"/>
                <w:lang w:val="en-US" w:eastAsia="zh-CN" w:bidi="ar"/>
              </w:rPr>
              <w:t>筑水字</w:t>
            </w:r>
            <w:r>
              <w:rPr>
                <w:rStyle w:val="6"/>
                <w:rFonts w:hint="eastAsia" w:ascii="宋体" w:hAnsi="宋体" w:eastAsia="宋体" w:cs="宋体"/>
                <w:color w:val="auto"/>
                <w:sz w:val="18"/>
                <w:szCs w:val="18"/>
                <w:u w:val="single"/>
                <w:lang w:val="en-US" w:eastAsia="zh-CN" w:bidi="ar"/>
              </w:rPr>
              <w:t>〔2015〕</w:t>
            </w:r>
            <w:r>
              <w:rPr>
                <w:rStyle w:val="7"/>
                <w:rFonts w:hint="eastAsia"/>
                <w:color w:val="auto"/>
                <w:sz w:val="18"/>
                <w:szCs w:val="18"/>
                <w:u w:val="single"/>
                <w:lang w:val="en-US" w:eastAsia="zh-CN" w:bidi="ar"/>
              </w:rPr>
              <w:t>71号）</w:t>
            </w:r>
            <w:r>
              <w:rPr>
                <w:rStyle w:val="7"/>
                <w:color w:val="auto"/>
                <w:sz w:val="18"/>
                <w:szCs w:val="18"/>
                <w:u w:val="none"/>
                <w:lang w:val="en-US" w:eastAsia="zh-CN" w:bidi="ar"/>
              </w:rPr>
              <w:t xml:space="preserve"> ；</w:t>
            </w:r>
            <w:r>
              <w:rPr>
                <w:rStyle w:val="7"/>
                <w:rFonts w:hint="eastAsia"/>
                <w:color w:val="auto"/>
                <w:sz w:val="18"/>
                <w:szCs w:val="18"/>
                <w:u w:val="none"/>
                <w:lang w:val="en-US" w:eastAsia="zh-CN" w:bidi="ar"/>
              </w:rPr>
              <w:t>（由区发改局提供数据）</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2023年水资源费应征缴总额为</w:t>
            </w:r>
            <w:r>
              <w:rPr>
                <w:rStyle w:val="7"/>
                <w:rFonts w:hint="eastAsia"/>
                <w:color w:val="auto"/>
                <w:sz w:val="18"/>
                <w:szCs w:val="18"/>
                <w:u w:val="single"/>
                <w:lang w:val="en-US" w:eastAsia="zh-CN" w:bidi="ar"/>
              </w:rPr>
              <w:t>64.224627</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 </w:t>
            </w:r>
            <w:r>
              <w:rPr>
                <w:rStyle w:val="6"/>
                <w:color w:val="auto"/>
                <w:sz w:val="18"/>
                <w:szCs w:val="18"/>
                <w:u w:val="none"/>
                <w:lang w:val="en-US" w:eastAsia="zh-CN" w:bidi="ar"/>
              </w:rPr>
              <w:t>万元；应征缴对应的水资源量为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717.2598</w:t>
            </w:r>
            <w:r>
              <w:rPr>
                <w:rStyle w:val="7"/>
                <w:color w:val="auto"/>
                <w:sz w:val="18"/>
                <w:szCs w:val="18"/>
                <w:u w:val="single"/>
                <w:lang w:val="en-US" w:eastAsia="zh-CN" w:bidi="ar"/>
              </w:rPr>
              <w:t xml:space="preserve"> </w:t>
            </w:r>
            <w:r>
              <w:rPr>
                <w:rStyle w:val="6"/>
                <w:color w:val="auto"/>
                <w:sz w:val="18"/>
                <w:szCs w:val="18"/>
                <w:u w:val="none"/>
                <w:lang w:val="en-US" w:eastAsia="zh-CN" w:bidi="ar"/>
              </w:rPr>
              <w:t>万m³。（</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2023年水资源费实际征缴总额为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64.224627</w:t>
            </w:r>
            <w:r>
              <w:rPr>
                <w:rStyle w:val="7"/>
                <w:color w:val="auto"/>
                <w:sz w:val="18"/>
                <w:szCs w:val="18"/>
                <w:u w:val="single"/>
                <w:lang w:val="en-US" w:eastAsia="zh-CN" w:bidi="ar"/>
              </w:rPr>
              <w:t xml:space="preserve"> </w:t>
            </w:r>
            <w:r>
              <w:rPr>
                <w:rStyle w:val="6"/>
                <w:color w:val="auto"/>
                <w:sz w:val="18"/>
                <w:szCs w:val="18"/>
                <w:u w:val="none"/>
                <w:lang w:val="en-US" w:eastAsia="zh-CN" w:bidi="ar"/>
              </w:rPr>
              <w:t>万元；实际征缴对应的水资源量为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717.2598</w:t>
            </w:r>
            <w:r>
              <w:rPr>
                <w:rStyle w:val="6"/>
                <w:color w:val="auto"/>
                <w:sz w:val="18"/>
                <w:szCs w:val="18"/>
                <w:u w:val="none"/>
                <w:lang w:val="en-US" w:eastAsia="zh-CN" w:bidi="ar"/>
              </w:rPr>
              <w:t>万m³。（</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★1.县（区）关于实行水资源费征收的政策文件或采用的上级管理部门印发的有关落实水资源费征缴的政策文件；</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★2.2023年水资源费征收情况统计表（含用水户名称、征缴额、对应水资源量等）；</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★3.2023年部分水资源费缴费单据；</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4.如水资源费征缴与取水许可发证单位名录不一致时，需提供水行政主管部门出具的证明材料；</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5.专项检查文件及结果通报，若有请提供，若无请由上级水行政主管部门提供无相关检查证明</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1"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节水评价制度落实情况</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节水评价制度落实情况</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严格落实节水评价制度，得6分，发现一例在水资源论证、相关规划编制等工作中节水评价应开展未开展或不符合技术、管理要求的，扣1分，扣完为止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2023年水资源论证数量为</w:t>
            </w:r>
            <w:r>
              <w:rPr>
                <w:rStyle w:val="8"/>
                <w:color w:val="auto"/>
                <w:sz w:val="18"/>
                <w:szCs w:val="18"/>
                <w:u w:val="single"/>
                <w:lang w:val="en-US" w:eastAsia="zh-CN" w:bidi="ar"/>
              </w:rPr>
              <w:t xml:space="preserve">  </w:t>
            </w:r>
            <w:r>
              <w:rPr>
                <w:rStyle w:val="8"/>
                <w:rFonts w:hint="eastAsia"/>
                <w:color w:val="auto"/>
                <w:sz w:val="18"/>
                <w:szCs w:val="18"/>
                <w:u w:val="single"/>
                <w:lang w:val="en-US" w:eastAsia="zh-CN" w:bidi="ar"/>
              </w:rPr>
              <w:t>7</w:t>
            </w:r>
            <w:r>
              <w:rPr>
                <w:rStyle w:val="8"/>
                <w:color w:val="auto"/>
                <w:sz w:val="18"/>
                <w:szCs w:val="18"/>
                <w:u w:val="single"/>
                <w:lang w:val="en-US" w:eastAsia="zh-CN" w:bidi="ar"/>
              </w:rPr>
              <w:t xml:space="preserve">  </w:t>
            </w:r>
            <w:r>
              <w:rPr>
                <w:rStyle w:val="9"/>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9"/>
                <w:color w:val="auto"/>
                <w:sz w:val="18"/>
                <w:szCs w:val="18"/>
                <w:lang w:val="en-US" w:eastAsia="zh-CN" w:bidi="ar"/>
              </w:rPr>
              <w:t>未开展或不符合技术、管理要求的数量为</w:t>
            </w:r>
            <w:r>
              <w:rPr>
                <w:rStyle w:val="8"/>
                <w:color w:val="auto"/>
                <w:sz w:val="18"/>
                <w:szCs w:val="18"/>
                <w:u w:val="single"/>
                <w:lang w:val="en-US" w:eastAsia="zh-CN" w:bidi="ar"/>
              </w:rPr>
              <w:t xml:space="preserve">   </w:t>
            </w:r>
            <w:r>
              <w:rPr>
                <w:rStyle w:val="8"/>
                <w:rFonts w:hint="eastAsia"/>
                <w:color w:val="auto"/>
                <w:sz w:val="18"/>
                <w:szCs w:val="18"/>
                <w:u w:val="single"/>
                <w:lang w:val="en-US" w:eastAsia="zh-CN" w:bidi="ar"/>
              </w:rPr>
              <w:t>0</w:t>
            </w:r>
            <w:r>
              <w:rPr>
                <w:rStyle w:val="8"/>
                <w:color w:val="auto"/>
                <w:sz w:val="18"/>
                <w:szCs w:val="18"/>
                <w:u w:val="single"/>
                <w:lang w:val="en-US" w:eastAsia="zh-CN" w:bidi="ar"/>
              </w:rPr>
              <w:t xml:space="preserve">  </w:t>
            </w:r>
            <w:r>
              <w:rPr>
                <w:rStyle w:val="9"/>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1.评价年水资源论证、相关规划编制等工作中开展节水评价情况台账；</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、区发改局、区住建局、区工信局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2.评价年应开展节水评价的规划和建设项目清单</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、区发改局、区住建局、区工信局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7"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3.水资源论证、相关规划报告中节水评价章节及相关审查意见（不少于6个项目，不足按实际数量提供）。</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、区发改局、区住建局、区工信局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节水“三同时”管理</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新改扩建建设项目执行节水设施与主体工程同时设计、同时施工、同时投产制度</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新建、扩建、改建建设项目全部执行节水“三同时”管理制度，得6分，发现一例未落实节水“三同时”制度的，扣1分，扣完为止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Style w:val="6"/>
                <w:color w:val="auto"/>
                <w:sz w:val="18"/>
                <w:szCs w:val="18"/>
                <w:u w:val="none"/>
                <w:lang w:val="en-US" w:eastAsia="zh-CN" w:bidi="ar"/>
              </w:rPr>
              <w:t>实行节水“三同时”管理的政策文件；政策文件名为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贵阳市花溪区住房和城乡建设局关于转发《贵阳市发展和改革委员会 贵阳市规划管理局 贵阳市建设局 贵阳市管理局贵阳市经济贸易委员会 关于对建设项目节水“三同时”的管理规定》的通知》（花建报</w:t>
            </w:r>
            <w:r>
              <w:rPr>
                <w:rStyle w:val="6"/>
                <w:rFonts w:hint="eastAsia" w:ascii="宋体" w:hAnsi="宋体" w:eastAsia="宋体" w:cs="宋体"/>
                <w:color w:val="auto"/>
                <w:sz w:val="18"/>
                <w:szCs w:val="18"/>
                <w:u w:val="single"/>
                <w:lang w:val="en-US" w:eastAsia="zh-CN" w:bidi="ar"/>
              </w:rPr>
              <w:t>〔2016〕18</w:t>
            </w:r>
            <w:r>
              <w:rPr>
                <w:rStyle w:val="7"/>
                <w:rFonts w:hint="eastAsia"/>
                <w:color w:val="auto"/>
                <w:sz w:val="18"/>
                <w:szCs w:val="18"/>
                <w:u w:val="single"/>
                <w:lang w:val="en-US" w:eastAsia="zh-CN" w:bidi="ar"/>
              </w:rPr>
              <w:t>号）</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Style w:val="6"/>
                <w:rFonts w:hint="eastAsia"/>
                <w:color w:val="auto"/>
                <w:sz w:val="18"/>
                <w:szCs w:val="18"/>
                <w:u w:val="none"/>
                <w:lang w:val="en-US" w:eastAsia="zh-CN" w:bidi="ar"/>
              </w:rPr>
              <w:t>由区住建局提供数据）</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u w:val="none"/>
                <w:lang w:val="en-US" w:eastAsia="zh-CN" w:bidi="ar"/>
              </w:rPr>
              <w:t>2023年新、改、扩项目数量为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u w:val="none"/>
                <w:lang w:val="en-US" w:eastAsia="zh-CN" w:bidi="ar"/>
              </w:rPr>
              <w:t>个；（</w:t>
            </w:r>
            <w:r>
              <w:rPr>
                <w:rStyle w:val="6"/>
                <w:rFonts w:hint="eastAsia"/>
                <w:color w:val="auto"/>
                <w:sz w:val="18"/>
                <w:szCs w:val="18"/>
                <w:u w:val="none"/>
                <w:lang w:val="en-US" w:eastAsia="zh-CN" w:bidi="ar"/>
              </w:rPr>
              <w:t>由区住建局提供数据）</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未落实节水“三同时”制度的</w:t>
            </w:r>
            <w:r>
              <w:rPr>
                <w:rStyle w:val="6"/>
                <w:rFonts w:hint="eastAsia"/>
                <w:color w:val="auto"/>
                <w:sz w:val="18"/>
                <w:szCs w:val="18"/>
                <w:u w:val="none"/>
                <w:lang w:val="en-US" w:eastAsia="zh-CN" w:bidi="ar"/>
              </w:rPr>
              <w:t>项目</w:t>
            </w:r>
            <w:r>
              <w:rPr>
                <w:rStyle w:val="6"/>
                <w:color w:val="auto"/>
                <w:sz w:val="18"/>
                <w:szCs w:val="18"/>
                <w:u w:val="none"/>
                <w:lang w:val="en-US" w:eastAsia="zh-CN" w:bidi="ar"/>
              </w:rPr>
              <w:t>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w:t>
            </w:r>
            <w:r>
              <w:rPr>
                <w:rStyle w:val="7"/>
                <w:color w:val="auto"/>
                <w:sz w:val="18"/>
                <w:szCs w:val="18"/>
                <w:u w:val="single"/>
                <w:lang w:val="en-US" w:eastAsia="zh-CN" w:bidi="ar"/>
              </w:rPr>
              <w:t xml:space="preserve">  </w:t>
            </w:r>
            <w:r>
              <w:rPr>
                <w:rStyle w:val="6"/>
                <w:color w:val="auto"/>
                <w:sz w:val="18"/>
                <w:szCs w:val="18"/>
                <w:u w:val="none"/>
                <w:lang w:val="en-US" w:eastAsia="zh-CN" w:bidi="ar"/>
              </w:rPr>
              <w:t>个。（</w:t>
            </w:r>
            <w:r>
              <w:rPr>
                <w:rStyle w:val="6"/>
                <w:rFonts w:hint="eastAsia"/>
                <w:color w:val="auto"/>
                <w:sz w:val="18"/>
                <w:szCs w:val="18"/>
                <w:u w:val="none"/>
                <w:lang w:val="en-US" w:eastAsia="zh-CN" w:bidi="ar"/>
              </w:rPr>
              <w:t>由区住建局、区水务局提供数据）</w:t>
            </w:r>
          </w:p>
          <w:p>
            <w:pPr>
              <w:bidi w:val="0"/>
              <w:jc w:val="left"/>
              <w:rPr>
                <w:rFonts w:hint="eastAsia"/>
                <w:color w:val="auto"/>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★1.县（区）关于实行节水“三同时”管理的政策文件或采用的上级管理部门印发的有关落实节水“三同时”管理的政策、法规、规章等；</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区住建局</w:t>
            </w:r>
            <w:r>
              <w:rPr>
                <w:rFonts w:hint="eastAsia" w:ascii="宋体" w:hAnsi="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★2.主管部门提供的2023年新、改、扩项目名录及每个项目的施工方案，是否</w:t>
            </w:r>
            <w:r>
              <w:rPr>
                <w:rFonts w:hint="eastAsia" w:ascii="宋体" w:hAnsi="宋体" w:cs="宋体"/>
                <w:i w:val="0"/>
                <w:iCs w:val="0"/>
                <w:color w:val="auto"/>
                <w:kern w:val="0"/>
                <w:sz w:val="18"/>
                <w:szCs w:val="18"/>
                <w:u w:val="none"/>
                <w:lang w:val="en-US" w:eastAsia="zh-CN" w:bidi="ar"/>
              </w:rPr>
              <w:t>有</w:t>
            </w:r>
            <w:r>
              <w:rPr>
                <w:rFonts w:hint="eastAsia" w:ascii="宋体" w:hAnsi="宋体" w:eastAsia="宋体" w:cs="宋体"/>
                <w:i w:val="0"/>
                <w:iCs w:val="0"/>
                <w:color w:val="auto"/>
                <w:kern w:val="0"/>
                <w:sz w:val="18"/>
                <w:szCs w:val="18"/>
                <w:u w:val="none"/>
                <w:lang w:val="en-US" w:eastAsia="zh-CN" w:bidi="ar"/>
              </w:rPr>
              <w:t>节水“三同时”管理等</w:t>
            </w:r>
            <w:r>
              <w:rPr>
                <w:rFonts w:hint="eastAsia" w:ascii="宋体" w:hAnsi="宋体" w:cs="宋体"/>
                <w:i w:val="0"/>
                <w:iCs w:val="0"/>
                <w:color w:val="auto"/>
                <w:kern w:val="0"/>
                <w:sz w:val="18"/>
                <w:szCs w:val="18"/>
                <w:u w:val="none"/>
                <w:lang w:val="en-US" w:eastAsia="zh-CN" w:bidi="ar"/>
              </w:rPr>
              <w:t>内容</w:t>
            </w:r>
            <w:r>
              <w:rPr>
                <w:rFonts w:hint="eastAsia" w:ascii="宋体" w:hAnsi="宋体" w:eastAsia="宋体" w:cs="宋体"/>
                <w:i w:val="0"/>
                <w:iCs w:val="0"/>
                <w:color w:val="auto"/>
                <w:kern w:val="0"/>
                <w:sz w:val="18"/>
                <w:szCs w:val="18"/>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区住建局</w:t>
            </w:r>
            <w:r>
              <w:rPr>
                <w:rFonts w:hint="eastAsia" w:ascii="宋体" w:hAnsi="宋体" w:cs="宋体"/>
                <w:i w:val="0"/>
                <w:iCs w:val="0"/>
                <w:color w:val="auto"/>
                <w:kern w:val="0"/>
                <w:sz w:val="18"/>
                <w:szCs w:val="18"/>
                <w:u w:val="none"/>
                <w:lang w:val="en-US" w:eastAsia="zh-CN" w:bidi="ar"/>
              </w:rPr>
              <w:t>、区发改局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★3.新、改、扩项目节水措施方案及相应的节水措施设计和验收材料（不少于6个，不足按实际数量提供）；</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区住建局</w:t>
            </w:r>
            <w:r>
              <w:rPr>
                <w:rFonts w:hint="eastAsia" w:ascii="宋体" w:hAnsi="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0"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专项检查文件及结果通报，若有请提供，若无请由上级水行政主管部门提供无相关检查证明</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区住建局</w:t>
            </w:r>
            <w:r>
              <w:rPr>
                <w:rFonts w:hint="eastAsia" w:ascii="宋体" w:hAnsi="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节水载体建设</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推进节水型灌区建设</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通过省级复核确认的大中型节水型灌区面积占全县灌溉面积70%以上，得3分;占60%-70%(含)得2分;占50%-60%(含)得1分。其中，一个以上大中型节水型灌区通过水利部复核确认的，加1分</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r>
              <w:rPr>
                <w:rFonts w:hint="eastAsia" w:ascii="宋体" w:hAnsi="宋体" w:cs="宋体"/>
                <w:i w:val="0"/>
                <w:iCs w:val="0"/>
                <w:color w:val="auto"/>
                <w:kern w:val="0"/>
                <w:sz w:val="18"/>
                <w:szCs w:val="18"/>
                <w:u w:val="none"/>
                <w:lang w:val="en-US" w:eastAsia="zh-CN" w:bidi="ar"/>
              </w:rPr>
              <w:t>花溪区</w:t>
            </w:r>
            <w:r>
              <w:rPr>
                <w:rFonts w:hint="eastAsia" w:ascii="宋体" w:hAnsi="宋体" w:eastAsia="宋体" w:cs="宋体"/>
                <w:i w:val="0"/>
                <w:iCs w:val="0"/>
                <w:color w:val="auto"/>
                <w:kern w:val="0"/>
                <w:sz w:val="18"/>
                <w:szCs w:val="18"/>
                <w:u w:val="none"/>
                <w:lang w:val="en-US" w:eastAsia="zh-CN" w:bidi="ar"/>
              </w:rPr>
              <w:t>无大中型灌区，为缺项。</w:t>
            </w:r>
            <w:r>
              <w:rPr>
                <w:rFonts w:hint="eastAsia" w:ascii="宋体" w:hAnsi="宋体" w:cs="宋体"/>
                <w:i w:val="0"/>
                <w:iCs w:val="0"/>
                <w:color w:val="auto"/>
                <w:kern w:val="0"/>
                <w:sz w:val="18"/>
                <w:szCs w:val="18"/>
                <w:u w:val="none"/>
                <w:lang w:val="en-US" w:eastAsia="zh-CN" w:bidi="ar"/>
              </w:rPr>
              <w:t>（区水务局提供）</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★1.由县（区）</w:t>
            </w:r>
            <w:r>
              <w:rPr>
                <w:rFonts w:hint="eastAsia" w:ascii="宋体" w:hAnsi="宋体" w:cs="宋体"/>
                <w:i w:val="0"/>
                <w:iCs w:val="0"/>
                <w:color w:val="auto"/>
                <w:kern w:val="0"/>
                <w:sz w:val="18"/>
                <w:szCs w:val="18"/>
                <w:u w:val="none"/>
                <w:lang w:val="en-US" w:eastAsia="zh-CN" w:bidi="ar"/>
              </w:rPr>
              <w:t>水务</w:t>
            </w:r>
            <w:r>
              <w:rPr>
                <w:rFonts w:hint="eastAsia" w:ascii="宋体" w:hAnsi="宋体" w:eastAsia="宋体" w:cs="宋体"/>
                <w:i w:val="0"/>
                <w:iCs w:val="0"/>
                <w:color w:val="auto"/>
                <w:kern w:val="0"/>
                <w:sz w:val="18"/>
                <w:szCs w:val="18"/>
                <w:u w:val="none"/>
                <w:lang w:val="en-US" w:eastAsia="zh-CN" w:bidi="ar"/>
              </w:rPr>
              <w:t>局提供的全县（区）灌区名录；</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★2.省、市、县（区）有关部门关于节水型灌区认定的文件（企业名录可分批次累计）</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推进节水型企业建设</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节水型企业建成率≥40%，得4分，每低2%，扣1分，扣完为止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重点用水行业企业数量为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由区工信局提供数据）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节水型企业数量为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4</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节水型企业建成率为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★1.由县（区）工信</w:t>
            </w:r>
            <w:r>
              <w:rPr>
                <w:rFonts w:hint="eastAsia" w:ascii="宋体" w:hAnsi="宋体" w:cs="宋体"/>
                <w:i w:val="0"/>
                <w:iCs w:val="0"/>
                <w:color w:val="auto"/>
                <w:kern w:val="0"/>
                <w:sz w:val="18"/>
                <w:szCs w:val="18"/>
                <w:u w:val="none"/>
                <w:lang w:val="en-US" w:eastAsia="zh-CN" w:bidi="ar"/>
              </w:rPr>
              <w:t>局</w:t>
            </w:r>
            <w:r>
              <w:rPr>
                <w:rFonts w:hint="eastAsia" w:ascii="宋体" w:hAnsi="宋体" w:eastAsia="宋体" w:cs="宋体"/>
                <w:i w:val="0"/>
                <w:iCs w:val="0"/>
                <w:color w:val="auto"/>
                <w:kern w:val="0"/>
                <w:sz w:val="18"/>
                <w:szCs w:val="18"/>
                <w:u w:val="none"/>
                <w:lang w:val="en-US" w:eastAsia="zh-CN" w:bidi="ar"/>
              </w:rPr>
              <w:t>或统计局提供的全县（区）重点用水行业（火电、钢铁、纺织染整、造纸、石油冶炼、化工、食品等）企业名录；</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区工信局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★2.省、市、县（区）有关部门关于节水型企业认定的文件（企业名录可分批次累计）</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节水载体建设</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推进公共机构节水型单位建设</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公共机构节水型单位建成率≥50%，得4分，每低2%，扣1分，扣完为止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公共机构数量为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61</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由区编办提供数据）</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公共机构节水型单位</w:t>
            </w:r>
            <w:r>
              <w:rPr>
                <w:rStyle w:val="6"/>
                <w:color w:val="auto"/>
                <w:sz w:val="18"/>
                <w:szCs w:val="18"/>
                <w:lang w:val="en-US" w:eastAsia="zh-CN" w:bidi="ar"/>
              </w:rPr>
              <w:t>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61</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公共机构节水型单位</w:t>
            </w:r>
            <w:r>
              <w:rPr>
                <w:rStyle w:val="6"/>
                <w:color w:val="auto"/>
                <w:sz w:val="18"/>
                <w:szCs w:val="18"/>
                <w:lang w:val="en-US" w:eastAsia="zh-CN" w:bidi="ar"/>
              </w:rPr>
              <w:t>建成率</w:t>
            </w:r>
            <w:r>
              <w:rPr>
                <w:rStyle w:val="6"/>
                <w:rFonts w:hint="eastAsia"/>
                <w:color w:val="auto"/>
                <w:sz w:val="18"/>
                <w:szCs w:val="18"/>
                <w:lang w:val="en-US" w:eastAsia="zh-CN" w:bidi="ar"/>
              </w:rPr>
              <w:t>为</w:t>
            </w:r>
            <w:r>
              <w:rPr>
                <w:rStyle w:val="7"/>
                <w:rFonts w:hint="eastAsia"/>
                <w:color w:val="auto"/>
                <w:sz w:val="18"/>
                <w:szCs w:val="18"/>
                <w:u w:val="single"/>
                <w:lang w:val="en-US" w:eastAsia="zh-CN" w:bidi="ar"/>
              </w:rPr>
              <w:t>100</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★1.由县（区）编制管理部门或机关事务管理部门提供的全县（区）级公共机构名录（指县（区）级机关和直属事业单位）；</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区机关事务局</w:t>
            </w:r>
            <w:r>
              <w:rPr>
                <w:rFonts w:hint="eastAsia" w:ascii="宋体" w:hAnsi="宋体" w:cs="宋体"/>
                <w:i w:val="0"/>
                <w:iCs w:val="0"/>
                <w:color w:val="auto"/>
                <w:kern w:val="0"/>
                <w:sz w:val="18"/>
                <w:szCs w:val="18"/>
                <w:u w:val="none"/>
                <w:lang w:val="en-US" w:eastAsia="zh-CN" w:bidi="ar"/>
              </w:rPr>
              <w:t>、区编办</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★2.省、市、县（区）有关部门关于节水型单位认定的文件（名录可分批次累计）</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推进节水型小区建设</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节水型居民小区建成率≥15%，得4分，每低1%，扣2分，扣完为止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居民小区数量为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25（2022年数据）</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由区住建局提供数据）</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节水型居民小区</w:t>
            </w:r>
            <w:r>
              <w:rPr>
                <w:rStyle w:val="6"/>
                <w:color w:val="auto"/>
                <w:sz w:val="18"/>
                <w:szCs w:val="18"/>
                <w:lang w:val="en-US" w:eastAsia="zh-CN" w:bidi="ar"/>
              </w:rPr>
              <w:t>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9（2022年数据）</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节水型居民小区</w:t>
            </w:r>
            <w:r>
              <w:rPr>
                <w:rStyle w:val="6"/>
                <w:color w:val="auto"/>
                <w:sz w:val="18"/>
                <w:szCs w:val="18"/>
                <w:lang w:val="en-US" w:eastAsia="zh-CN" w:bidi="ar"/>
              </w:rPr>
              <w:t>建成率为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36</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（2022年数据）</w:t>
            </w:r>
            <w:r>
              <w:rPr>
                <w:rStyle w:val="7"/>
                <w:color w:val="auto"/>
                <w:sz w:val="18"/>
                <w:szCs w:val="18"/>
                <w:u w:val="single"/>
                <w:lang w:val="en-US" w:eastAsia="zh-CN" w:bidi="ar"/>
              </w:rPr>
              <w:t xml:space="preserve"> </w:t>
            </w:r>
            <w:r>
              <w:rPr>
                <w:rStyle w:val="6"/>
                <w:color w:val="auto"/>
                <w:sz w:val="18"/>
                <w:szCs w:val="18"/>
                <w:lang w:val="en-US" w:eastAsia="zh-CN" w:bidi="ar"/>
              </w:rPr>
              <w:t>%。</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★1.由县（区）住建部门或其他主管部门提供的全县（区）居民小区名录；（创建对象为由物业公司统一管理、实行集中供水的城镇居民小区</w:t>
            </w:r>
            <w:r>
              <w:rPr>
                <w:rFonts w:hint="eastAsia" w:ascii="宋体" w:hAnsi="宋体" w:cs="宋体"/>
                <w:i w:val="0"/>
                <w:iCs w:val="0"/>
                <w:color w:val="auto"/>
                <w:kern w:val="0"/>
                <w:sz w:val="18"/>
                <w:szCs w:val="18"/>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区住建局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★2.省、市、县（区）有关部门关于节水型小区认定的文件（名录可分批次累计）</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供水管网漏损率控制</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公共供水管网漏损率</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按《城镇供水管网涌损控制及评定标准》CJJ92 规定核算后的漏损率≤9%，得8分;每高1%，扣1分，扣完为止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 年度，公共供水管网漏损率(修正后)为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1.89（2022年数据）</w:t>
            </w:r>
            <w:r>
              <w:rPr>
                <w:rStyle w:val="7"/>
                <w:color w:val="auto"/>
                <w:sz w:val="18"/>
                <w:szCs w:val="18"/>
                <w:u w:val="single"/>
                <w:lang w:val="en-US" w:eastAsia="zh-CN" w:bidi="ar"/>
              </w:rPr>
              <w:t xml:space="preserve">   </w:t>
            </w:r>
            <w:r>
              <w:rPr>
                <w:rStyle w:val="6"/>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w:t>
            </w:r>
            <w:r>
              <w:rPr>
                <w:rStyle w:val="6"/>
                <w:color w:val="auto"/>
                <w:sz w:val="18"/>
                <w:szCs w:val="18"/>
                <w:u w:val="none"/>
                <w:lang w:val="en-US" w:eastAsia="zh-CN" w:bidi="ar"/>
              </w:rPr>
              <w:t>（</w:t>
            </w:r>
            <w:r>
              <w:rPr>
                <w:rStyle w:val="6"/>
                <w:rFonts w:hint="eastAsia"/>
                <w:color w:val="auto"/>
                <w:sz w:val="18"/>
                <w:szCs w:val="18"/>
                <w:u w:val="none"/>
                <w:lang w:val="en-US" w:eastAsia="zh-CN" w:bidi="ar"/>
              </w:rPr>
              <w:t>由区水务公司提供数据）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★1.2023年县（区）供水管网漏损率计算表；</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区水务公司</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★2.2023年有关部门出具的县（区）公共供水总量、有效供水量统计数据证明材料；</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区水务公司</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3.根据《城镇供水管网漏损控制及评定标准》(CJJ92-2016)进行管网漏损率指标修订的说明；</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区水务公司</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生活节水器具推广</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全面推动公共场所、居民家庭使用生活节水器具，强化水效标识管理</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公共场所和新建小区居民家庭全部采用节水器具,得6分；发现一例不符合节水标准或不符合水效标识管理规定的，扣1分，扣完为止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抽查公共场所、新建小区居民家庭未使用生活节水器具例数为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0</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color w:val="auto"/>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区市场监督管理局</w:t>
            </w:r>
            <w:r>
              <w:rPr>
                <w:rFonts w:hint="eastAsia" w:ascii="宋体" w:hAnsi="宋体" w:cs="宋体"/>
                <w:i w:val="0"/>
                <w:iCs w:val="0"/>
                <w:color w:val="auto"/>
                <w:kern w:val="0"/>
                <w:sz w:val="18"/>
                <w:szCs w:val="18"/>
                <w:u w:val="none"/>
                <w:lang w:val="en-US" w:eastAsia="zh-CN" w:bidi="ar"/>
              </w:rPr>
              <w:t>、住建局、区水务局</w:t>
            </w:r>
            <w:r>
              <w:rPr>
                <w:rStyle w:val="6"/>
                <w:rFonts w:hint="eastAsia"/>
                <w:color w:val="auto"/>
                <w:sz w:val="18"/>
                <w:szCs w:val="18"/>
                <w:u w:val="none"/>
                <w:lang w:val="en-US" w:eastAsia="zh-CN" w:bidi="ar"/>
              </w:rPr>
              <w:t>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★1.公共场所和新建小区居民家庭节水器具使用情况抽查的相关材料（如抽查材料、反应抽查过程的图片或抽查情况报告等）；</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2.县（区）发改、工信、水利等有关部门关于推广生活节水器具的相关政策文件（如有，非必要）</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区市场监督管理局</w:t>
            </w:r>
            <w:r>
              <w:rPr>
                <w:rFonts w:hint="eastAsia" w:ascii="宋体" w:hAnsi="宋体" w:cs="宋体"/>
                <w:i w:val="0"/>
                <w:iCs w:val="0"/>
                <w:color w:val="auto"/>
                <w:kern w:val="0"/>
                <w:sz w:val="18"/>
                <w:szCs w:val="18"/>
                <w:u w:val="none"/>
                <w:lang w:val="en-US" w:eastAsia="zh-CN" w:bidi="ar"/>
              </w:rPr>
              <w:t>、住建局、区水务局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再生水利用</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加强非常规水源配置利用</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具备非常规水源利用条件的用水户,在下达用水计划时配置非常规水源的,得2分；发现一例应配置而未配置的，扣1分，扣完为止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具备非常规水源利用条件的用水户数量为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已</w:t>
            </w:r>
            <w:r>
              <w:rPr>
                <w:rStyle w:val="6"/>
                <w:rFonts w:hint="eastAsia"/>
                <w:color w:val="auto"/>
                <w:sz w:val="18"/>
                <w:szCs w:val="18"/>
                <w:lang w:val="en-US" w:eastAsia="zh-CN" w:bidi="ar"/>
              </w:rPr>
              <w:t>完成</w:t>
            </w:r>
            <w:r>
              <w:rPr>
                <w:rStyle w:val="6"/>
                <w:color w:val="auto"/>
                <w:sz w:val="18"/>
                <w:szCs w:val="18"/>
                <w:lang w:val="en-US" w:eastAsia="zh-CN" w:bidi="ar"/>
              </w:rPr>
              <w:t>配置非常规水源的用水户</w:t>
            </w:r>
            <w:r>
              <w:rPr>
                <w:rStyle w:val="6"/>
                <w:rFonts w:hint="eastAsia"/>
                <w:color w:val="auto"/>
                <w:sz w:val="18"/>
                <w:szCs w:val="18"/>
                <w:lang w:val="en-US" w:eastAsia="zh-CN" w:bidi="ar"/>
              </w:rPr>
              <w:t>的</w:t>
            </w:r>
            <w:r>
              <w:rPr>
                <w:rStyle w:val="6"/>
                <w:color w:val="auto"/>
                <w:sz w:val="18"/>
                <w:szCs w:val="18"/>
                <w:lang w:val="en-US" w:eastAsia="zh-CN" w:bidi="ar"/>
              </w:rPr>
              <w:t>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w:t>
            </w:r>
            <w:r>
              <w:rPr>
                <w:rStyle w:val="7"/>
                <w:color w:val="auto"/>
                <w:sz w:val="18"/>
                <w:szCs w:val="18"/>
                <w:u w:val="single"/>
                <w:lang w:val="en-US" w:eastAsia="zh-CN" w:bidi="ar"/>
              </w:rPr>
              <w:t xml:space="preserve"> </w:t>
            </w:r>
            <w:r>
              <w:rPr>
                <w:rStyle w:val="6"/>
                <w:color w:val="auto"/>
                <w:sz w:val="18"/>
                <w:szCs w:val="18"/>
                <w:lang w:val="en-US" w:eastAsia="zh-CN" w:bidi="ar"/>
              </w:rPr>
              <w:t>个；（</w:t>
            </w:r>
            <w:r>
              <w:rPr>
                <w:rStyle w:val="6"/>
                <w:rFonts w:hint="eastAsia"/>
                <w:color w:val="auto"/>
                <w:sz w:val="18"/>
                <w:szCs w:val="18"/>
                <w:u w:val="none"/>
                <w:lang w:val="en-US" w:eastAsia="zh-CN" w:bidi="ar"/>
              </w:rPr>
              <w:t>由区水务局提供数据）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1.具备非常规水源利用条件的用水户名录；</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283" w:type="dxa"/>
              <w:left w:w="108" w:type="dxa"/>
              <w:bottom w:w="28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2.2023具备非常规水源利用条件的用水户非常规水源利用量台账；</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燕楼园区办、区教育局、工信局、区住建局、</w:t>
            </w: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再生水利用</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再生水利用率</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再生水利用率≥15%，得6分，每低1%，扣1分，扣完为止</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年度污水处理总量为</w:t>
            </w:r>
            <w:r>
              <w:rPr>
                <w:rFonts w:hint="eastAsia" w:ascii="宋体" w:hAnsi="宋体" w:eastAsia="宋体" w:cs="宋体"/>
                <w:i w:val="0"/>
                <w:iCs w:val="0"/>
                <w:color w:val="auto"/>
                <w:kern w:val="0"/>
                <w:sz w:val="18"/>
                <w:szCs w:val="18"/>
                <w:u w:val="single"/>
                <w:lang w:val="en-US" w:eastAsia="zh-CN" w:bidi="ar"/>
              </w:rPr>
              <w:t xml:space="preserve"> </w:t>
            </w:r>
            <w:r>
              <w:rPr>
                <w:rStyle w:val="7"/>
                <w:rFonts w:hint="eastAsia"/>
                <w:color w:val="auto"/>
                <w:sz w:val="18"/>
                <w:szCs w:val="18"/>
                <w:u w:val="single"/>
                <w:lang w:val="en-US" w:eastAsia="zh-CN" w:bidi="ar"/>
              </w:rPr>
              <w:t>3862.5461</w:t>
            </w:r>
            <w:r>
              <w:rPr>
                <w:rStyle w:val="6"/>
                <w:color w:val="auto"/>
                <w:sz w:val="18"/>
                <w:szCs w:val="18"/>
                <w:lang w:val="en-US" w:eastAsia="zh-CN" w:bidi="ar"/>
              </w:rPr>
              <w:t>万m³；（</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处理</w:t>
            </w:r>
            <w:r>
              <w:rPr>
                <w:rStyle w:val="6"/>
                <w:rFonts w:hint="eastAsia"/>
                <w:color w:val="auto"/>
                <w:sz w:val="18"/>
                <w:szCs w:val="18"/>
                <w:lang w:val="en-US" w:eastAsia="zh-CN" w:bidi="ar"/>
              </w:rPr>
              <w:t>后</w:t>
            </w:r>
            <w:r>
              <w:rPr>
                <w:rStyle w:val="6"/>
                <w:color w:val="auto"/>
                <w:sz w:val="18"/>
                <w:szCs w:val="18"/>
                <w:lang w:val="en-US" w:eastAsia="zh-CN" w:bidi="ar"/>
              </w:rPr>
              <w:t>再次利用的污水量为</w:t>
            </w:r>
            <w:r>
              <w:rPr>
                <w:rStyle w:val="7"/>
                <w:rFonts w:hint="eastAsia"/>
                <w:color w:val="auto"/>
                <w:sz w:val="18"/>
                <w:szCs w:val="18"/>
                <w:u w:val="single"/>
                <w:lang w:val="en-US" w:eastAsia="zh-CN" w:bidi="ar"/>
              </w:rPr>
              <w:t>3862.5461</w:t>
            </w:r>
            <w:r>
              <w:rPr>
                <w:rStyle w:val="7"/>
                <w:color w:val="auto"/>
                <w:sz w:val="18"/>
                <w:szCs w:val="18"/>
                <w:u w:val="single"/>
                <w:lang w:val="en-US" w:eastAsia="zh-CN" w:bidi="ar"/>
              </w:rPr>
              <w:t xml:space="preserve"> </w:t>
            </w:r>
            <w:r>
              <w:rPr>
                <w:rStyle w:val="6"/>
                <w:color w:val="auto"/>
                <w:sz w:val="18"/>
                <w:szCs w:val="18"/>
                <w:lang w:val="en-US" w:eastAsia="zh-CN" w:bidi="ar"/>
              </w:rPr>
              <w:t>万m³；（</w:t>
            </w:r>
            <w:r>
              <w:rPr>
                <w:rStyle w:val="6"/>
                <w:rFonts w:hint="eastAsia"/>
                <w:color w:val="auto"/>
                <w:sz w:val="18"/>
                <w:szCs w:val="18"/>
                <w:u w:val="none"/>
                <w:lang w:val="en-US" w:eastAsia="zh-CN" w:bidi="ar"/>
              </w:rPr>
              <w:t>由区水务局提供数据）</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Style w:val="6"/>
                <w:color w:val="auto"/>
                <w:sz w:val="18"/>
                <w:szCs w:val="18"/>
                <w:lang w:val="en-US" w:eastAsia="zh-CN" w:bidi="ar"/>
              </w:rPr>
              <w:t>再生水利用率为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u w:val="single"/>
                <w:lang w:val="en-US" w:eastAsia="zh-CN" w:bidi="ar"/>
              </w:rPr>
              <w:t xml:space="preserve"> </w:t>
            </w:r>
            <w:r>
              <w:rPr>
                <w:rStyle w:val="6"/>
                <w:color w:val="auto"/>
                <w:sz w:val="18"/>
                <w:szCs w:val="18"/>
                <w:lang w:val="en-US" w:eastAsia="zh-CN" w:bidi="ar"/>
              </w:rPr>
              <w:t>%。（</w:t>
            </w:r>
            <w:r>
              <w:rPr>
                <w:rStyle w:val="6"/>
                <w:rFonts w:hint="eastAsia"/>
                <w:color w:val="auto"/>
                <w:sz w:val="18"/>
                <w:szCs w:val="18"/>
                <w:u w:val="none"/>
                <w:lang w:val="en-US" w:eastAsia="zh-CN" w:bidi="ar"/>
              </w:rPr>
              <w:t>由</w:t>
            </w:r>
            <w:r>
              <w:rPr>
                <w:rFonts w:hint="eastAsia" w:ascii="宋体" w:hAnsi="宋体" w:cs="宋体"/>
                <w:i w:val="0"/>
                <w:iCs w:val="0"/>
                <w:color w:val="auto"/>
                <w:kern w:val="0"/>
                <w:sz w:val="18"/>
                <w:szCs w:val="18"/>
                <w:u w:val="none"/>
                <w:lang w:val="en-US" w:eastAsia="zh-CN" w:bidi="ar"/>
              </w:rPr>
              <w:t>教育局、住建局、工信局、燕楼园区办</w:t>
            </w:r>
            <w:r>
              <w:rPr>
                <w:rStyle w:val="6"/>
                <w:rFonts w:hint="eastAsia"/>
                <w:color w:val="auto"/>
                <w:sz w:val="18"/>
                <w:szCs w:val="18"/>
                <w:u w:val="none"/>
                <w:lang w:val="en-US" w:eastAsia="zh-CN" w:bidi="ar"/>
              </w:rPr>
              <w:t>提供数据）</w:t>
            </w: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1.关于推动再生水利用（非常规水源）的相关政策文件（如有，非必要）；</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区发改局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★2.县（区）2023年实际处理污水量统计表；</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★3.县（区）2023年再生水利用水量统计表（含用途、用水单位或部门信息）；</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教育局、住建局、工信局、燕楼园区办</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★4.再生水水质检测报告及回用标准等证明；</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教育局、住建局、工信局、燕楼园区办</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再生水利用的佐证材料：①用作工业企业用水或城市杂用水的，需提供用水协议缴费单据或用水单位出具的再生水利用证明(含年利用量);②直接用于河道或湿地生态补水的，需提供经批准的生态补水方案;③有再生水利用工程的，需提供工程立项批复及建设运行情况说明</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、麦坪镇、教育局、燕楼园区办</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5"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节水宣传</w:t>
            </w:r>
          </w:p>
        </w:tc>
        <w:tc>
          <w:tcPr>
            <w:tcW w:w="463"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开展节水宣传教育活动</w:t>
            </w:r>
          </w:p>
        </w:tc>
        <w:tc>
          <w:tcPr>
            <w:tcW w:w="771"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在世界水日、中国水周、城市节水宣传周开展节水宣传活动得3分；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开展节水宣传进机关、进校园、进企业、进社区、进农村等活动，每做一项得1分，最多得3分</w:t>
            </w:r>
          </w:p>
        </w:tc>
        <w:tc>
          <w:tcPr>
            <w:tcW w:w="1151"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numPr>
                <w:ilvl w:val="0"/>
                <w:numId w:val="22"/>
              </w:numPr>
              <w:kinsoku/>
              <w:wordWrap/>
              <w:overflowPunct/>
              <w:topLinePunct w:val="0"/>
              <w:autoSpaceDE/>
              <w:autoSpaceDN/>
              <w:bidi w:val="0"/>
              <w:adjustRightInd/>
              <w:snapToGrid/>
              <w:spacing w:line="320" w:lineRule="exact"/>
              <w:ind w:left="425" w:leftChars="0" w:hanging="425" w:firstLine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Fonts w:hint="eastAsia" w:ascii="宋体" w:hAnsi="宋体" w:eastAsia="宋体" w:cs="宋体"/>
                <w:i w:val="0"/>
                <w:iCs w:val="0"/>
                <w:color w:val="auto"/>
                <w:kern w:val="0"/>
                <w:sz w:val="18"/>
                <w:szCs w:val="18"/>
                <w:u w:val="none"/>
                <w:lang w:val="en-US" w:eastAsia="zh-CN" w:bidi="ar"/>
              </w:rPr>
              <w:t>进机关的节水宣传资料；（</w:t>
            </w:r>
            <w:r>
              <w:rPr>
                <w:rStyle w:val="6"/>
                <w:rFonts w:hint="eastAsia"/>
                <w:color w:val="auto"/>
                <w:sz w:val="18"/>
                <w:szCs w:val="18"/>
                <w:u w:val="none"/>
                <w:lang w:val="en-US" w:eastAsia="zh-CN" w:bidi="ar"/>
              </w:rPr>
              <w:t>由区水务局提供）</w:t>
            </w:r>
          </w:p>
          <w:p>
            <w:pPr>
              <w:keepNext w:val="0"/>
              <w:keepLines w:val="0"/>
              <w:pageBreakBefore w:val="0"/>
              <w:widowControl/>
              <w:numPr>
                <w:ilvl w:val="0"/>
                <w:numId w:val="22"/>
              </w:numPr>
              <w:kinsoku/>
              <w:wordWrap/>
              <w:overflowPunct/>
              <w:topLinePunct w:val="0"/>
              <w:autoSpaceDE/>
              <w:autoSpaceDN/>
              <w:bidi w:val="0"/>
              <w:adjustRightInd/>
              <w:snapToGrid/>
              <w:spacing w:line="320" w:lineRule="exact"/>
              <w:ind w:left="425" w:leftChars="0" w:hanging="425" w:firstLine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Fonts w:hint="eastAsia" w:ascii="宋体" w:hAnsi="宋体" w:eastAsia="宋体" w:cs="宋体"/>
                <w:i w:val="0"/>
                <w:iCs w:val="0"/>
                <w:color w:val="auto"/>
                <w:kern w:val="0"/>
                <w:sz w:val="18"/>
                <w:szCs w:val="18"/>
                <w:u w:val="none"/>
                <w:lang w:val="en-US" w:eastAsia="zh-CN" w:bidi="ar"/>
              </w:rPr>
              <w:t>进校园的节水宣传资料；（</w:t>
            </w:r>
            <w:r>
              <w:rPr>
                <w:rStyle w:val="6"/>
                <w:rFonts w:hint="eastAsia"/>
                <w:color w:val="auto"/>
                <w:sz w:val="18"/>
                <w:szCs w:val="18"/>
                <w:u w:val="none"/>
                <w:lang w:val="en-US" w:eastAsia="zh-CN" w:bidi="ar"/>
              </w:rPr>
              <w:t>由区水务局提供）</w:t>
            </w:r>
          </w:p>
          <w:p>
            <w:pPr>
              <w:keepNext w:val="0"/>
              <w:keepLines w:val="0"/>
              <w:pageBreakBefore w:val="0"/>
              <w:widowControl/>
              <w:numPr>
                <w:ilvl w:val="0"/>
                <w:numId w:val="22"/>
              </w:numPr>
              <w:kinsoku/>
              <w:wordWrap/>
              <w:overflowPunct/>
              <w:topLinePunct w:val="0"/>
              <w:autoSpaceDE/>
              <w:autoSpaceDN/>
              <w:bidi w:val="0"/>
              <w:adjustRightInd/>
              <w:snapToGrid/>
              <w:spacing w:line="320" w:lineRule="exact"/>
              <w:ind w:left="425" w:leftChars="0" w:hanging="425" w:firstLine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Fonts w:hint="eastAsia" w:ascii="宋体" w:hAnsi="宋体" w:eastAsia="宋体" w:cs="宋体"/>
                <w:i w:val="0"/>
                <w:iCs w:val="0"/>
                <w:color w:val="auto"/>
                <w:kern w:val="0"/>
                <w:sz w:val="18"/>
                <w:szCs w:val="18"/>
                <w:u w:val="none"/>
                <w:lang w:val="en-US" w:eastAsia="zh-CN" w:bidi="ar"/>
              </w:rPr>
              <w:t>进企业的节水宣传资料；（</w:t>
            </w:r>
            <w:r>
              <w:rPr>
                <w:rStyle w:val="6"/>
                <w:rFonts w:hint="eastAsia"/>
                <w:color w:val="auto"/>
                <w:sz w:val="18"/>
                <w:szCs w:val="18"/>
                <w:u w:val="none"/>
                <w:lang w:val="en-US" w:eastAsia="zh-CN" w:bidi="ar"/>
              </w:rPr>
              <w:t>由区水务局提供）</w:t>
            </w:r>
          </w:p>
          <w:p>
            <w:pPr>
              <w:keepNext w:val="0"/>
              <w:keepLines w:val="0"/>
              <w:pageBreakBefore w:val="0"/>
              <w:widowControl/>
              <w:numPr>
                <w:ilvl w:val="0"/>
                <w:numId w:val="22"/>
              </w:numPr>
              <w:kinsoku/>
              <w:wordWrap/>
              <w:overflowPunct/>
              <w:topLinePunct w:val="0"/>
              <w:autoSpaceDE/>
              <w:autoSpaceDN/>
              <w:bidi w:val="0"/>
              <w:adjustRightInd/>
              <w:snapToGrid/>
              <w:spacing w:line="320" w:lineRule="exact"/>
              <w:ind w:left="425" w:leftChars="0" w:hanging="425" w:firstLine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Fonts w:hint="eastAsia" w:ascii="宋体" w:hAnsi="宋体" w:eastAsia="宋体" w:cs="宋体"/>
                <w:i w:val="0"/>
                <w:iCs w:val="0"/>
                <w:color w:val="auto"/>
                <w:kern w:val="0"/>
                <w:sz w:val="18"/>
                <w:szCs w:val="18"/>
                <w:u w:val="none"/>
                <w:lang w:val="en-US" w:eastAsia="zh-CN" w:bidi="ar"/>
              </w:rPr>
              <w:t>进社区的节水宣传资料；（</w:t>
            </w:r>
            <w:r>
              <w:rPr>
                <w:rStyle w:val="6"/>
                <w:rFonts w:hint="eastAsia"/>
                <w:color w:val="auto"/>
                <w:sz w:val="18"/>
                <w:szCs w:val="18"/>
                <w:u w:val="none"/>
                <w:lang w:val="en-US" w:eastAsia="zh-CN" w:bidi="ar"/>
              </w:rPr>
              <w:t>由区水务局提供）</w:t>
            </w:r>
          </w:p>
          <w:p>
            <w:pPr>
              <w:keepNext w:val="0"/>
              <w:keepLines w:val="0"/>
              <w:pageBreakBefore w:val="0"/>
              <w:widowControl/>
              <w:numPr>
                <w:ilvl w:val="0"/>
                <w:numId w:val="22"/>
              </w:numPr>
              <w:kinsoku/>
              <w:wordWrap/>
              <w:overflowPunct/>
              <w:topLinePunct w:val="0"/>
              <w:autoSpaceDE/>
              <w:autoSpaceDN/>
              <w:bidi w:val="0"/>
              <w:adjustRightInd/>
              <w:snapToGrid/>
              <w:spacing w:line="320" w:lineRule="exact"/>
              <w:ind w:left="425" w:leftChars="0" w:hanging="425" w:firstLineChars="0"/>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cs="宋体"/>
                <w:i w:val="0"/>
                <w:iCs w:val="0"/>
                <w:color w:val="auto"/>
                <w:kern w:val="0"/>
                <w:sz w:val="18"/>
                <w:szCs w:val="18"/>
                <w:u w:val="single"/>
                <w:lang w:val="en-US" w:eastAsia="zh-CN" w:bidi="ar"/>
              </w:rPr>
              <w:t>☑</w:t>
            </w:r>
            <w:r>
              <w:rPr>
                <w:rFonts w:hint="eastAsia" w:ascii="宋体" w:hAnsi="宋体" w:eastAsia="宋体" w:cs="宋体"/>
                <w:i w:val="0"/>
                <w:iCs w:val="0"/>
                <w:color w:val="auto"/>
                <w:kern w:val="0"/>
                <w:sz w:val="18"/>
                <w:szCs w:val="18"/>
                <w:u w:val="single"/>
                <w:lang w:val="en-US" w:eastAsia="zh-CN" w:bidi="ar"/>
              </w:rPr>
              <w:t xml:space="preserve">有 / □无  </w:t>
            </w:r>
            <w:r>
              <w:rPr>
                <w:rFonts w:hint="eastAsia" w:ascii="宋体" w:hAnsi="宋体" w:eastAsia="宋体" w:cs="宋体"/>
                <w:i w:val="0"/>
                <w:iCs w:val="0"/>
                <w:color w:val="auto"/>
                <w:kern w:val="0"/>
                <w:sz w:val="18"/>
                <w:szCs w:val="18"/>
                <w:u w:val="none"/>
                <w:lang w:val="en-US" w:eastAsia="zh-CN" w:bidi="ar"/>
              </w:rPr>
              <w:t>进农村的节水宣传资料；（</w:t>
            </w:r>
            <w:r>
              <w:rPr>
                <w:rStyle w:val="6"/>
                <w:rFonts w:hint="eastAsia"/>
                <w:color w:val="auto"/>
                <w:sz w:val="18"/>
                <w:szCs w:val="18"/>
                <w:u w:val="none"/>
                <w:lang w:val="en-US" w:eastAsia="zh-CN" w:bidi="ar"/>
              </w:rPr>
              <w:t>由区水务局提供）</w:t>
            </w:r>
          </w:p>
        </w:tc>
        <w:tc>
          <w:tcPr>
            <w:tcW w:w="1354"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★1.“世界水日”“中国水周”及其他日常节水公益宣传、普及水情知识和节水知识的宣传材料、图片、影像等资料；</w:t>
            </w:r>
          </w:p>
        </w:tc>
        <w:tc>
          <w:tcPr>
            <w:tcW w:w="360"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区水务局</w:t>
            </w:r>
            <w:r>
              <w:rPr>
                <w:rFonts w:hint="eastAsia" w:ascii="宋体" w:hAnsi="宋体" w:cs="宋体"/>
                <w:i w:val="0"/>
                <w:iCs w:val="0"/>
                <w:color w:val="auto"/>
                <w:kern w:val="0"/>
                <w:sz w:val="18"/>
                <w:szCs w:val="18"/>
                <w:u w:val="none"/>
                <w:lang w:val="en-US" w:eastAsia="zh-CN" w:bidi="ar"/>
              </w:rPr>
              <w:t>、花溪水务公司</w:t>
            </w:r>
          </w:p>
        </w:tc>
        <w:tc>
          <w:tcPr>
            <w:tcW w:w="233"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8" w:type="pct"/>
            <w:tcBorders>
              <w:top w:val="single" w:color="000000" w:sz="4" w:space="0"/>
              <w:left w:val="single" w:color="000000" w:sz="4" w:space="0"/>
              <w:bottom w:val="single" w:color="000000" w:sz="4" w:space="0"/>
              <w:right w:val="single" w:color="000000" w:sz="4" w:space="0"/>
            </w:tcBorders>
            <w:noWrap w:val="0"/>
            <w:tcMar>
              <w:top w:w="113" w:type="dxa"/>
              <w:left w:w="108" w:type="dxa"/>
              <w:bottom w:w="113"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5"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加分项</w:t>
            </w:r>
          </w:p>
        </w:tc>
        <w:tc>
          <w:tcPr>
            <w:tcW w:w="46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实行节水激励政策</w:t>
            </w:r>
          </w:p>
        </w:tc>
        <w:tc>
          <w:tcPr>
            <w:tcW w:w="77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本级财政对节水项目建设、节水技术推广等实行补贴或其他优惠等激励政策，加4分</w:t>
            </w:r>
          </w:p>
        </w:tc>
        <w:tc>
          <w:tcPr>
            <w:tcW w:w="1151"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2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Fonts w:hint="eastAsia" w:ascii="宋体" w:hAnsi="宋体" w:eastAsia="宋体" w:cs="宋体"/>
                <w:i w:val="0"/>
                <w:iCs w:val="0"/>
                <w:color w:val="auto"/>
                <w:kern w:val="0"/>
                <w:sz w:val="18"/>
                <w:szCs w:val="18"/>
                <w:u w:val="single"/>
                <w:lang w:val="en-US" w:eastAsia="zh-CN" w:bidi="ar"/>
              </w:rPr>
              <w:t xml:space="preserve"> □有 / □无 </w:t>
            </w:r>
            <w:r>
              <w:rPr>
                <w:rStyle w:val="6"/>
                <w:color w:val="auto"/>
                <w:sz w:val="18"/>
                <w:szCs w:val="18"/>
                <w:u w:val="none"/>
                <w:lang w:val="en-US" w:eastAsia="zh-CN" w:bidi="ar"/>
              </w:rPr>
              <w:t>区级财政对节水的激励性政策文件，政策文件名为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由区财政局提供）</w:t>
            </w:r>
          </w:p>
          <w:p>
            <w:pPr>
              <w:keepNext w:val="0"/>
              <w:keepLines w:val="0"/>
              <w:pageBreakBefore w:val="0"/>
              <w:widowControl/>
              <w:numPr>
                <w:ilvl w:val="0"/>
                <w:numId w:val="23"/>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single"/>
              </w:rPr>
            </w:pPr>
            <w:r>
              <w:rPr>
                <w:rStyle w:val="6"/>
                <w:color w:val="auto"/>
                <w:sz w:val="18"/>
                <w:szCs w:val="18"/>
                <w:u w:val="none"/>
                <w:lang w:val="en-US" w:eastAsia="zh-CN" w:bidi="ar"/>
              </w:rPr>
              <w:t>补贴或优惠政策的费用为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暂无</w:t>
            </w:r>
            <w:r>
              <w:rPr>
                <w:rStyle w:val="7"/>
                <w:color w:val="auto"/>
                <w:sz w:val="18"/>
                <w:szCs w:val="18"/>
                <w:u w:val="single"/>
                <w:lang w:val="en-US" w:eastAsia="zh-CN" w:bidi="ar"/>
              </w:rPr>
              <w:t xml:space="preserve"> </w:t>
            </w:r>
            <w:r>
              <w:rPr>
                <w:rStyle w:val="6"/>
                <w:color w:val="auto"/>
                <w:sz w:val="18"/>
                <w:szCs w:val="18"/>
                <w:u w:val="none"/>
                <w:lang w:val="en-US" w:eastAsia="zh-CN" w:bidi="ar"/>
              </w:rPr>
              <w:t>万元。</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由区财政局提供）</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★1.县（区）级财政对节水的激励性政策文件：如节水器具、节水技术推广，相关资金节水使用，节水补贴或奖励等政策性文件；</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区财政局</w:t>
            </w:r>
          </w:p>
        </w:tc>
        <w:tc>
          <w:tcPr>
            <w:tcW w:w="233"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8" w:type="pct"/>
            <w:vMerge w:val="restar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none"/>
              </w:rPr>
            </w:pPr>
          </w:p>
        </w:tc>
        <w:tc>
          <w:tcPr>
            <w:tcW w:w="1151"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18"/>
                <w:szCs w:val="18"/>
                <w:u w:val="singl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2.本级财政落实补贴或优惠政策的费用单据或证明等。</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区财政局</w:t>
            </w:r>
          </w:p>
        </w:tc>
        <w:tc>
          <w:tcPr>
            <w:tcW w:w="233"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节水标杆示范</w:t>
            </w:r>
          </w:p>
        </w:tc>
        <w:tc>
          <w:tcPr>
            <w:tcW w:w="77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区域内有企业、公共机构、产品、灌区被评为国家级或省级水效领跑者或节水标杆单位，加3分</w:t>
            </w:r>
          </w:p>
        </w:tc>
        <w:tc>
          <w:tcPr>
            <w:tcW w:w="115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水效领跑者数量为</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 xml:space="preserve"> 0</w:t>
            </w:r>
            <w:r>
              <w:rPr>
                <w:rStyle w:val="7"/>
                <w:color w:val="auto"/>
                <w:sz w:val="18"/>
                <w:szCs w:val="18"/>
                <w:u w:val="single"/>
                <w:lang w:val="en-US" w:eastAsia="zh-CN" w:bidi="ar"/>
              </w:rPr>
              <w:t xml:space="preserve">  </w:t>
            </w:r>
            <w:r>
              <w:rPr>
                <w:rStyle w:val="6"/>
                <w:color w:val="auto"/>
                <w:sz w:val="18"/>
                <w:szCs w:val="18"/>
                <w:lang w:val="en-US" w:eastAsia="zh-CN" w:bidi="ar"/>
              </w:rPr>
              <w:t>个；</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由区水务局提供）</w:t>
            </w:r>
          </w:p>
          <w:p>
            <w:pPr>
              <w:keepNext w:val="0"/>
              <w:keepLines w:val="0"/>
              <w:pageBreakBefore w:val="0"/>
              <w:widowControl/>
              <w:numPr>
                <w:ilvl w:val="0"/>
                <w:numId w:val="24"/>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default" w:ascii="宋体" w:hAnsi="宋体" w:eastAsia="宋体" w:cs="宋体"/>
                <w:i w:val="0"/>
                <w:iCs w:val="0"/>
                <w:color w:val="auto"/>
                <w:sz w:val="18"/>
                <w:szCs w:val="18"/>
                <w:u w:val="none"/>
                <w:lang w:val="en-US"/>
              </w:rPr>
            </w:pPr>
            <w:r>
              <w:rPr>
                <w:rStyle w:val="6"/>
                <w:color w:val="auto"/>
                <w:sz w:val="18"/>
                <w:szCs w:val="18"/>
                <w:lang w:val="en-US" w:eastAsia="zh-CN" w:bidi="ar"/>
              </w:rPr>
              <w:t>节水标杆单位</w:t>
            </w:r>
            <w:r>
              <w:rPr>
                <w:rStyle w:val="6"/>
                <w:color w:val="auto"/>
                <w:sz w:val="18"/>
                <w:szCs w:val="18"/>
                <w:u w:val="single"/>
                <w:lang w:val="en-US" w:eastAsia="zh-CN" w:bidi="ar"/>
              </w:rPr>
              <w:t xml:space="preserve"> </w:t>
            </w:r>
            <w:r>
              <w:rPr>
                <w:rStyle w:val="6"/>
                <w:rFonts w:hint="eastAsia"/>
                <w:color w:val="auto"/>
                <w:sz w:val="18"/>
                <w:szCs w:val="18"/>
                <w:u w:val="single"/>
                <w:lang w:val="en-US" w:eastAsia="zh-CN" w:bidi="ar"/>
              </w:rPr>
              <w:t xml:space="preserve"> 1（正在申请北极熊）</w:t>
            </w:r>
            <w:r>
              <w:rPr>
                <w:rStyle w:val="7"/>
                <w:color w:val="auto"/>
                <w:sz w:val="18"/>
                <w:szCs w:val="18"/>
                <w:u w:val="single"/>
                <w:lang w:val="en-US" w:eastAsia="zh-CN" w:bidi="ar"/>
              </w:rPr>
              <w:t xml:space="preserve"> </w:t>
            </w:r>
            <w:r>
              <w:rPr>
                <w:rStyle w:val="6"/>
                <w:color w:val="auto"/>
                <w:sz w:val="18"/>
                <w:szCs w:val="18"/>
                <w:lang w:val="en-US" w:eastAsia="zh-CN" w:bidi="ar"/>
              </w:rPr>
              <w:t>个。</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由区水务局提供）</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★国家或省级水效领跑者或节水型标杆单位（企业）认定文件</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r>
              <w:rPr>
                <w:rStyle w:val="6"/>
                <w:rFonts w:hint="eastAsia"/>
                <w:color w:val="auto"/>
                <w:sz w:val="18"/>
                <w:szCs w:val="18"/>
                <w:u w:val="none"/>
                <w:lang w:val="en-US" w:eastAsia="zh-CN" w:bidi="ar"/>
              </w:rPr>
              <w:t>区工信局、区水务局</w:t>
            </w:r>
          </w:p>
        </w:tc>
        <w:tc>
          <w:tcPr>
            <w:tcW w:w="23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合同节水管理</w:t>
            </w:r>
          </w:p>
        </w:tc>
        <w:tc>
          <w:tcPr>
            <w:tcW w:w="77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实施合同节水管理项目</w:t>
            </w:r>
          </w:p>
        </w:tc>
        <w:tc>
          <w:tcPr>
            <w:tcW w:w="115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25"/>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累计实施合同节水管理项目</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1</w:t>
            </w:r>
            <w:r>
              <w:rPr>
                <w:rStyle w:val="7"/>
                <w:color w:val="auto"/>
                <w:sz w:val="18"/>
                <w:szCs w:val="18"/>
                <w:u w:val="single"/>
                <w:lang w:val="en-US" w:eastAsia="zh-CN" w:bidi="ar"/>
              </w:rPr>
              <w:t xml:space="preserve"> </w:t>
            </w:r>
            <w:r>
              <w:rPr>
                <w:rStyle w:val="7"/>
                <w:rFonts w:hint="eastAsia"/>
                <w:color w:val="auto"/>
                <w:sz w:val="18"/>
                <w:szCs w:val="18"/>
                <w:u w:val="none"/>
                <w:lang w:val="en-US" w:eastAsia="zh-CN" w:bidi="ar"/>
              </w:rPr>
              <w:t>个，计划推进学校合同节水</w:t>
            </w:r>
            <w:r>
              <w:rPr>
                <w:rStyle w:val="7"/>
                <w:color w:val="auto"/>
                <w:sz w:val="18"/>
                <w:szCs w:val="18"/>
                <w:u w:val="single"/>
                <w:lang w:val="en-US" w:eastAsia="zh-CN" w:bidi="ar"/>
              </w:rPr>
              <w:t xml:space="preserve">  </w:t>
            </w:r>
            <w:r>
              <w:rPr>
                <w:rStyle w:val="7"/>
                <w:rFonts w:hint="eastAsia"/>
                <w:color w:val="auto"/>
                <w:sz w:val="18"/>
                <w:szCs w:val="18"/>
                <w:u w:val="single"/>
                <w:lang w:val="en-US" w:eastAsia="zh-CN" w:bidi="ar"/>
              </w:rPr>
              <w:t>2</w:t>
            </w:r>
            <w:r>
              <w:rPr>
                <w:rStyle w:val="7"/>
                <w:color w:val="auto"/>
                <w:sz w:val="18"/>
                <w:szCs w:val="18"/>
                <w:u w:val="single"/>
                <w:lang w:val="en-US" w:eastAsia="zh-CN" w:bidi="ar"/>
              </w:rPr>
              <w:t xml:space="preserve"> </w:t>
            </w:r>
            <w:r>
              <w:rPr>
                <w:rStyle w:val="7"/>
                <w:rFonts w:hint="eastAsia"/>
                <w:color w:val="auto"/>
                <w:sz w:val="18"/>
                <w:szCs w:val="18"/>
                <w:u w:val="none"/>
                <w:lang w:val="en-US" w:eastAsia="zh-CN" w:bidi="ar"/>
              </w:rPr>
              <w:t>个家</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由教育局提供）</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★1.相关部门提供的合同节水管理项目清单</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区教育局</w:t>
            </w:r>
          </w:p>
        </w:tc>
        <w:tc>
          <w:tcPr>
            <w:tcW w:w="23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32"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235" w:type="pct"/>
            <w:vMerge w:val="continue"/>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水权市场化交易</w:t>
            </w:r>
          </w:p>
        </w:tc>
        <w:tc>
          <w:tcPr>
            <w:tcW w:w="77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实施水权市场化交易</w:t>
            </w:r>
          </w:p>
        </w:tc>
        <w:tc>
          <w:tcPr>
            <w:tcW w:w="115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numPr>
                <w:ilvl w:val="0"/>
                <w:numId w:val="26"/>
              </w:numPr>
              <w:suppressLineNumbers w:val="0"/>
              <w:kinsoku/>
              <w:wordWrap/>
              <w:overflowPunct/>
              <w:topLinePunct w:val="0"/>
              <w:autoSpaceDE/>
              <w:autoSpaceDN/>
              <w:bidi w:val="0"/>
              <w:adjustRightInd/>
              <w:snapToGrid/>
              <w:spacing w:line="320" w:lineRule="exact"/>
              <w:ind w:left="425" w:leftChars="0" w:hanging="425"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实施水权市场化交易</w:t>
            </w:r>
            <w:r>
              <w:rPr>
                <w:rStyle w:val="8"/>
                <w:color w:val="auto"/>
                <w:sz w:val="18"/>
                <w:szCs w:val="18"/>
                <w:u w:val="single"/>
                <w:lang w:val="en-US" w:eastAsia="zh-CN" w:bidi="ar"/>
              </w:rPr>
              <w:t xml:space="preserve">  </w:t>
            </w:r>
            <w:r>
              <w:rPr>
                <w:rStyle w:val="8"/>
                <w:rFonts w:hint="eastAsia"/>
                <w:color w:val="auto"/>
                <w:sz w:val="18"/>
                <w:szCs w:val="18"/>
                <w:u w:val="single"/>
                <w:lang w:val="en-US" w:eastAsia="zh-CN" w:bidi="ar"/>
              </w:rPr>
              <w:t>0</w:t>
            </w:r>
            <w:r>
              <w:rPr>
                <w:rStyle w:val="8"/>
                <w:color w:val="auto"/>
                <w:sz w:val="18"/>
                <w:szCs w:val="18"/>
                <w:u w:val="single"/>
                <w:lang w:val="en-US" w:eastAsia="zh-CN" w:bidi="ar"/>
              </w:rPr>
              <w:t xml:space="preserve">  </w:t>
            </w:r>
            <w:r>
              <w:rPr>
                <w:rStyle w:val="9"/>
                <w:color w:val="auto"/>
                <w:sz w:val="18"/>
                <w:szCs w:val="18"/>
                <w:lang w:val="en-US" w:eastAsia="zh-CN" w:bidi="ar"/>
              </w:rPr>
              <w:t>笔。</w:t>
            </w:r>
            <w:r>
              <w:rPr>
                <w:rFonts w:hint="eastAsia" w:ascii="宋体" w:hAnsi="宋体" w:eastAsia="宋体" w:cs="宋体"/>
                <w:i w:val="0"/>
                <w:iCs w:val="0"/>
                <w:color w:val="auto"/>
                <w:kern w:val="0"/>
                <w:sz w:val="18"/>
                <w:szCs w:val="18"/>
                <w:u w:val="none"/>
                <w:lang w:val="en-US" w:eastAsia="zh-CN" w:bidi="ar"/>
              </w:rPr>
              <w:t>（</w:t>
            </w:r>
            <w:r>
              <w:rPr>
                <w:rStyle w:val="6"/>
                <w:rFonts w:hint="eastAsia"/>
                <w:color w:val="auto"/>
                <w:sz w:val="18"/>
                <w:szCs w:val="18"/>
                <w:u w:val="none"/>
                <w:lang w:val="en-US" w:eastAsia="zh-CN" w:bidi="ar"/>
              </w:rPr>
              <w:t>由区水务局提供）</w:t>
            </w: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★1.区水务局提供的水权交易项目清单</w:t>
            </w: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rPr>
            </w:pPr>
            <w:r>
              <w:rPr>
                <w:rStyle w:val="6"/>
                <w:rFonts w:hint="eastAsia"/>
                <w:color w:val="auto"/>
                <w:sz w:val="18"/>
                <w:szCs w:val="18"/>
                <w:u w:val="none"/>
                <w:lang w:val="en-US" w:eastAsia="zh-CN" w:bidi="ar"/>
              </w:rPr>
              <w:t>区水务局</w:t>
            </w:r>
          </w:p>
        </w:tc>
        <w:tc>
          <w:tcPr>
            <w:tcW w:w="23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31" w:type="pct"/>
            <w:gridSpan w:val="3"/>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分值合计</w:t>
            </w:r>
          </w:p>
        </w:tc>
        <w:tc>
          <w:tcPr>
            <w:tcW w:w="77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21"/>
                <w:szCs w:val="21"/>
                <w:u w:val="none"/>
              </w:rPr>
            </w:pPr>
          </w:p>
        </w:tc>
        <w:tc>
          <w:tcPr>
            <w:tcW w:w="1151"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21"/>
                <w:szCs w:val="21"/>
                <w:u w:val="none"/>
              </w:rPr>
            </w:pPr>
          </w:p>
        </w:tc>
        <w:tc>
          <w:tcPr>
            <w:tcW w:w="1354"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ascii="宋体" w:hAnsi="宋体" w:eastAsia="宋体" w:cs="宋体"/>
                <w:i w:val="0"/>
                <w:iCs w:val="0"/>
                <w:color w:val="auto"/>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eastAsia="宋体" w:cs="宋体"/>
                <w:i w:val="0"/>
                <w:iCs w:val="0"/>
                <w:color w:val="auto"/>
                <w:sz w:val="21"/>
                <w:szCs w:val="21"/>
                <w:u w:val="none"/>
              </w:rPr>
            </w:pPr>
          </w:p>
        </w:tc>
        <w:tc>
          <w:tcPr>
            <w:tcW w:w="233"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298" w:type="pct"/>
            <w:tcBorders>
              <w:top w:val="single" w:color="000000" w:sz="4" w:space="0"/>
              <w:left w:val="single" w:color="000000" w:sz="4" w:space="0"/>
              <w:bottom w:val="single" w:color="000000" w:sz="4" w:space="0"/>
              <w:right w:val="single" w:color="000000" w:sz="4" w:space="0"/>
            </w:tcBorders>
            <w:noWrap w:val="0"/>
            <w:tcMar>
              <w:top w:w="170" w:type="dxa"/>
              <w:left w:w="108" w:type="dxa"/>
              <w:bottom w:w="17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96</w:t>
            </w:r>
          </w:p>
        </w:tc>
      </w:tr>
    </w:tbl>
    <w:p>
      <w:pPr>
        <w:pStyle w:val="10"/>
        <w:ind w:left="0" w:leftChars="0" w:firstLine="0" w:firstLineChars="0"/>
        <w:rPr>
          <w:rFonts w:hint="default" w:ascii="仿宋_GB2312" w:hAnsi="仿宋_GB2312" w:eastAsia="仿宋_GB2312" w:cs="仿宋_GB2312"/>
          <w:color w:val="auto"/>
          <w:sz w:val="32"/>
          <w:szCs w:val="32"/>
          <w:lang w:val="en-US" w:eastAsia="zh-CN" w:bidi="ar-SA"/>
        </w:rPr>
      </w:pPr>
    </w:p>
    <w:p/>
    <w:sectPr>
      <w:pgSz w:w="16840" w:h="11907" w:orient="landscape"/>
      <w:pgMar w:top="720" w:right="720" w:bottom="720" w:left="720" w:header="851" w:footer="567"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302986-C333-433E-B7FF-2E67631DF5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A09CCC-653F-456F-983A-E69EB46DCCC5}"/>
  </w:font>
  <w:font w:name="方正小标宋简体">
    <w:panose1 w:val="02000000000000000000"/>
    <w:charset w:val="86"/>
    <w:family w:val="auto"/>
    <w:pitch w:val="default"/>
    <w:sig w:usb0="00000001" w:usb1="08000000" w:usb2="00000000" w:usb3="00000000" w:csb0="00040000" w:csb1="00000000"/>
    <w:embedRegular r:id="rId3" w:fontKey="{6E48B563-5AA6-48F1-ABDF-E8E463FF914D}"/>
  </w:font>
  <w:font w:name="仿宋_GB2312">
    <w:panose1 w:val="02010609030101010101"/>
    <w:charset w:val="86"/>
    <w:family w:val="auto"/>
    <w:pitch w:val="default"/>
    <w:sig w:usb0="00000001" w:usb1="080E0000" w:usb2="00000000" w:usb3="00000000" w:csb0="00040000" w:csb1="00000000"/>
    <w:embedRegular r:id="rId4" w:fontKey="{F64E6688-5C69-4CCE-81C6-2039FB31E0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AAC2C"/>
    <w:multiLevelType w:val="singleLevel"/>
    <w:tmpl w:val="A3BAAC2C"/>
    <w:lvl w:ilvl="0" w:tentative="0">
      <w:start w:val="1"/>
      <w:numFmt w:val="decimal"/>
      <w:lvlText w:val="%1."/>
      <w:lvlJc w:val="left"/>
      <w:pPr>
        <w:ind w:left="425" w:hanging="425"/>
      </w:pPr>
      <w:rPr>
        <w:rFonts w:hint="default"/>
      </w:rPr>
    </w:lvl>
  </w:abstractNum>
  <w:abstractNum w:abstractNumId="1">
    <w:nsid w:val="BDF7C867"/>
    <w:multiLevelType w:val="singleLevel"/>
    <w:tmpl w:val="BDF7C867"/>
    <w:lvl w:ilvl="0" w:tentative="0">
      <w:start w:val="1"/>
      <w:numFmt w:val="decimal"/>
      <w:lvlText w:val="%1."/>
      <w:lvlJc w:val="left"/>
      <w:pPr>
        <w:ind w:left="425" w:hanging="425"/>
      </w:pPr>
      <w:rPr>
        <w:rFonts w:hint="default"/>
      </w:rPr>
    </w:lvl>
  </w:abstractNum>
  <w:abstractNum w:abstractNumId="2">
    <w:nsid w:val="BFDDA529"/>
    <w:multiLevelType w:val="singleLevel"/>
    <w:tmpl w:val="BFDDA529"/>
    <w:lvl w:ilvl="0" w:tentative="0">
      <w:start w:val="1"/>
      <w:numFmt w:val="decimal"/>
      <w:lvlText w:val="%1."/>
      <w:lvlJc w:val="left"/>
      <w:pPr>
        <w:ind w:left="425" w:hanging="425"/>
      </w:pPr>
      <w:rPr>
        <w:rFonts w:hint="default"/>
      </w:rPr>
    </w:lvl>
  </w:abstractNum>
  <w:abstractNum w:abstractNumId="3">
    <w:nsid w:val="BFFDF489"/>
    <w:multiLevelType w:val="singleLevel"/>
    <w:tmpl w:val="BFFDF489"/>
    <w:lvl w:ilvl="0" w:tentative="0">
      <w:start w:val="1"/>
      <w:numFmt w:val="decimal"/>
      <w:lvlText w:val="%1."/>
      <w:lvlJc w:val="left"/>
      <w:pPr>
        <w:ind w:left="425" w:hanging="425"/>
      </w:pPr>
      <w:rPr>
        <w:rFonts w:hint="default"/>
      </w:rPr>
    </w:lvl>
  </w:abstractNum>
  <w:abstractNum w:abstractNumId="4">
    <w:nsid w:val="C5E9C1C0"/>
    <w:multiLevelType w:val="singleLevel"/>
    <w:tmpl w:val="C5E9C1C0"/>
    <w:lvl w:ilvl="0" w:tentative="0">
      <w:start w:val="1"/>
      <w:numFmt w:val="decimal"/>
      <w:lvlText w:val="%1."/>
      <w:lvlJc w:val="left"/>
      <w:pPr>
        <w:ind w:left="425" w:hanging="425"/>
      </w:pPr>
      <w:rPr>
        <w:rFonts w:hint="default"/>
      </w:rPr>
    </w:lvl>
  </w:abstractNum>
  <w:abstractNum w:abstractNumId="5">
    <w:nsid w:val="CF7BF943"/>
    <w:multiLevelType w:val="singleLevel"/>
    <w:tmpl w:val="CF7BF943"/>
    <w:lvl w:ilvl="0" w:tentative="0">
      <w:start w:val="1"/>
      <w:numFmt w:val="decimal"/>
      <w:lvlText w:val="%1."/>
      <w:lvlJc w:val="left"/>
      <w:pPr>
        <w:ind w:left="425" w:hanging="425"/>
      </w:pPr>
      <w:rPr>
        <w:rFonts w:hint="default"/>
      </w:rPr>
    </w:lvl>
  </w:abstractNum>
  <w:abstractNum w:abstractNumId="6">
    <w:nsid w:val="DDBCB7EB"/>
    <w:multiLevelType w:val="singleLevel"/>
    <w:tmpl w:val="DDBCB7EB"/>
    <w:lvl w:ilvl="0" w:tentative="0">
      <w:start w:val="1"/>
      <w:numFmt w:val="decimal"/>
      <w:lvlText w:val="%1."/>
      <w:lvlJc w:val="left"/>
      <w:pPr>
        <w:ind w:left="425" w:hanging="425"/>
      </w:pPr>
      <w:rPr>
        <w:rFonts w:hint="default"/>
      </w:rPr>
    </w:lvl>
  </w:abstractNum>
  <w:abstractNum w:abstractNumId="7">
    <w:nsid w:val="DDEFB32E"/>
    <w:multiLevelType w:val="singleLevel"/>
    <w:tmpl w:val="DDEFB32E"/>
    <w:lvl w:ilvl="0" w:tentative="0">
      <w:start w:val="1"/>
      <w:numFmt w:val="decimal"/>
      <w:lvlText w:val="%1."/>
      <w:lvlJc w:val="left"/>
      <w:pPr>
        <w:ind w:left="425" w:hanging="425"/>
      </w:pPr>
      <w:rPr>
        <w:rFonts w:hint="default"/>
      </w:rPr>
    </w:lvl>
  </w:abstractNum>
  <w:abstractNum w:abstractNumId="8">
    <w:nsid w:val="DF2F9254"/>
    <w:multiLevelType w:val="singleLevel"/>
    <w:tmpl w:val="DF2F9254"/>
    <w:lvl w:ilvl="0" w:tentative="0">
      <w:start w:val="1"/>
      <w:numFmt w:val="decimal"/>
      <w:lvlText w:val="%1."/>
      <w:lvlJc w:val="left"/>
      <w:pPr>
        <w:ind w:left="425" w:hanging="425"/>
      </w:pPr>
      <w:rPr>
        <w:rFonts w:hint="default"/>
      </w:rPr>
    </w:lvl>
  </w:abstractNum>
  <w:abstractNum w:abstractNumId="9">
    <w:nsid w:val="DFEE7B80"/>
    <w:multiLevelType w:val="singleLevel"/>
    <w:tmpl w:val="DFEE7B80"/>
    <w:lvl w:ilvl="0" w:tentative="0">
      <w:start w:val="1"/>
      <w:numFmt w:val="decimal"/>
      <w:lvlText w:val="%1."/>
      <w:lvlJc w:val="left"/>
      <w:pPr>
        <w:ind w:left="425" w:hanging="425"/>
      </w:pPr>
      <w:rPr>
        <w:rFonts w:hint="default"/>
      </w:rPr>
    </w:lvl>
  </w:abstractNum>
  <w:abstractNum w:abstractNumId="10">
    <w:nsid w:val="E5F3C3B7"/>
    <w:multiLevelType w:val="singleLevel"/>
    <w:tmpl w:val="E5F3C3B7"/>
    <w:lvl w:ilvl="0" w:tentative="0">
      <w:start w:val="1"/>
      <w:numFmt w:val="decimal"/>
      <w:lvlText w:val="%1."/>
      <w:lvlJc w:val="left"/>
      <w:pPr>
        <w:ind w:left="425" w:hanging="425"/>
      </w:pPr>
      <w:rPr>
        <w:rFonts w:hint="default"/>
      </w:rPr>
    </w:lvl>
  </w:abstractNum>
  <w:abstractNum w:abstractNumId="11">
    <w:nsid w:val="EBFFB342"/>
    <w:multiLevelType w:val="singleLevel"/>
    <w:tmpl w:val="EBFFB342"/>
    <w:lvl w:ilvl="0" w:tentative="0">
      <w:start w:val="1"/>
      <w:numFmt w:val="decimal"/>
      <w:lvlText w:val="%1."/>
      <w:lvlJc w:val="left"/>
      <w:pPr>
        <w:ind w:left="425" w:hanging="425"/>
      </w:pPr>
      <w:rPr>
        <w:rFonts w:hint="default"/>
      </w:rPr>
    </w:lvl>
  </w:abstractNum>
  <w:abstractNum w:abstractNumId="12">
    <w:nsid w:val="F55FFC51"/>
    <w:multiLevelType w:val="singleLevel"/>
    <w:tmpl w:val="F55FFC51"/>
    <w:lvl w:ilvl="0" w:tentative="0">
      <w:start w:val="1"/>
      <w:numFmt w:val="decimal"/>
      <w:lvlText w:val="%1."/>
      <w:lvlJc w:val="left"/>
      <w:pPr>
        <w:ind w:left="425" w:hanging="425"/>
      </w:pPr>
      <w:rPr>
        <w:rFonts w:hint="default"/>
      </w:rPr>
    </w:lvl>
  </w:abstractNum>
  <w:abstractNum w:abstractNumId="13">
    <w:nsid w:val="F637146B"/>
    <w:multiLevelType w:val="singleLevel"/>
    <w:tmpl w:val="F637146B"/>
    <w:lvl w:ilvl="0" w:tentative="0">
      <w:start w:val="1"/>
      <w:numFmt w:val="decimal"/>
      <w:lvlText w:val="%1."/>
      <w:lvlJc w:val="left"/>
      <w:pPr>
        <w:ind w:left="425" w:hanging="425"/>
      </w:pPr>
      <w:rPr>
        <w:rFonts w:hint="default"/>
      </w:rPr>
    </w:lvl>
  </w:abstractNum>
  <w:abstractNum w:abstractNumId="14">
    <w:nsid w:val="F7FE8EB1"/>
    <w:multiLevelType w:val="singleLevel"/>
    <w:tmpl w:val="F7FE8EB1"/>
    <w:lvl w:ilvl="0" w:tentative="0">
      <w:start w:val="1"/>
      <w:numFmt w:val="decimal"/>
      <w:lvlText w:val="%1."/>
      <w:lvlJc w:val="left"/>
      <w:pPr>
        <w:ind w:left="425" w:hanging="425"/>
      </w:pPr>
      <w:rPr>
        <w:rFonts w:hint="default"/>
      </w:rPr>
    </w:lvl>
  </w:abstractNum>
  <w:abstractNum w:abstractNumId="15">
    <w:nsid w:val="FD6EBDFD"/>
    <w:multiLevelType w:val="singleLevel"/>
    <w:tmpl w:val="FD6EBDFD"/>
    <w:lvl w:ilvl="0" w:tentative="0">
      <w:start w:val="1"/>
      <w:numFmt w:val="decimal"/>
      <w:lvlText w:val="%1."/>
      <w:lvlJc w:val="left"/>
      <w:pPr>
        <w:ind w:left="425" w:hanging="425"/>
      </w:pPr>
      <w:rPr>
        <w:rFonts w:hint="default"/>
      </w:rPr>
    </w:lvl>
  </w:abstractNum>
  <w:abstractNum w:abstractNumId="16">
    <w:nsid w:val="FF5640C2"/>
    <w:multiLevelType w:val="singleLevel"/>
    <w:tmpl w:val="FF5640C2"/>
    <w:lvl w:ilvl="0" w:tentative="0">
      <w:start w:val="1"/>
      <w:numFmt w:val="decimal"/>
      <w:lvlText w:val="%1."/>
      <w:lvlJc w:val="left"/>
      <w:pPr>
        <w:ind w:left="425" w:hanging="425"/>
      </w:pPr>
      <w:rPr>
        <w:rFonts w:hint="default"/>
      </w:rPr>
    </w:lvl>
  </w:abstractNum>
  <w:abstractNum w:abstractNumId="17">
    <w:nsid w:val="FFBB3167"/>
    <w:multiLevelType w:val="singleLevel"/>
    <w:tmpl w:val="FFBB3167"/>
    <w:lvl w:ilvl="0" w:tentative="0">
      <w:start w:val="1"/>
      <w:numFmt w:val="decimal"/>
      <w:lvlText w:val="%1."/>
      <w:lvlJc w:val="left"/>
      <w:pPr>
        <w:ind w:left="425" w:hanging="425"/>
      </w:pPr>
      <w:rPr>
        <w:rFonts w:hint="default"/>
      </w:rPr>
    </w:lvl>
  </w:abstractNum>
  <w:abstractNum w:abstractNumId="18">
    <w:nsid w:val="FFD3C573"/>
    <w:multiLevelType w:val="singleLevel"/>
    <w:tmpl w:val="FFD3C573"/>
    <w:lvl w:ilvl="0" w:tentative="0">
      <w:start w:val="1"/>
      <w:numFmt w:val="decimal"/>
      <w:lvlText w:val="%1."/>
      <w:lvlJc w:val="left"/>
      <w:pPr>
        <w:ind w:left="425" w:hanging="425"/>
      </w:pPr>
      <w:rPr>
        <w:rFonts w:hint="default"/>
      </w:rPr>
    </w:lvl>
  </w:abstractNum>
  <w:abstractNum w:abstractNumId="19">
    <w:nsid w:val="FFE4D710"/>
    <w:multiLevelType w:val="singleLevel"/>
    <w:tmpl w:val="FFE4D710"/>
    <w:lvl w:ilvl="0" w:tentative="0">
      <w:start w:val="1"/>
      <w:numFmt w:val="decimal"/>
      <w:lvlText w:val="%1."/>
      <w:lvlJc w:val="left"/>
      <w:pPr>
        <w:ind w:left="425" w:hanging="425"/>
      </w:pPr>
      <w:rPr>
        <w:rFonts w:hint="default"/>
      </w:rPr>
    </w:lvl>
  </w:abstractNum>
  <w:abstractNum w:abstractNumId="20">
    <w:nsid w:val="FFFF4738"/>
    <w:multiLevelType w:val="singleLevel"/>
    <w:tmpl w:val="FFFF4738"/>
    <w:lvl w:ilvl="0" w:tentative="0">
      <w:start w:val="1"/>
      <w:numFmt w:val="decimal"/>
      <w:lvlText w:val="%1."/>
      <w:lvlJc w:val="left"/>
      <w:pPr>
        <w:ind w:left="425" w:hanging="425"/>
      </w:pPr>
      <w:rPr>
        <w:rFonts w:hint="default"/>
      </w:rPr>
    </w:lvl>
  </w:abstractNum>
  <w:abstractNum w:abstractNumId="21">
    <w:nsid w:val="169DA585"/>
    <w:multiLevelType w:val="singleLevel"/>
    <w:tmpl w:val="169DA585"/>
    <w:lvl w:ilvl="0" w:tentative="0">
      <w:start w:val="1"/>
      <w:numFmt w:val="decimal"/>
      <w:lvlText w:val="%1."/>
      <w:lvlJc w:val="left"/>
      <w:pPr>
        <w:ind w:left="425" w:hanging="425"/>
      </w:pPr>
      <w:rPr>
        <w:rFonts w:hint="default"/>
      </w:rPr>
    </w:lvl>
  </w:abstractNum>
  <w:abstractNum w:abstractNumId="22">
    <w:nsid w:val="3D3EC910"/>
    <w:multiLevelType w:val="singleLevel"/>
    <w:tmpl w:val="3D3EC910"/>
    <w:lvl w:ilvl="0" w:tentative="0">
      <w:start w:val="1"/>
      <w:numFmt w:val="decimal"/>
      <w:lvlText w:val="%1."/>
      <w:lvlJc w:val="left"/>
      <w:pPr>
        <w:ind w:left="425" w:hanging="425"/>
      </w:pPr>
      <w:rPr>
        <w:rFonts w:hint="default"/>
      </w:rPr>
    </w:lvl>
  </w:abstractNum>
  <w:abstractNum w:abstractNumId="23">
    <w:nsid w:val="3F5EC92A"/>
    <w:multiLevelType w:val="singleLevel"/>
    <w:tmpl w:val="3F5EC92A"/>
    <w:lvl w:ilvl="0" w:tentative="0">
      <w:start w:val="1"/>
      <w:numFmt w:val="decimal"/>
      <w:lvlText w:val="%1."/>
      <w:lvlJc w:val="left"/>
      <w:pPr>
        <w:ind w:left="425" w:hanging="425"/>
      </w:pPr>
      <w:rPr>
        <w:rFonts w:hint="default"/>
      </w:rPr>
    </w:lvl>
  </w:abstractNum>
  <w:abstractNum w:abstractNumId="24">
    <w:nsid w:val="56F738E5"/>
    <w:multiLevelType w:val="singleLevel"/>
    <w:tmpl w:val="56F738E5"/>
    <w:lvl w:ilvl="0" w:tentative="0">
      <w:start w:val="1"/>
      <w:numFmt w:val="decimal"/>
      <w:lvlText w:val="%1."/>
      <w:lvlJc w:val="left"/>
      <w:pPr>
        <w:ind w:left="425" w:hanging="425"/>
      </w:pPr>
      <w:rPr>
        <w:rFonts w:hint="default"/>
      </w:rPr>
    </w:lvl>
  </w:abstractNum>
  <w:abstractNum w:abstractNumId="25">
    <w:nsid w:val="6DF52B3A"/>
    <w:multiLevelType w:val="singleLevel"/>
    <w:tmpl w:val="6DF52B3A"/>
    <w:lvl w:ilvl="0" w:tentative="0">
      <w:start w:val="1"/>
      <w:numFmt w:val="decimal"/>
      <w:lvlText w:val="%1."/>
      <w:lvlJc w:val="left"/>
      <w:pPr>
        <w:ind w:left="425" w:hanging="425"/>
      </w:pPr>
      <w:rPr>
        <w:rFonts w:hint="default"/>
      </w:rPr>
    </w:lvl>
  </w:abstractNum>
  <w:num w:numId="1">
    <w:abstractNumId w:val="7"/>
  </w:num>
  <w:num w:numId="2">
    <w:abstractNumId w:val="14"/>
  </w:num>
  <w:num w:numId="3">
    <w:abstractNumId w:val="3"/>
  </w:num>
  <w:num w:numId="4">
    <w:abstractNumId w:val="16"/>
  </w:num>
  <w:num w:numId="5">
    <w:abstractNumId w:val="19"/>
  </w:num>
  <w:num w:numId="6">
    <w:abstractNumId w:val="12"/>
  </w:num>
  <w:num w:numId="7">
    <w:abstractNumId w:val="21"/>
  </w:num>
  <w:num w:numId="8">
    <w:abstractNumId w:val="20"/>
  </w:num>
  <w:num w:numId="9">
    <w:abstractNumId w:val="18"/>
  </w:num>
  <w:num w:numId="10">
    <w:abstractNumId w:val="8"/>
  </w:num>
  <w:num w:numId="11">
    <w:abstractNumId w:val="15"/>
  </w:num>
  <w:num w:numId="12">
    <w:abstractNumId w:val="24"/>
  </w:num>
  <w:num w:numId="13">
    <w:abstractNumId w:val="11"/>
  </w:num>
  <w:num w:numId="14">
    <w:abstractNumId w:val="22"/>
  </w:num>
  <w:num w:numId="15">
    <w:abstractNumId w:val="23"/>
  </w:num>
  <w:num w:numId="16">
    <w:abstractNumId w:val="13"/>
  </w:num>
  <w:num w:numId="17">
    <w:abstractNumId w:val="6"/>
  </w:num>
  <w:num w:numId="18">
    <w:abstractNumId w:val="25"/>
  </w:num>
  <w:num w:numId="19">
    <w:abstractNumId w:val="0"/>
  </w:num>
  <w:num w:numId="20">
    <w:abstractNumId w:val="2"/>
  </w:num>
  <w:num w:numId="21">
    <w:abstractNumId w:val="1"/>
  </w:num>
  <w:num w:numId="22">
    <w:abstractNumId w:val="4"/>
  </w:num>
  <w:num w:numId="23">
    <w:abstractNumId w:val="5"/>
  </w:num>
  <w:num w:numId="24">
    <w:abstractNumId w:val="9"/>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DM0OTg0ZTE5YzE4ODQ3ODA5MDQwMDFhMDMzZWUifQ=="/>
  </w:docVars>
  <w:rsids>
    <w:rsidRoot w:val="409D47A2"/>
    <w:rsid w:val="136B0E25"/>
    <w:rsid w:val="2377323E"/>
    <w:rsid w:val="3DBC0328"/>
    <w:rsid w:val="409D47A2"/>
    <w:rsid w:val="41F45753"/>
    <w:rsid w:val="61D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eastAsia="宋体" w:cs="宋体"/>
      <w:szCs w:val="24"/>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51"/>
    <w:basedOn w:val="5"/>
    <w:uiPriority w:val="0"/>
    <w:rPr>
      <w:rFonts w:hint="eastAsia" w:ascii="宋体" w:hAnsi="宋体" w:eastAsia="宋体" w:cs="宋体"/>
      <w:color w:val="000000"/>
      <w:sz w:val="20"/>
      <w:szCs w:val="20"/>
      <w:u w:val="single"/>
    </w:rPr>
  </w:style>
  <w:style w:type="character" w:customStyle="1" w:styleId="8">
    <w:name w:val="font61"/>
    <w:basedOn w:val="5"/>
    <w:qFormat/>
    <w:uiPriority w:val="0"/>
    <w:rPr>
      <w:rFonts w:hint="eastAsia" w:ascii="宋体" w:hAnsi="宋体" w:eastAsia="宋体" w:cs="宋体"/>
      <w:color w:val="000000"/>
      <w:sz w:val="20"/>
      <w:szCs w:val="20"/>
      <w:u w:val="single"/>
    </w:rPr>
  </w:style>
  <w:style w:type="character" w:customStyle="1" w:styleId="9">
    <w:name w:val="font41"/>
    <w:basedOn w:val="5"/>
    <w:qFormat/>
    <w:uiPriority w:val="0"/>
    <w:rPr>
      <w:rFonts w:hint="eastAsia" w:ascii="宋体" w:hAnsi="宋体" w:eastAsia="宋体" w:cs="宋体"/>
      <w:color w:val="000000"/>
      <w:sz w:val="20"/>
      <w:szCs w:val="20"/>
      <w:u w:val="none"/>
    </w:rPr>
  </w:style>
  <w:style w:type="paragraph" w:customStyle="1" w:styleId="10">
    <w:name w:val="正文-公1"/>
    <w:basedOn w:val="11"/>
    <w:qFormat/>
    <w:uiPriority w:val="0"/>
    <w:pPr>
      <w:ind w:firstLine="200" w:firstLineChars="200"/>
    </w:pPr>
    <w:rPr>
      <w:color w:val="000000"/>
      <w:szCs w:val="24"/>
    </w:rPr>
  </w:style>
  <w:style w:type="paragraph" w:customStyle="1" w:styleId="11">
    <w:name w:val="正文 New"/>
    <w:next w:val="10"/>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7603</Words>
  <Characters>8101</Characters>
  <Lines>0</Lines>
  <Paragraphs>0</Paragraphs>
  <TotalTime>4</TotalTime>
  <ScaleCrop>false</ScaleCrop>
  <LinksUpToDate>false</LinksUpToDate>
  <CharactersWithSpaces>8505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2024-05-24T08:20:00Z</dcterms:created>
  <dc:creator>你憋说话</dc:creator>
  <cp:lastModifiedBy>le享人生</cp:lastModifiedBy>
  <dcterms:modified xsi:type="dcterms:W3CDTF">2024-05-28T01:14:46Z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76E81979F61F4C6C863E8EE2578D9FDF_13</vt:lpwstr>
  </property>
</Properties>
</file>