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pPr>
      <w:bookmarkStart w:id="0" w:name="bookmark9"/>
      <w:bookmarkStart w:id="1" w:name="bookmark11"/>
      <w:bookmarkStart w:id="2" w:name="bookmark10"/>
      <w:r>
        <w:rPr>
          <w:rFonts w:hint="default" w:ascii="Times New Roman" w:hAnsi="Times New Roman"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t>花溪区</w:t>
      </w:r>
      <w:bookmarkEnd w:id="0"/>
      <w:bookmarkEnd w:id="1"/>
      <w:bookmarkEnd w:id="2"/>
      <w:r>
        <w:rPr>
          <w:rFonts w:hint="default" w:ascii="Times New Roman" w:hAnsi="Times New Roman"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t>义务教育阶段公办强校</w:t>
      </w:r>
      <w:r>
        <w:rPr>
          <w:rFonts w:hint="eastAsia"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t>工程</w:t>
      </w:r>
      <w:r>
        <w:rPr>
          <w:rFonts w:hint="default" w:ascii="Times New Roman" w:hAnsi="Times New Roman" w:eastAsia="方正小标宋简体" w:cs="Times New Roman"/>
          <w:color w:val="000000" w:themeColor="text1"/>
          <w:spacing w:val="0"/>
          <w:w w:val="100"/>
          <w:kern w:val="2"/>
          <w:position w:val="0"/>
          <w:sz w:val="44"/>
          <w:szCs w:val="44"/>
          <w:shd w:val="clear"/>
          <w:lang w:val="en-US" w:eastAsia="zh-CN" w:bidi="ar-SA"/>
          <w14:textFill>
            <w14:solidFill>
              <w14:schemeClr w14:val="tx1"/>
            </w14:solidFill>
          </w14:textFill>
        </w:rPr>
        <w:t>实施方案</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center"/>
        <w:textAlignment w:val="auto"/>
        <w:rPr>
          <w:rFonts w:hint="eastAsia" w:ascii="Times New Roman" w:hAnsi="Times New Roman" w:eastAsia="仿宋_GB2312" w:cs="Times New Roman"/>
          <w:color w:val="auto"/>
          <w:spacing w:val="0"/>
          <w:w w:val="100"/>
          <w:position w:val="0"/>
          <w:sz w:val="32"/>
          <w:szCs w:val="32"/>
          <w:u w:val="none"/>
          <w:shd w:val="clear" w:color="auto" w:fill="auto"/>
          <w:lang w:val="en-US" w:eastAsia="zh-CN" w:bidi="en-US"/>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spacing w:val="0"/>
          <w:w w:val="100"/>
          <w:position w:val="0"/>
          <w:sz w:val="32"/>
          <w:szCs w:val="32"/>
          <w:u w:val="none"/>
          <w:shd w:val="clear" w:color="auto" w:fill="auto"/>
          <w:lang w:val="en-US" w:eastAsia="zh-CN" w:bidi="en-US"/>
        </w:rPr>
      </w:pPr>
      <w:r>
        <w:rPr>
          <w:rFonts w:hint="default" w:ascii="Times New Roman" w:hAnsi="Times New Roman" w:eastAsia="仿宋_GB2312" w:cs="Times New Roman"/>
          <w:color w:val="auto"/>
          <w:spacing w:val="0"/>
          <w:w w:val="100"/>
          <w:position w:val="0"/>
          <w:sz w:val="32"/>
          <w:szCs w:val="32"/>
          <w:u w:val="none"/>
          <w:shd w:val="clear" w:color="auto" w:fill="auto"/>
          <w:lang w:val="en-US" w:eastAsia="zh-CN" w:bidi="en-US"/>
        </w:rPr>
        <w:t>为深入推进教育“强省会”行动，提升公办学校办学质量。进一步巩固和强化公办教育在义务教育阶段的主体地位，推动义务教育高质量发展，构建优质均衡的贵阳市义务教育公共服务体系。根据中央、省、市关于深化教育教学改革全面提高义务教育质量的相关要求和《贵州省整体提升教育水平攻坚行动计划(2021-2030年)》《贵州省义务教育阶段公办强校计划实施方案》《贵阳市义务教育阶段公办强校工程实施方案》，结合花溪区实际，制定义务教育阶段公办强校工程(以下简称强校工程)实施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一、指导思想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1"/>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习近平新时代中国特色社会主义思想为指导，认真贯彻落实习近平总书记视察贵州时关于“加强基础教育办学力度”的重要指示精神，围绕市委“一圈两场三改”建设总体要求，坚持立德树人、五育并举，按照“综合施策、注重内涵、突出特色、提升质量”的思路，依法落实政府举办义务教育的主体责任，全面激发公办义务教育阶段学校办学活力，深化教育教学改革，提升义务教育质量，把每一所公办义务教育学校办成老百姓家门口</w:t>
      </w:r>
      <w:bookmarkStart w:id="3" w:name="_GoBack"/>
      <w:bookmarkEnd w:id="3"/>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学校，推动全区义务教育优质均衡发展，提升人民群众对教育的获得感、幸福感、安全感。</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二、</w:t>
      </w: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实施义务教育阶段公办强校工程，全面打造公办强校，设立项目校，并根据学校基础设置培育校、实验校、品质校三个发展梯度，促进公办学校质量逐步提升。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到2022年底，义务教育阶段学校办学行为更加规范，</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域内40%以上公办初中和乡镇中心完小及以上的公办小学不低于培育校水平，公办学校大学区全覆盖。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到2023年底，义务教育阶段公办、民办学校结构更加合理，公办学校办学条件明显改善，教育质量明显提高，</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域内70%以上公办初中和乡镇中心完小及以上的公办小学不低于培育校水平。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到2024年底，义务教育阶段公办学校办学条件显著改善，教育质量显著提高，</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域内90%以上公办初中和乡镇中心完小及以上的公办小学不低于培育校水平。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到2025年底，义务教育阶段公办学校基本达到</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域义务教育优质均衡发展国家标准，所有公办初中和乡镇中心完小及以上的公办小学不低于培育校水平，义务教育阶段公办学校主体地位更加彰显。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到2030年底，义务教育发展水平与教育现代化要求的差距进一步缩小，优质教育资源总量进一</w:t>
      </w:r>
      <w:r>
        <w:rPr>
          <w:rFonts w:hint="default" w:ascii="Times New Roman" w:hAnsi="Times New Roman" w:eastAsia="仿宋_GB2312" w:cs="Times New Roman"/>
          <w:sz w:val="32"/>
          <w:szCs w:val="32"/>
          <w:lang w:eastAsia="zh-CN"/>
        </w:rPr>
        <w:t>步</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域内品质校占比不低于50%。</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三、工作内容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（一）强化“三区”教育融合。</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按照“十个统一”原则，推进“三区”教育深度融合。布局统一规划，整合教育资源促进教育均衡发展；项目统一实施，充分发挥资金的使用效益；</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管理统一要求</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健全机制综合施策促进精细化管理；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教师统一</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，教师统管统用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强化师资</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合理配置；</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课程统一设置</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立足地域特色规划区域内学校课程建设；</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教研统一开展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利用优势互补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促进教师专业发展；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TW" w:bidi="ar-SA"/>
          <w14:textFill>
            <w14:solidFill>
              <w14:schemeClr w14:val="tx1"/>
            </w14:solidFill>
          </w14:textFill>
        </w:rPr>
        <w:t>培训统一实</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施，资源共享共用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提高教师专业素养；</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活动统一策划，打通区域屏障</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促进“</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三区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TW" w:eastAsia="zh-CN" w:bidi="ar-SA"/>
          <w14:textFill>
            <w14:solidFill>
              <w14:schemeClr w14:val="tx1"/>
            </w14:solidFill>
          </w14:textFill>
        </w:rPr>
        <w:t>”和谐发展；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评价统一标准，强化督导检查提升学校管理水平；考核统一实施，充分发挥考核激励作用，促进教育高质量发展。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（二）强化校地融合发展。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积极与辖区内高校联合，开展全方位、多层面的深度合作。校地共建，共谋高质量发展。发挥贵州大学、贵州师范大学等高校优质教育资源，探索实施“优质教育+基础教育、专家团队+基础教育、高尖场所+基础教育”模式，激发人才内生活力，延伸扩大教育资源覆盖面，推动花溪区教育高质量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三）强化</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招生管理。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围绕“新型城镇化”发展需求，聚焦“15分钟生活圈”建设要求，完善学龄人口动态监测机制，科学规划学校布局，合理新增学位，提升公办义务教育</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资源</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供给能力。</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坚决</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落实义务教育“</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就近、</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免试”入学</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政策</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切实增强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控辍保学工作力度，实现符合条件的随迁子女在公办学校就读。推动民办学校逐步实现属地招生，坚决杜绝违规招生现象发生，严禁学校迫使学生转学退学、民办学校区别对待政府购买学位学生的行为，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全区各类学校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实行均衡编班，不分重点班、快慢班。</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四</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）强化学校管理。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深入实施《义务教育学校管理标准》，推动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义务教育阶段</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学校加快</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建立</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依法办学、自主管理、民主监督、社会参与的现代学校制度，深化管理机制改革，促进学校治理体系和治理能力现代化，全面提升</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各校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办学品质和育人质量。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五</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强化教师</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队伍建设。</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深入实施中小学教职工编制全面达标行动，通过“特岗计划”和公开招聘或人才引进，补齐结构短板，配齐配足义务教育学校教职工。选好配强管理干部队伍，完善校长、教师流动机制。探索推进义务教育阶段教师“区管校聘”，探索教师从“学校人”变为“系统人”，加强区域内公办义务教育学校教师编制、岗位的统筹管理。突出师德师风建设，以省“强师工程”为引领，以国培、省培和市培为载体，加大教育管理干部、新入职教师、学科教师的培养培训力度，确保每个教师每5年培训不低于450学时，健全学科基地、教育发展共同体建设和校本研修体系，促进校际间开展校本联动，有效提升义务教育学校教师队伍专业素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（六）强化</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教学常规</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管理。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健全学校教学管理规程，开齐开足开好国家课程，规范实施地方课程和校本课程，严格实施零起点教学，科学开展幼小衔接。认真落实“五项管理”和“双减”要求，抓实抓好教学常规，</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强化“提质减负”工作，</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提高作业效率，不随意增减课时、提高难度、加快进度。</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严格执行《贵阳市教育教学基本要求》和校本研修指导要求，规范教学常规的实施，按照课程标准实施教学。完善教师集体备课、校本教研和校长、教师推门听课制度，健全教学评价制度，实施教师教育教学过程性评价体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七</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办学水平</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提升。</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探索推进教育城乡“双校”协同发展，推进教育城乡一体化改革，</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立足学校办学背景，打造特色校园文化，构建特色课程体系，形成特色教育品牌。改进教学方式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和管理方式，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提高学生在校学习效率。</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坚持五育并举，弘扬中华优秀传统美育文化，开展丰富体育运动项目和课程，积极开展劳动教育和综合实践活动，为党和国家培养综合素质全面发展的优质人才。</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加强考试管理，改进学生评价方式，实施学生综合素质评价，</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全面激发公办义务教育阶段学校办学活力，缩小城乡、校际差距提升办学水平。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四、工作措施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（一）标准引领。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综合《义务教育学校管理标准》《义务教育质量评价指南》等各项要求，从办学方向、办学条件、学校治理、课程实施、教师发展、学生发展和社会影响等方面，按照《贵阳市义务教育阶段公办强校评估方案》和评估指标体系，引领学校全面贯彻新发展理念，转变教育教学方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有效</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提升教育质量。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（二）梯度推进。</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对照《贵阳市义务教育阶段公办强校评估方案》和评估指标体系，根据学校基础设置“强校工程”培育校、“强校工程”实验校、“强校工程”品质校三个发展梯度，</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将</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所有义务教育公办学校全部纳入公办强校培育对象，以实现“强校工程”品质校为最终目标，制定公办强校工程规划，指导学校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结合实际按照</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“一校一案”制定“强校工程”3年发展规划，逐步对标提升。三类项目校的基本特征如下：</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“强校工程”培育校：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思想正确、育人目标明确，办学条件较为完善，学校管理制度健全，课程实施规范，课堂教学整体水平合格，师德师风建设和教师专业发展有成效，学生德智体美劳得以全面发展，有一定办学成果，得到大部分师生家长好评及社会认可。</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“强校工程”实验校：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思想正确、有适合校本的办学理念、育人目标明确，办学条件较为完善，学校有规范的管理制度，课程实施规范，课堂教学整体水平较高，师德师风建设和教师专业发展成绩明显，学生德智体美劳全面发展有实效，办学效果良好，能辐射带动其他学校发展，形成一定育人特色，得到师生家长好评及社会认可。</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“强校工程”品质校：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办学思想正确、办学理念先进、育人目标明确、办学条件完善、学校有科学的管理体系，完整的课程体系，课堂教学整体水平高，师德师风建设和教师专业发展成绩突出，学生德智体美劳全面发展实效显著，具有鲜明的育人特色，办学效果显著，能辐射带动其他学校共同发展，得到师生家长一致好评及社会广泛认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（三）协同发展。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探索推进城乡教育“双校”协同发展，推进城乡教育一体化改革，</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深化教育资源协同发展，</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强化学校发展共同体建设</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，强化乡（镇）中心</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完小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的枢纽作用，构建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中心完小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与村</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同步发展的教育</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体系</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。通过组建教育共同体，实行捆绑考核，推进学校管理、课程实施、教师发展、教育科研、评价考核一体化，以优质资源带动、推动薄弱学校跨越式发展。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（四）综合评价。</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改革义务教育学校评价方式，构建基于学校发展基础、以落实立德树人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根本</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任务、促进学生全面发展、增强师资发展潜力、培育特色育人环境、提高教育服务水平、提升社会满意度等内容为主体的增值性评价体系，对不同发展阶段和发展背景的义务教育学校实施综合评价，促进学校转变质量观，改进教育教学，提升群众认可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（五）教研支撑。</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配齐配好义务教育阶段教研员队伍，到2025年实现区域内每个学段、每个学科至少有1名专兼职教研员，其中兼职教研员占比不超过20%。健全区、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校</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级教研体系，完善教研联动机制，组建学科教研共同体，</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充分发挥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学科带头人、“三名”专家</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和骨干教师的</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辐射</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和引领作用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。加强教育科研成果转化运用，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培育</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一批具有推广价值的教学成果。积极与高校科研机构合作，</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探索“专家团队+基础教育”的模式，</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组建研究团队，开展基于义务教育高质量发展、公办强校培育等方面的有益探索。组建由教育系统区管专家、责任督学、专职教研员等组成的区级专家指导组，为学校实施“强校工程”提供专业指导。</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五、工作流程</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（一）筹备启动阶段（2021年12月—2022年</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6</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月）。</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制</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定</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花溪区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义务教育阶段公办强校工程实施方案》，学习并解读《贵阳市义务教育阶段公办强校评估方案》和评估指标体系，开展指标培训，组织各学校制定规划，开展“强校工程”项目校申报创建工作，启动公办强校工程。申报创建工作流程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初次申报：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强校工程”培育校、实验校由区教育局按照相应评估标准自行评估认定，市教育局分别按不低于10%、30%的比例抽查。抽查不合格比例超过50%，全区当年“强校工程”培育校、实验校创建申报整体不予通过。“强校工程”品质校由市教育局统一评估认定。经评估达到相应标准的学校，由市教育局统一授牌并予以公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进阶申报：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通过培育校或实验校认定满两年，可申报进阶，申报进阶允许跨级进阶。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3"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复评复查：</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授牌学校每三年一周期接受市教育局复评复查。复评复查采用抽样方式进行，其中培育校抽样比例不低于10%，实验校抽样比例不低于20%，品质校抽样比例不低于30%。抽检不合格且未能在限期内整改到位的学校，予以降阶直至摘牌。</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乡镇中心校参加强校工程评估时，所辖村小、教学点的学校管理、教师队伍建设和教育教学进行捆绑评估。</w:t>
      </w:r>
    </w:p>
    <w:p>
      <w:pPr>
        <w:pStyle w:val="2"/>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120" w:leftChars="0" w:firstLine="600" w:firstLineChars="0"/>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全面推进阶段（2022年</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7</w:t>
      </w: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月—2025年12月）。</w:t>
      </w:r>
      <w:r>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各学校对照《</w:t>
      </w:r>
      <w:r>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花溪</w:t>
      </w:r>
      <w:r>
        <w:rPr>
          <w:rFonts w:hint="default" w:ascii="Times New Roman" w:hAnsi="Times New Roman" w:eastAsia="仿宋_GB2312" w:cs="Times New Roman"/>
          <w:b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区义务教育阶段公办强校工程实施方案》《贵阳市义务教育阶段公办强校评估方案》和评估指标体系，强化学校管理，深化教学改革，推进协同发展，实现5年发展目标。</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（三）巩固提升阶段（2026年以后）。</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总结“强校工程”实施经验，聚焦基本实现教育现代化发展目标，不断提升公办义务教育学校办学质量，到2030年底，我区义务教育发展水平基本满足教育现代化要求，优质教育资源总量进一步增加，区内“强校工程”品质校占比不低于50%。</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六、保障措施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（一）加强组织领导。</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成立</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en-US" w:eastAsia="zh-CN" w:bidi="ar-SA"/>
          <w14:textFill>
            <w14:solidFill>
              <w14:schemeClr w14:val="tx1"/>
            </w14:solidFill>
          </w14:textFill>
        </w:rPr>
        <w:t>花溪区</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义务教育阶段公办强校工程领导小组，由区政府分管副区长任组长，区委编办、区教育局、区财政局、</w:t>
      </w:r>
      <w:r>
        <w:rPr>
          <w:rFonts w:hint="eastAsia"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区人力资源和社会保障局</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主要领导为成员，负责“强校工程”的统筹调度，及时发现、研究并解决工作中存在的困难和问题，及时推广工作中的先进做法和成功经验，协调有关部门形成合力，共同推动“强校工程”按计划实施。领导小组下设办公室在区教育局，由区教育局主要领导任办公室主任，负责“强校工程”的日常事务。成立工作专班，负责按计划推进落实本地“强校工程”年度目标任务。</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（二）优化办学条件。</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要依法履行政府举办义务教育的主体责任，建立完善辖区内义务教育阶段公办、民办学校结构监测机制，确保义务教育学位主要由公办学校提供或通过政府购买学位方式提供；根据义务教育事业发展需求和财力状况，结合义务教育优质均衡发展基本要求，积极探索校舍综合利用模式，提高学校空间利用效率，优化完善区域内义务教育基本办学条件；提高教师、校舍、仪器设备等配置水平，标准化均衡配置资源，及时更新信息化设备；保障教师工资待遇，关心教师精神生活，切实减轻教师负担，为实施“强校工程”奠定坚实的发展基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（三）加大经费保障。</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切实履行义务教育经费保障职责，加大经费投入，按照省、市的文件规定匹配资金，足额安排资金用于“强校工程”建设，主要用于义务教育学校校舍维护、改造、环境整治、校园文化建设、教育教学设施设备购置和提高教育教学质量等相关工作地支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（四）强化结果运用。</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区教育局、区人民政府教育督导室将“强校工程”工作推进情况纳入对各学校年度考核目标，并在优质课评选、教师评优评先、职称评聘、表彰奖励等方面，对“强校工程”项目校进行适当倾斜。对降阶学校、拒不执行或打折扣执行“双减”“五项管理”和考试管理规定的学校，除约谈学校校长及校级班子外，年度目标考核认定为不合格。</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baseline"/>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pPr>
      <w:r>
        <w:rPr>
          <w:rFonts w:hint="default" w:ascii="Times New Roman" w:hAnsi="Times New Roman" w:eastAsia="楷体" w:cs="Times New Roman"/>
          <w:b w:val="0"/>
          <w:bCs w:val="0"/>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（五）营造良好氛围。</w:t>
      </w:r>
      <w:r>
        <w:rPr>
          <w:rFonts w:hint="default" w:ascii="Times New Roman" w:hAnsi="Times New Roman" w:eastAsia="仿宋_GB2312" w:cs="Times New Roman"/>
          <w:color w:val="000000" w:themeColor="text1"/>
          <w:spacing w:val="0"/>
          <w:w w:val="100"/>
          <w:kern w:val="2"/>
          <w:position w:val="0"/>
          <w:sz w:val="32"/>
          <w:szCs w:val="32"/>
          <w:u w:val="none"/>
          <w:shd w:val="clear" w:color="auto" w:fill="auto"/>
          <w:lang w:val="zh-CN" w:eastAsia="zh-CN" w:bidi="ar-SA"/>
          <w14:textFill>
            <w14:solidFill>
              <w14:schemeClr w14:val="tx1"/>
            </w14:solidFill>
          </w14:textFill>
        </w:rPr>
        <w:t>区教育局、区融媒体中心要加强联系沟通，充分利用报纸、广播、电视、网络等多种途径对“强校工程”进行广泛宣传，让社会、家长更全面地了解公办学校的办学成效，引导社会、家长不唯分数，尊重教育规律和孩子成长规律，积极营造政府重视、社会支持、家长理解、学生满意的良好氛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pP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ar-SA"/>
        </w:rPr>
        <w:t>附件：花溪区义务教育阶段强校工程规划表</w:t>
      </w:r>
    </w:p>
    <w:p>
      <w:pPr>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sz w:val="30"/>
          <w:szCs w:val="30"/>
          <w:lang w:val="en-US" w:eastAsia="zh-CN"/>
        </w:rPr>
      </w:pPr>
      <w:r>
        <w:rPr>
          <w:rFonts w:hint="default" w:ascii="Times New Roman" w:hAnsi="Times New Roman" w:eastAsia="宋体" w:cs="Times New Roman"/>
          <w:sz w:val="30"/>
          <w:szCs w:val="30"/>
          <w:lang w:val="en-US" w:eastAsia="zh-CN"/>
        </w:rPr>
        <w:br w:type="page"/>
      </w:r>
    </w:p>
    <w:p>
      <w:pPr>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sz w:val="30"/>
          <w:szCs w:val="30"/>
          <w:lang w:val="en-US" w:eastAsia="zh-CN"/>
        </w:rPr>
        <w:sectPr>
          <w:footerReference r:id="rId5" w:type="default"/>
          <w:pgSz w:w="11906" w:h="16838"/>
          <w:pgMar w:top="2098" w:right="1474" w:bottom="1984" w:left="1587" w:header="851" w:footer="992" w:gutter="0"/>
          <w:pgNumType w:fmt="decimal"/>
          <w:cols w:space="425" w:num="1"/>
          <w:docGrid w:type="lines" w:linePitch="312" w:charSpace="0"/>
        </w:sectPr>
      </w:pPr>
    </w:p>
    <w:tbl>
      <w:tblPr>
        <w:tblStyle w:val="8"/>
        <w:tblW w:w="15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
        <w:gridCol w:w="3350"/>
        <w:gridCol w:w="948"/>
        <w:gridCol w:w="1183"/>
        <w:gridCol w:w="865"/>
        <w:gridCol w:w="875"/>
        <w:gridCol w:w="881"/>
        <w:gridCol w:w="958"/>
        <w:gridCol w:w="858"/>
        <w:gridCol w:w="865"/>
        <w:gridCol w:w="865"/>
        <w:gridCol w:w="861"/>
        <w:gridCol w:w="861"/>
        <w:gridCol w:w="881"/>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15580" w:type="dxa"/>
            <w:gridSpan w:val="15"/>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黑体" w:cs="Times New Roman"/>
                <w:b w:val="0"/>
                <w:bCs w:val="0"/>
                <w:i w:val="0"/>
                <w:iCs w:val="0"/>
                <w:color w:val="auto"/>
                <w:kern w:val="0"/>
                <w:sz w:val="28"/>
                <w:szCs w:val="28"/>
                <w:u w:val="none"/>
                <w:lang w:val="en-US" w:eastAsia="zh-CN" w:bidi="ar"/>
              </w:rPr>
            </w:pPr>
            <w:r>
              <w:rPr>
                <w:rFonts w:hint="default" w:ascii="Times New Roman" w:hAnsi="Times New Roman" w:eastAsia="黑体" w:cs="Times New Roman"/>
                <w:b w:val="0"/>
                <w:bCs w:val="0"/>
                <w:i w:val="0"/>
                <w:iCs w:val="0"/>
                <w:color w:val="auto"/>
                <w:kern w:val="0"/>
                <w:sz w:val="28"/>
                <w:szCs w:val="28"/>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b/>
                <w:bCs/>
                <w:i w:val="0"/>
                <w:iCs w:val="0"/>
                <w:color w:val="auto"/>
                <w:sz w:val="28"/>
                <w:szCs w:val="28"/>
                <w:u w:val="none"/>
              </w:rPr>
            </w:pPr>
            <w:r>
              <w:rPr>
                <w:rFonts w:hint="default" w:ascii="Times New Roman" w:hAnsi="Times New Roman" w:eastAsia="黑体" w:cs="Times New Roman"/>
                <w:b/>
                <w:bCs/>
                <w:i w:val="0"/>
                <w:iCs w:val="0"/>
                <w:color w:val="auto"/>
                <w:kern w:val="0"/>
                <w:sz w:val="44"/>
                <w:szCs w:val="44"/>
                <w:u w:val="none"/>
                <w:lang w:val="en-US" w:eastAsia="zh-CN" w:bidi="ar"/>
              </w:rPr>
              <w:t>花溪区义务教育阶段强校工程规划表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序号</w:t>
            </w:r>
          </w:p>
        </w:tc>
        <w:tc>
          <w:tcPr>
            <w:tcW w:w="3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机构名称</w:t>
            </w: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学校机构办学类型</w:t>
            </w:r>
          </w:p>
        </w:tc>
        <w:tc>
          <w:tcPr>
            <w:tcW w:w="10854"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工作推进计划（所）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335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29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2022年</w:t>
            </w:r>
          </w:p>
        </w:tc>
        <w:tc>
          <w:tcPr>
            <w:tcW w:w="26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2023年</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2024年</w:t>
            </w:r>
          </w:p>
        </w:tc>
        <w:tc>
          <w:tcPr>
            <w:tcW w:w="2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335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微软雅黑" w:cs="Times New Roman"/>
                <w:b/>
                <w:bCs/>
                <w:i w:val="0"/>
                <w:iCs w:val="0"/>
                <w:color w:val="auto"/>
                <w:sz w:val="18"/>
                <w:szCs w:val="18"/>
                <w:u w:val="none"/>
              </w:rPr>
            </w:pPr>
            <w:r>
              <w:rPr>
                <w:rFonts w:hint="default" w:ascii="Times New Roman" w:hAnsi="Times New Roman" w:eastAsia="微软雅黑" w:cs="Times New Roman"/>
                <w:b/>
                <w:bCs/>
                <w:i w:val="0"/>
                <w:iCs w:val="0"/>
                <w:color w:val="auto"/>
                <w:kern w:val="0"/>
                <w:sz w:val="18"/>
                <w:szCs w:val="18"/>
                <w:u w:val="none"/>
                <w:lang w:val="en-US" w:eastAsia="zh-CN" w:bidi="ar"/>
              </w:rPr>
              <w:t>合计（80）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微软雅黑" w:cs="Times New Roman"/>
                <w:b/>
                <w:bCs/>
                <w:i w:val="0"/>
                <w:iCs w:val="0"/>
                <w:color w:val="auto"/>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8</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14</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9</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11</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38</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21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38</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25</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eastAsia="zh-CN"/>
              </w:rPr>
            </w:pPr>
            <w:r>
              <w:rPr>
                <w:rFonts w:hint="default" w:ascii="Times New Roman" w:hAnsi="Times New Roman" w:eastAsia="黑体" w:cs="Times New Roman"/>
                <w:i w:val="0"/>
                <w:iCs w:val="0"/>
                <w:color w:val="auto"/>
                <w:sz w:val="18"/>
                <w:szCs w:val="18"/>
                <w:u w:val="none"/>
                <w:lang w:val="en-US" w:eastAsia="zh-CN"/>
              </w:rPr>
              <w:t>34</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贵阳市花溪第一中学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贵阳市花溪第一中学美的校区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贵阳市第三十四中学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贵阳市花溪区第二中学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贵阳市花溪区第四实验学校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贵阳市花溪区实验中学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贵阳市花溪第三中学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贵阳市花溪第四中学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贵阳市花溪第五中学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贵阳市第三十六中学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贵阳市青岩贵璜中学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贵阳市花溪区麦坪中学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贵阳市花溪区高坡民族中学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贵阳市花溪区久安中学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贵阳市花溪区燕楼中学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贵阳市花溪民族中学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九年制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贵阳市花溪区金竹民族学校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九年制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18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贵阳市花溪区万科第一小学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19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贵阳市花溪区南溪学校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九年制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贵州省农业科学院附属中学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十二年制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贵阳市花溪区花溪小学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贵阳市花溪区花溪小学美的校区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贵阳市花溪区花溪小学溪山御景校区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贵阳市花溪区花溪小学碧桂园校区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25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贵阳市花溪区第二小学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贵阳市花溪区第二小学保利溪湖校区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27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贵阳市花溪区第四小学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28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贵阳市花溪区第四小学一鸣宽城校区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29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贵阳市花溪区第一实验学校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贵阳市花溪区华阳小学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31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贵阳市花溪区第二小学万科校区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32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贵阳市花溪区阳光小学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33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贵阳市花溪区漓江小学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贵阳市花溪第三小学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贵阳市花溪区小孟园区第一小学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36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贵阳市花溪区第二实验学校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贵阳花溪存志学校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38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贵阳市花溪民族小学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39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贵阳市花溪区第八小学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eastAsia="zh-CN"/>
              </w:rPr>
            </w:pPr>
            <w:r>
              <w:rPr>
                <w:rFonts w:hint="default" w:ascii="Times New Roman" w:hAnsi="Times New Roman" w:eastAsia="黑体" w:cs="Times New Roman"/>
                <w:i w:val="0"/>
                <w:iCs w:val="0"/>
                <w:color w:val="auto"/>
                <w:sz w:val="18"/>
                <w:szCs w:val="18"/>
                <w:u w:val="none"/>
                <w:lang w:val="en-US" w:eastAsia="zh-CN"/>
              </w:rPr>
              <w:t>40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贵阳市花溪区第九小学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贵阳市花溪区第六小学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贵阳市花溪区第七小学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贵阳市花溪区第三实验学校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44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贵阳市花溪区第三实验学校腾龙湾校区</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45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贵阳市花溪区第十七小学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贵阳市花溪区第十三小学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47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贵阳市花溪区第十四小学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48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贵阳市花溪区第十小学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49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贵阳市花溪区第五小学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贵阳市花溪区浦江小学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贵阳市花溪区溪北小学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贵州民族大学附属学校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贵阳市花溪区高坡乡中心完小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贵阳市花溪区久安乡中心完小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贵阳市花溪区马铃乡中心完小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56</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贵阳市花溪区麦坪镇中心完小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57</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贵阳市花溪区孟关乡中心完小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58</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贵阳市花溪区黔陶乡中心完小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59</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贵阳市花溪区青岩镇中心完小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60</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贵阳市花溪区石板镇中心完小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61</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贵阳市花溪区燕楼镇中心完小</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62</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贵阳市花溪区星辰学校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十二年制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63</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贵阳市花溪区文旅城第一学校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九年制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64</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贵阳市花溪区经开一中</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完全中学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65</w:t>
            </w:r>
          </w:p>
        </w:tc>
        <w:tc>
          <w:tcPr>
            <w:tcW w:w="3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贵阳市清华中学</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完全中学</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66</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贵州师范大学贵安新区附属初级中学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67</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贵安新区高峰中学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68</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贵安新区普贡中学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69</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贵安新区民族中学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初级中学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70</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北京师范大学贵安新区附属学校</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十二年制</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71</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贵安新区新艺完全学校</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十二年制</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72</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贵安新区实验中学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完全中学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73</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贵安新区第三中学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完全中学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74</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贵州师范大学贵安新区附属小学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9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75</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贵阳市实验小学贵安新区分校</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76</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贵安新区实验小学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实验校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2"/>
                <w:sz w:val="18"/>
                <w:szCs w:val="18"/>
                <w:u w:val="none"/>
                <w:lang w:val="en-US" w:eastAsia="zh-CN" w:bidi="ar-SA"/>
              </w:rPr>
            </w:pPr>
            <w:r>
              <w:rPr>
                <w:rFonts w:hint="default" w:ascii="Times New Roman" w:hAnsi="Times New Roman" w:eastAsia="黑体" w:cs="Times New Roman"/>
                <w:i w:val="0"/>
                <w:iCs w:val="0"/>
                <w:color w:val="auto"/>
                <w:kern w:val="0"/>
                <w:sz w:val="18"/>
                <w:szCs w:val="18"/>
                <w:u w:val="none"/>
                <w:lang w:val="en-US" w:eastAsia="zh-CN" w:bidi="ar"/>
              </w:rPr>
              <w:t>品质校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77</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贵安新区党武镇中心完小</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78</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贵安新区湖潮乡中心完小</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79</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贵安新区马场镇中心小学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80</w:t>
            </w:r>
          </w:p>
        </w:tc>
        <w:tc>
          <w:tcPr>
            <w:tcW w:w="3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贵安新区高峰镇中心小学</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小学</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黑体" w:cs="Times New Roman"/>
                <w:i w:val="0"/>
                <w:iCs w:val="0"/>
                <w:color w:val="auto"/>
                <w:kern w:val="0"/>
                <w:sz w:val="18"/>
                <w:szCs w:val="18"/>
                <w:u w:val="none"/>
                <w:lang w:val="en-US" w:eastAsia="zh-CN" w:bidi="ar"/>
              </w:rPr>
              <w:t>培育校</w:t>
            </w:r>
          </w:p>
        </w:tc>
      </w:tr>
    </w:tbl>
    <w:p>
      <w:pPr>
        <w:pStyle w:val="2"/>
        <w:pageBreakBefore w:val="0"/>
        <w:kinsoku/>
        <w:wordWrap/>
        <w:overflowPunct/>
        <w:topLinePunct w:val="0"/>
        <w:autoSpaceDE/>
        <w:autoSpaceDN/>
        <w:bidi w:val="0"/>
        <w:adjustRightInd/>
        <w:snapToGrid/>
        <w:spacing w:before="0" w:beforeLines="0" w:after="0" w:afterLines="0" w:line="560" w:lineRule="exact"/>
        <w:rPr>
          <w:rFonts w:hint="default" w:ascii="Times New Roman" w:hAnsi="Times New Roman" w:cs="Times New Roman"/>
          <w:sz w:val="18"/>
          <w:szCs w:val="18"/>
          <w:lang w:val="en-US" w:eastAsia="zh-CN"/>
        </w:rPr>
      </w:pPr>
      <w:r>
        <w:rPr>
          <w:rFonts w:hint="default" w:ascii="Times New Roman" w:hAnsi="Times New Roman" w:eastAsia="仿宋" w:cs="Times New Roman"/>
          <w:sz w:val="18"/>
          <w:szCs w:val="18"/>
          <w:lang w:eastAsia="zh-CN"/>
        </w:rPr>
        <w:t>（</w:t>
      </w:r>
      <w:r>
        <w:rPr>
          <w:rFonts w:hint="default" w:ascii="Times New Roman" w:hAnsi="Times New Roman" w:eastAsia="仿宋" w:cs="Times New Roman"/>
          <w:sz w:val="18"/>
          <w:szCs w:val="18"/>
          <w:lang w:val="en-US" w:eastAsia="zh-CN"/>
        </w:rPr>
        <w:t>经核算2022年“强校工程”培育水平达45%，2023年“强校工程”培育水平达72%，2024年“强校工程”培育水平达92%，</w:t>
      </w:r>
      <w:r>
        <w:rPr>
          <w:rFonts w:hint="default" w:ascii="Times New Roman" w:hAnsi="Times New Roman" w:eastAsia="仿宋" w:cs="Times New Roman"/>
          <w:sz w:val="18"/>
          <w:szCs w:val="18"/>
          <w:lang w:eastAsia="zh-CN"/>
        </w:rPr>
        <w:t>）</w:t>
      </w:r>
    </w:p>
    <w:p>
      <w:pPr>
        <w:pStyle w:val="2"/>
        <w:pageBreakBefore w:val="0"/>
        <w:kinsoku/>
        <w:wordWrap/>
        <w:overflowPunct/>
        <w:topLinePunct w:val="0"/>
        <w:autoSpaceDE/>
        <w:autoSpaceDN/>
        <w:bidi w:val="0"/>
        <w:adjustRightInd/>
        <w:snapToGrid/>
        <w:spacing w:line="560" w:lineRule="exact"/>
        <w:rPr>
          <w:rFonts w:hint="default" w:ascii="Times New Roman" w:hAnsi="Times New Roman" w:cs="Times New Roman"/>
          <w:sz w:val="18"/>
          <w:szCs w:val="18"/>
        </w:rPr>
      </w:pPr>
    </w:p>
    <w:sectPr>
      <w:pgSz w:w="16838" w:h="11906" w:orient="landscape"/>
      <w:pgMar w:top="1587" w:right="2098" w:bottom="1474" w:left="1984" w:header="851" w:footer="992" w:gutter="0"/>
      <w:pgNumType w:fmt="decimal"/>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1126490</wp:posOffset>
              </wp:positionH>
              <wp:positionV relativeFrom="page">
                <wp:posOffset>9632315</wp:posOffset>
              </wp:positionV>
              <wp:extent cx="713105"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71310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11" o:spid="_x0000_s1026" o:spt="202" type="#_x0000_t202" style="position:absolute;left:0pt;margin-left:88.7pt;margin-top:758.45pt;height:9.6pt;width:56.15pt;mso-position-horizontal-relative:page;mso-position-vertical-relative:page;mso-wrap-style:none;z-index:-251657216;mso-width-relative:page;mso-height-relative:page;" filled="f" stroked="f" coordsize="21600,21600" o:gfxdata="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W3jDY&#10;AAAADQEAAA8AAAAAAAAAAQAgAAAAIgAAAGRycy9kb3ducmV2LnhtbFBLAQIUABQAAAAIAIdO4kDk&#10;YCkmrgEAAHEDAAAOAAAAAAAAAAEAIAAAACcBAABkcnMvZTJvRG9jLnhtbFBLBQYAAAAABgAGAFkB&#10;AABH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A0AEC"/>
    <w:multiLevelType w:val="singleLevel"/>
    <w:tmpl w:val="7A3A0AEC"/>
    <w:lvl w:ilvl="0" w:tentative="0">
      <w:start w:val="2"/>
      <w:numFmt w:val="chineseCounting"/>
      <w:suff w:val="nothing"/>
      <w:lvlText w:val="（%1）"/>
      <w:lvlJc w:val="left"/>
      <w:pPr>
        <w:ind w:left="1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zgxOTI1MDdkYjU2ZGFjZjY5MzgwMjQwNjA5YjQifQ=="/>
  </w:docVars>
  <w:rsids>
    <w:rsidRoot w:val="039B4968"/>
    <w:rsid w:val="01FC316D"/>
    <w:rsid w:val="0285796C"/>
    <w:rsid w:val="039B4968"/>
    <w:rsid w:val="03A91BB0"/>
    <w:rsid w:val="0450704D"/>
    <w:rsid w:val="057E2BFA"/>
    <w:rsid w:val="05C364B5"/>
    <w:rsid w:val="08CC67C9"/>
    <w:rsid w:val="0BD96198"/>
    <w:rsid w:val="0CE97F3F"/>
    <w:rsid w:val="0D792661"/>
    <w:rsid w:val="0DAE0500"/>
    <w:rsid w:val="0DB00DC5"/>
    <w:rsid w:val="0DDB3A43"/>
    <w:rsid w:val="0EAE7F1E"/>
    <w:rsid w:val="12D86478"/>
    <w:rsid w:val="15266846"/>
    <w:rsid w:val="15EE4223"/>
    <w:rsid w:val="18D1494D"/>
    <w:rsid w:val="1AB71DE7"/>
    <w:rsid w:val="1E224FB8"/>
    <w:rsid w:val="1EB51D82"/>
    <w:rsid w:val="21C07A42"/>
    <w:rsid w:val="229F60AC"/>
    <w:rsid w:val="29EE6CD3"/>
    <w:rsid w:val="2A0256F4"/>
    <w:rsid w:val="2BD1187D"/>
    <w:rsid w:val="2CE2593C"/>
    <w:rsid w:val="2F8D4706"/>
    <w:rsid w:val="2FAD6BAC"/>
    <w:rsid w:val="33444D6F"/>
    <w:rsid w:val="341B1405"/>
    <w:rsid w:val="375C2DEE"/>
    <w:rsid w:val="3A106B62"/>
    <w:rsid w:val="3AE70866"/>
    <w:rsid w:val="3C6D0E5F"/>
    <w:rsid w:val="3E6566D5"/>
    <w:rsid w:val="3ED12E6C"/>
    <w:rsid w:val="3FF322B2"/>
    <w:rsid w:val="44BA15F0"/>
    <w:rsid w:val="46B20DC0"/>
    <w:rsid w:val="47B0503B"/>
    <w:rsid w:val="49D520ED"/>
    <w:rsid w:val="4B726DF9"/>
    <w:rsid w:val="4CC72AFC"/>
    <w:rsid w:val="4D1F2CA7"/>
    <w:rsid w:val="4DA60964"/>
    <w:rsid w:val="50377F99"/>
    <w:rsid w:val="54F5226D"/>
    <w:rsid w:val="56C868DA"/>
    <w:rsid w:val="577D5302"/>
    <w:rsid w:val="58447E6A"/>
    <w:rsid w:val="58783FFE"/>
    <w:rsid w:val="5B1A0725"/>
    <w:rsid w:val="5C9D4FCD"/>
    <w:rsid w:val="5F737FD9"/>
    <w:rsid w:val="5FA01A1F"/>
    <w:rsid w:val="63441144"/>
    <w:rsid w:val="6351782E"/>
    <w:rsid w:val="692E0406"/>
    <w:rsid w:val="69D8798D"/>
    <w:rsid w:val="6BBC0D73"/>
    <w:rsid w:val="6C877877"/>
    <w:rsid w:val="6E483A20"/>
    <w:rsid w:val="6E9F3B12"/>
    <w:rsid w:val="6FED0683"/>
    <w:rsid w:val="75A74D35"/>
    <w:rsid w:val="76F96A3B"/>
    <w:rsid w:val="7803490F"/>
    <w:rsid w:val="784D1824"/>
    <w:rsid w:val="7A7E368F"/>
    <w:rsid w:val="7EC51D1B"/>
    <w:rsid w:val="7F63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jc w:val="center"/>
      <w:outlineLvl w:val="0"/>
    </w:pPr>
    <w:rPr>
      <w:rFonts w:ascii="Arial" w:hAnsi="Arial"/>
      <w:b/>
      <w:sz w:val="32"/>
    </w:rPr>
  </w:style>
  <w:style w:type="paragraph" w:customStyle="1" w:styleId="10">
    <w:name w:val="Body text|1"/>
    <w:basedOn w:val="1"/>
    <w:link w:val="12"/>
    <w:qFormat/>
    <w:uiPriority w:val="0"/>
    <w:pPr>
      <w:widowControl w:val="0"/>
      <w:shd w:val="clear" w:color="auto" w:fill="auto"/>
      <w:spacing w:line="394" w:lineRule="auto"/>
      <w:ind w:firstLine="400"/>
    </w:pPr>
    <w:rPr>
      <w:rFonts w:ascii="宋体" w:hAnsi="宋体" w:eastAsia="宋体" w:cs="宋体"/>
      <w:sz w:val="32"/>
      <w:szCs w:val="32"/>
      <w:u w:val="none"/>
      <w:shd w:val="clear" w:color="auto" w:fill="auto"/>
      <w:lang w:val="zh-TW" w:eastAsia="zh-TW" w:bidi="zh-TW"/>
    </w:rPr>
  </w:style>
  <w:style w:type="paragraph" w:customStyle="1" w:styleId="11">
    <w:name w:val="Body text|2"/>
    <w:basedOn w:val="1"/>
    <w:qFormat/>
    <w:uiPriority w:val="0"/>
    <w:pPr>
      <w:widowControl w:val="0"/>
      <w:shd w:val="clear" w:color="auto" w:fill="auto"/>
      <w:ind w:right="300"/>
      <w:jc w:val="right"/>
    </w:pPr>
    <w:rPr>
      <w:sz w:val="26"/>
      <w:szCs w:val="26"/>
      <w:u w:val="none"/>
      <w:shd w:val="clear" w:color="auto" w:fill="auto"/>
      <w:lang w:val="zh-TW" w:eastAsia="zh-TW" w:bidi="zh-TW"/>
    </w:rPr>
  </w:style>
  <w:style w:type="character" w:customStyle="1" w:styleId="12">
    <w:name w:val="Body text|1_"/>
    <w:basedOn w:val="9"/>
    <w:link w:val="10"/>
    <w:qFormat/>
    <w:uiPriority w:val="0"/>
    <w:rPr>
      <w:rFonts w:ascii="宋体" w:hAnsi="宋体" w:eastAsia="宋体" w:cs="宋体"/>
      <w:sz w:val="32"/>
      <w:szCs w:val="32"/>
      <w:u w:val="none"/>
      <w:shd w:val="clear" w:color="auto" w:fill="auto"/>
      <w:lang w:val="zh-TW" w:eastAsia="zh-TW" w:bidi="zh-TW"/>
    </w:rPr>
  </w:style>
  <w:style w:type="paragraph" w:customStyle="1" w:styleId="1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15">
    <w:name w:val="Heading #1|1"/>
    <w:basedOn w:val="1"/>
    <w:qFormat/>
    <w:uiPriority w:val="0"/>
    <w:pPr>
      <w:widowControl w:val="0"/>
      <w:shd w:val="clear" w:color="auto" w:fill="auto"/>
      <w:spacing w:before="1880" w:after="580"/>
      <w:jc w:val="center"/>
      <w:outlineLvl w:val="0"/>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7439</Words>
  <Characters>7635</Characters>
  <Lines>0</Lines>
  <Paragraphs>0</Paragraphs>
  <TotalTime>67</TotalTime>
  <ScaleCrop>false</ScaleCrop>
  <LinksUpToDate>false</LinksUpToDate>
  <CharactersWithSpaces>7635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2022-02-16T12:18:00Z</dcterms:created>
  <dc:creator>cdsuoiwgd</dc:creator>
  <cp:lastModifiedBy>Shimmer</cp:lastModifiedBy>
  <cp:lastPrinted>2023-04-03T01:10:00Z</cp:lastPrinted>
  <dcterms:modified xsi:type="dcterms:W3CDTF">2023-05-19T01:57:57Z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D160C96CAAD14B0894F472A748BBAAC8</vt:lpwstr>
  </property>
</Properties>
</file>