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649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sz w:val="52"/>
          <w:szCs w:val="52"/>
          <w:lang w:val="en-US" w:eastAsia="zh-CN"/>
        </w:rPr>
      </w:pPr>
    </w:p>
    <w:p w14:paraId="47B13CBA">
      <w:pPr>
        <w:pStyle w:val="20"/>
        <w:pageBreakBefore w:val="0"/>
        <w:widowControl w:val="0"/>
        <w:kinsoku/>
        <w:wordWrap/>
        <w:overflowPunct/>
        <w:topLinePunct w:val="0"/>
        <w:bidi w:val="0"/>
        <w:snapToGrid/>
        <w:textAlignment w:val="auto"/>
        <w:rPr>
          <w:rFonts w:hint="eastAsia" w:ascii="仿宋" w:hAnsi="仿宋" w:eastAsia="仿宋" w:cs="仿宋"/>
          <w:lang w:val="en-US" w:eastAsia="zh-CN"/>
        </w:rPr>
      </w:pPr>
    </w:p>
    <w:p w14:paraId="64C45230">
      <w:pPr>
        <w:pStyle w:val="20"/>
        <w:pageBreakBefore w:val="0"/>
        <w:widowControl w:val="0"/>
        <w:kinsoku/>
        <w:wordWrap/>
        <w:overflowPunct/>
        <w:topLinePunct w:val="0"/>
        <w:bidi w:val="0"/>
        <w:snapToGrid/>
        <w:textAlignment w:val="auto"/>
        <w:rPr>
          <w:rFonts w:hint="eastAsia" w:ascii="仿宋" w:hAnsi="仿宋" w:eastAsia="仿宋" w:cs="仿宋"/>
          <w:lang w:val="en-US" w:eastAsia="zh-CN"/>
        </w:rPr>
      </w:pPr>
    </w:p>
    <w:p w14:paraId="372E6946">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花溪区集中式饮用水水源地</w:t>
      </w:r>
    </w:p>
    <w:p w14:paraId="4EB0A776">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突发环境事件应急预案</w:t>
      </w:r>
    </w:p>
    <w:p w14:paraId="1CA2758C">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6585EBAB">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1B1E44B7">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271CBCAB">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3CA627C2">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6205209B">
      <w:pPr>
        <w:pStyle w:val="20"/>
        <w:pageBreakBefore w:val="0"/>
        <w:widowControl w:val="0"/>
        <w:kinsoku/>
        <w:wordWrap/>
        <w:overflowPunct/>
        <w:topLinePunct w:val="0"/>
        <w:bidi w:val="0"/>
        <w:snapToGrid/>
        <w:textAlignment w:val="auto"/>
        <w:rPr>
          <w:rFonts w:hint="eastAsia" w:ascii="仿宋" w:hAnsi="仿宋" w:eastAsia="仿宋" w:cs="仿宋"/>
          <w:b/>
          <w:sz w:val="36"/>
          <w:szCs w:val="36"/>
        </w:rPr>
      </w:pPr>
    </w:p>
    <w:p w14:paraId="3782EC7F">
      <w:pPr>
        <w:pStyle w:val="20"/>
        <w:pageBreakBefore w:val="0"/>
        <w:widowControl w:val="0"/>
        <w:kinsoku/>
        <w:wordWrap/>
        <w:overflowPunct/>
        <w:topLinePunct w:val="0"/>
        <w:bidi w:val="0"/>
        <w:snapToGrid/>
        <w:textAlignment w:val="auto"/>
        <w:rPr>
          <w:rFonts w:hint="eastAsia" w:ascii="仿宋" w:hAnsi="仿宋" w:eastAsia="仿宋" w:cs="仿宋"/>
          <w:b/>
          <w:sz w:val="24"/>
          <w:szCs w:val="24"/>
        </w:rPr>
      </w:pPr>
    </w:p>
    <w:p w14:paraId="3CAAFDF4">
      <w:pPr>
        <w:pStyle w:val="20"/>
        <w:pageBreakBefore w:val="0"/>
        <w:widowControl w:val="0"/>
        <w:kinsoku/>
        <w:wordWrap/>
        <w:overflowPunct/>
        <w:topLinePunct w:val="0"/>
        <w:bidi w:val="0"/>
        <w:snapToGrid/>
        <w:textAlignment w:val="auto"/>
        <w:rPr>
          <w:rFonts w:hint="eastAsia" w:ascii="仿宋" w:hAnsi="仿宋" w:eastAsia="仿宋" w:cs="仿宋"/>
          <w:b/>
          <w:sz w:val="24"/>
          <w:szCs w:val="24"/>
        </w:rPr>
      </w:pPr>
    </w:p>
    <w:p w14:paraId="3E33933D">
      <w:pPr>
        <w:pStyle w:val="20"/>
        <w:pageBreakBefore w:val="0"/>
        <w:widowControl w:val="0"/>
        <w:kinsoku/>
        <w:wordWrap/>
        <w:overflowPunct/>
        <w:topLinePunct w:val="0"/>
        <w:bidi w:val="0"/>
        <w:snapToGrid/>
        <w:textAlignment w:val="auto"/>
        <w:rPr>
          <w:rFonts w:hint="eastAsia" w:ascii="仿宋" w:hAnsi="仿宋" w:eastAsia="仿宋" w:cs="仿宋"/>
          <w:b/>
          <w:sz w:val="48"/>
          <w:szCs w:val="48"/>
        </w:rPr>
      </w:pPr>
    </w:p>
    <w:p w14:paraId="45A0D76D">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3A2A1862">
      <w:pPr>
        <w:spacing w:before="120" w:beforeLines="50" w:after="240" w:afterLines="100" w:line="400" w:lineRule="exact"/>
        <w:ind w:firstLine="0" w:firstLineChars="0"/>
        <w:jc w:val="center"/>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制定单位：贵阳市花溪区人民政府</w:t>
      </w:r>
    </w:p>
    <w:p w14:paraId="460721DC">
      <w:pPr>
        <w:spacing w:before="120" w:beforeLines="50" w:after="240" w:afterLines="100" w:line="400" w:lineRule="exact"/>
        <w:ind w:firstLine="0" w:firstLineChars="0"/>
        <w:jc w:val="center"/>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r>
        <w:rPr>
          <w:rFonts w:hint="eastAsia" w:ascii="华文中宋" w:hAnsi="华文中宋" w:eastAsia="华文中宋" w:cs="Times New Roman"/>
          <w:b/>
          <w:sz w:val="36"/>
          <w:szCs w:val="36"/>
        </w:rPr>
        <w:t>二〇二</w:t>
      </w:r>
      <w:r>
        <w:rPr>
          <w:rFonts w:hint="eastAsia" w:ascii="华文中宋" w:hAnsi="华文中宋" w:eastAsia="华文中宋" w:cs="Times New Roman"/>
          <w:b/>
          <w:sz w:val="36"/>
          <w:szCs w:val="36"/>
          <w:lang w:val="en-US" w:eastAsia="zh-CN"/>
        </w:rPr>
        <w:t>二</w:t>
      </w:r>
      <w:r>
        <w:rPr>
          <w:rFonts w:hint="eastAsia" w:ascii="华文中宋" w:hAnsi="华文中宋" w:eastAsia="华文中宋" w:cs="Times New Roman"/>
          <w:b/>
          <w:sz w:val="36"/>
          <w:szCs w:val="36"/>
        </w:rPr>
        <w:t>年</w:t>
      </w:r>
      <w:r>
        <w:rPr>
          <w:rFonts w:hint="eastAsia" w:ascii="华文中宋" w:hAnsi="华文中宋" w:eastAsia="华文中宋" w:cs="Times New Roman"/>
          <w:b/>
          <w:sz w:val="36"/>
          <w:szCs w:val="36"/>
          <w:lang w:val="en-US" w:eastAsia="zh-CN"/>
        </w:rPr>
        <w:t>七</w:t>
      </w:r>
      <w:r>
        <w:rPr>
          <w:rFonts w:hint="eastAsia" w:ascii="华文中宋" w:hAnsi="华文中宋" w:eastAsia="华文中宋" w:cs="Times New Roman"/>
          <w:b/>
          <w:sz w:val="36"/>
          <w:szCs w:val="36"/>
        </w:rPr>
        <w:t>月</w:t>
      </w:r>
    </w:p>
    <w:p w14:paraId="4A01E238">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eastAsia="宋体" w:cs="Times New Roman"/>
          <w:b/>
          <w:bCs/>
          <w:sz w:val="40"/>
          <w:szCs w:val="40"/>
        </w:rPr>
        <w:t>目</w:t>
      </w:r>
      <w:r>
        <w:rPr>
          <w:rFonts w:hint="default" w:ascii="Times New Roman" w:hAnsi="Times New Roman" w:cs="Times New Roman"/>
          <w:b/>
          <w:bCs/>
          <w:sz w:val="40"/>
          <w:szCs w:val="40"/>
          <w:lang w:val="en-US" w:eastAsia="zh-CN"/>
        </w:rPr>
        <w:t xml:space="preserve"> </w:t>
      </w:r>
      <w:r>
        <w:rPr>
          <w:rFonts w:hint="default" w:ascii="Times New Roman" w:hAnsi="Times New Roman" w:eastAsia="宋体" w:cs="Times New Roman"/>
          <w:b/>
          <w:bCs/>
          <w:sz w:val="40"/>
          <w:szCs w:val="40"/>
        </w:rPr>
        <w:t>录</w:t>
      </w:r>
    </w:p>
    <w:p w14:paraId="2E47CA24">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TOC \o "1-3" \h \u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_Toc6322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 总则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_Toc6322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7D49B3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_Toc19956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1.1 编制说明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_Toc19956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1F6EC0D">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_Toc31358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1.2 编制目的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_Toc31358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2F3CE9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1.3 编制依据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2737A2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_Toc6925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1.4 适用范围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_Toc6925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7F870ED">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_Toc21012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1.5 预案体系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_Toc21012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C96BBC7">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_Toc13260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1.6 工作原则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_Toc13260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3DBED72">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_Toc20904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2 组织机构与职责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_Toc20904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F3D7AD1">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_Toc26813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2.1 应急组织机构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_Toc26813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AAD94FE">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_Toc25718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2.2 应急组织机构成员名单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_Toc25718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8D1371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_Toc13714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2.3 应急组织机构职责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_Toc13714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DBE44C5">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_Toc8151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3 预防预警机制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_Toc8151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33A7AD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_Toc2287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3.1 事件分级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_Toc2287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BDF2757">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_Toc21475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3.1.1 特别重大突发环境事件（Ⅰ级）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_Toc21475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1D23A12">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_Toc9859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3.1.2 重大突发环境事件（Ⅱ级）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_Toc9859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70C5D02">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3.1.3 较大突发环境事件（Ⅲ级）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868FDAF">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_Toc28434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3.1.4 一般突发环境事件（Ⅳ级）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_Toc28434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BD7ECD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3.2 预防工作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C765E4D">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_Toc26023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3.2.1 建立事故预防系统</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_Toc26023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CC298F3">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_Toc434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3.2.2 加强日常巡检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_Toc434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A4E6C4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_Toc17291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 预警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_Toc17291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28B3637">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_Toc24582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3.3.1 预警启动条件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_Toc24582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F442A78">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_Toc14511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3.3.2 预警发布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_Toc14511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F44D439">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_Toc26583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3.3.3 预警措施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_Toc26583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A4220D5">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_Toc9386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xml:space="preserve"> 应急响应</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_Toc9386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6DAAC3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_Toc28222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 应急响应程序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_Toc28222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76D7AE9">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_Toc13446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 信息报告与通报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_Toc13446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B3913AC">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_Toc20247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4.2.1 信息报告程序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_Toc20247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10AD710">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_Toc29661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4.2.2 信息通报程序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_Toc29661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9AE91B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_Toc12812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4.2.3 突发环境事件报告方式与内容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_Toc12812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0D023F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_Toc5160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 事态研判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_Toc5160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BB4131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_Toc29004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 应急监测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_Toc29004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2B5089A">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4.4.1 监测布点原则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41C427D">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_Toc30399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4.4.2 监测方法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_Toc30399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FAD63E8">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_Toc29111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4.4.3 应急监测管理制度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_Toc29111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B48E341">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_Toc19430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4.5 信息发布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_Toc19430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94C7645">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_Toc14021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 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_Toc14021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3341B70">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_Toc14805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4.6.1 应急人员的安全防护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_Toc14805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387A9F9">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_Toc5580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4.6.2受灾群众的安全防护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_Toc5580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D10AE1B">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_Toc488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 应急措施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_Toc488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FE72857">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_Toc28481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5.1应急处置措施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_Toc28481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4E19B89">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_Toc15643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5.2应急监测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_Toc15643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7449775">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5.3环境污染事件应急物资储备</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6A695FE">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_Toc7987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 应急终止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_Toc7987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3AADEB7">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_Toc20358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6.1应急终止的条件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_Toc20358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30BC1C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6.2应急终止的程序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FC4E7F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_Toc5114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6.3应急终止后的行动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_Toc5114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3C270BB">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_Toc8455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 应急保障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_Toc8455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2ED4A5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_Toc13158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7.1 资金保障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_Toc13158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F5DC0DC">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_Toc16546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7.2 装备保障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_Toc16546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6AE06D9">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_Toc14611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xml:space="preserve">7.3 </w:t>
      </w:r>
      <w:bookmarkStart w:id="213" w:name="_GoBack"/>
      <w:bookmarkEnd w:id="213"/>
      <w:r>
        <w:rPr>
          <w:rFonts w:hint="eastAsia" w:cs="Times New Roman"/>
          <w:sz w:val="32"/>
          <w:szCs w:val="32"/>
          <w:lang w:eastAsia="zh-CN"/>
        </w:rPr>
        <w:t>通信保障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_Toc14611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E4FAF92">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_Toc26567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7.4 人力资源保障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_Toc26567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FA186D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_Toc27208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7.5 技术保障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_Toc27208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1DF8154">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_Toc29401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 其他保障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_Toc29401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BE0493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_Toc13591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 宣传、培训与演练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_Toc13591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A9F6BFE">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_Toc30204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7.7.1公众宣传教育</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_Toc30204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B06D5B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7.7.2培训计划</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_Toc2590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618FBA0">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_Toc16438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7.7.3演练计划</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_Toc16438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2E31DE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_Toc8614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 应急能力评价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_Toc8614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92B70FD">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_Toc8349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 后期处置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_Toc8349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80EC97C">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_Toc28311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8.1 后期防控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_Toc28311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D998CA5">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_Toc17914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8.2 事件调查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_Toc17914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4221874">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_Toc22029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 损害评估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_Toc22029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5C92B9F">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_Toc5262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8.4 善后处置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_Toc5262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E390BE8">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_Toc14485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 预案管理与更新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_Toc14485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282D2CF">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_Toc27343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 修订预案及协作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_Toc27343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B8565D2">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_Toc607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9.1.1预案管理与更新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_Toc607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3500115">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_Toc21862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9.1.2地方沟通与协作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_Toc21862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B56E14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_Toc25057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 奖励与责任追究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_Toc25057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199DBF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_Toc29612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9.2.1奖励</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_Toc29612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813712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9.2.2责任追究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D74ABFC">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_Toc6517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9.3 预案实施时间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_Toc6517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2E11203">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_Toc14622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kern w:val="0"/>
          <w:sz w:val="32"/>
          <w:szCs w:val="32"/>
        </w:rPr>
        <w:t>10 附 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_Toc14622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A166802">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_Toc24568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11</w:t>
      </w:r>
      <w:r>
        <w:rPr>
          <w:rFonts w:hint="default" w:ascii="Times New Roman" w:hAnsi="Times New Roman" w:eastAsia="仿宋" w:cs="Times New Roman"/>
          <w:sz w:val="32"/>
          <w:szCs w:val="32"/>
          <w:highlight w:val="none"/>
        </w:rPr>
        <w:t xml:space="preserve"> 附件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_Toc24568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2BE7CEB">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_Toc20764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附件1 花溪区环境应急专家通讯录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_Toc20764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664D264">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_Toc9990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附件2 应急演练方案</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_Toc9990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44371A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_Toc23035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 xml:space="preserve"> 格式文件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_Toc23035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5C25D0F">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xml:space="preserve"> 常见化学品引发水污染事故的简要处置方法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662EA62">
      <w:pPr>
        <w:pStyle w:val="20"/>
        <w:keepNext w:val="0"/>
        <w:keepLines w:val="0"/>
        <w:pageBreakBefore w:val="0"/>
        <w:widowControl w:val="0"/>
        <w:kinsoku/>
        <w:wordWrap/>
        <w:overflowPunct/>
        <w:topLinePunct w:val="0"/>
        <w:bidi w:val="0"/>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仿宋" w:cs="Times New Roman"/>
          <w:sz w:val="32"/>
          <w:szCs w:val="32"/>
        </w:rPr>
        <w:fldChar w:fldCharType="end"/>
      </w:r>
    </w:p>
    <w:p w14:paraId="5F0A26AD">
      <w:pPr>
        <w:pageBreakBefore w:val="0"/>
        <w:widowControl w:val="0"/>
        <w:kinsoku/>
        <w:wordWrap/>
        <w:overflowPunct/>
        <w:topLinePunct w:val="0"/>
        <w:bidi w:val="0"/>
        <w:textAlignment w:val="auto"/>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7EBE305C">
      <w:pPr>
        <w:pStyle w:val="3"/>
        <w:pageBreakBefore w:val="0"/>
        <w:widowControl w:val="0"/>
        <w:kinsoku/>
        <w:wordWrap/>
        <w:overflowPunct/>
        <w:topLinePunct w:val="0"/>
        <w:bidi w:val="0"/>
        <w:spacing w:before="0" w:beforeLines="0" w:after="0" w:afterLines="0"/>
        <w:textAlignment w:val="auto"/>
        <w:rPr>
          <w:rFonts w:hint="eastAsia"/>
          <w:highlight w:val="none"/>
          <w:lang w:val="en-US" w:eastAsia="zh-CN"/>
        </w:rPr>
      </w:pPr>
      <w:bookmarkStart w:id="0" w:name="_Toc2677"/>
      <w:bookmarkStart w:id="1" w:name="_Toc1398"/>
      <w:bookmarkStart w:id="2" w:name="_Toc15935"/>
      <w:r>
        <w:rPr>
          <w:rFonts w:hint="eastAsia"/>
          <w:highlight w:val="none"/>
          <w:lang w:val="en-US" w:eastAsia="zh-CN"/>
        </w:rPr>
        <w:t>摘 要</w:t>
      </w:r>
      <w:bookmarkEnd w:id="0"/>
      <w:bookmarkEnd w:id="1"/>
      <w:bookmarkEnd w:id="2"/>
    </w:p>
    <w:p w14:paraId="4218026F">
      <w:pPr>
        <w:numPr>
          <w:ilvl w:val="0"/>
          <w:numId w:val="0"/>
        </w:numPr>
        <w:bidi w:val="0"/>
        <w:ind w:firstLine="640" w:firstLineChars="200"/>
        <w:rPr>
          <w:rFonts w:hint="eastAsia"/>
          <w:lang w:val="en-US" w:eastAsia="zh-CN"/>
        </w:rPr>
      </w:pPr>
      <w:r>
        <w:rPr>
          <w:rFonts w:hint="eastAsia"/>
          <w:lang w:val="en-US" w:eastAsia="zh-CN"/>
        </w:rPr>
        <w:t>为进一步提高贵阳市花溪区人民政府对饮用水源地突发环境事件的防范和处置能力，确保饮用水安全和群众健康，同时为贯彻落实国家的相关政策和要求，贵阳市花溪区人民政府积极开展花溪区饮用水源地突发环境事件风险评估工作。花溪区内现有千人以上集中式饮用水水源保护区11个，包括花溪水库集中式饮用水水源地、阿哈水库集中式饮用水水源地、花溪区高坡乡阴河洞集中式饮用水水源地、花溪区高坡乡苦蒿冲集中式饮用水水源地、花溪区马玲乡麻窝坑集中式饮用水水源地、花溪区马铃布依族苗族乡红岩水库集中式饮用水水源地、花溪区黔陶布依族苗族乡九眼井集中式饮用水水源地、花溪区青岩镇海爬井集中式饮用水水源地、花溪区青岩镇龙井沟集中式饮用水水源地、花溪区青岩镇龙潭集中式饮用水水源地、花溪区燕楼乡燕鲁小燕河（地下水）集中式饮用水水源地。</w:t>
      </w:r>
    </w:p>
    <w:p w14:paraId="76F3482F">
      <w:pPr>
        <w:numPr>
          <w:ilvl w:val="0"/>
          <w:numId w:val="0"/>
        </w:numPr>
        <w:bidi w:val="0"/>
        <w:ind w:firstLine="640" w:firstLineChars="200"/>
        <w:rPr>
          <w:rFonts w:hint="eastAsia"/>
          <w:lang w:val="en-US" w:eastAsia="zh-CN"/>
        </w:rPr>
      </w:pPr>
      <w:r>
        <w:rPr>
          <w:rFonts w:hint="eastAsia"/>
          <w:lang w:val="en-US" w:eastAsia="zh-CN"/>
        </w:rPr>
        <w:t>通过按照《集中式饮用水源地环境保护指南（试行）》对花溪区内水源地进行风险评估，发现花溪区辖区内涉及的集中式饮用水源地潜在流动源风险值R</w:t>
      </w:r>
      <w:r>
        <w:rPr>
          <w:rFonts w:hint="eastAsia"/>
          <w:vertAlign w:val="subscript"/>
          <w:lang w:val="en-US" w:eastAsia="zh-CN"/>
        </w:rPr>
        <w:t>f</w:t>
      </w:r>
      <w:r>
        <w:rPr>
          <w:rFonts w:hint="eastAsia"/>
          <w:lang w:val="en-US" w:eastAsia="zh-CN"/>
        </w:rPr>
        <w:t>= 26，属于R</w:t>
      </w:r>
      <w:r>
        <w:rPr>
          <w:rFonts w:hint="eastAsia"/>
          <w:vertAlign w:val="subscript"/>
          <w:lang w:val="en-US" w:eastAsia="zh-CN"/>
        </w:rPr>
        <w:t>f</w:t>
      </w:r>
      <w:r>
        <w:rPr>
          <w:rFonts w:hint="eastAsia"/>
          <w:lang w:val="en-US" w:eastAsia="zh-CN"/>
        </w:rPr>
        <w:t>＞9的情况，应采取相应的风险应急措施；非点源风险值R</w:t>
      </w:r>
      <w:r>
        <w:rPr>
          <w:rFonts w:hint="eastAsia"/>
          <w:vertAlign w:val="subscript"/>
          <w:lang w:val="en-US" w:eastAsia="zh-CN"/>
        </w:rPr>
        <w:t>y</w:t>
      </w:r>
      <w:r>
        <w:rPr>
          <w:rFonts w:hint="eastAsia"/>
          <w:lang w:val="en-US" w:eastAsia="zh-CN"/>
        </w:rPr>
        <w:t>= 26，属于R</w:t>
      </w:r>
      <w:r>
        <w:rPr>
          <w:rFonts w:hint="eastAsia"/>
          <w:vertAlign w:val="subscript"/>
          <w:lang w:val="en-US" w:eastAsia="zh-CN"/>
        </w:rPr>
        <w:t>y</w:t>
      </w:r>
      <w:r>
        <w:rPr>
          <w:rFonts w:hint="eastAsia"/>
          <w:lang w:val="en-US" w:eastAsia="zh-CN"/>
        </w:rPr>
        <w:t>＞9的情况，流动源应采取风险应急措施。</w:t>
      </w:r>
    </w:p>
    <w:p w14:paraId="5F000B15">
      <w:pPr>
        <w:numPr>
          <w:ilvl w:val="0"/>
          <w:numId w:val="0"/>
        </w:numPr>
        <w:bidi w:val="0"/>
        <w:ind w:firstLine="640" w:firstLineChars="200"/>
        <w:rPr>
          <w:rFonts w:hint="eastAsia"/>
          <w:lang w:val="en-US" w:eastAsia="zh-CN"/>
        </w:rPr>
      </w:pPr>
      <w:r>
        <w:rPr>
          <w:rFonts w:hint="eastAsia"/>
          <w:lang w:val="en-US" w:eastAsia="zh-CN"/>
        </w:rPr>
        <w:t>同时结合实地踏勘，发现花溪区内饮用水水源地区域潜在的突发环境风险事件主要有：</w:t>
      </w:r>
    </w:p>
    <w:p w14:paraId="73913693">
      <w:pPr>
        <w:numPr>
          <w:ilvl w:val="0"/>
          <w:numId w:val="0"/>
        </w:numPr>
        <w:bidi w:val="0"/>
        <w:ind w:firstLine="643" w:firstLineChars="200"/>
        <w:rPr>
          <w:rFonts w:hint="eastAsia"/>
          <w:b/>
          <w:bCs/>
          <w:lang w:val="en-US" w:eastAsia="zh-CN"/>
        </w:rPr>
      </w:pPr>
      <w:r>
        <w:rPr>
          <w:rFonts w:hint="eastAsia"/>
          <w:b/>
          <w:bCs/>
          <w:lang w:val="en-US" w:eastAsia="zh-CN"/>
        </w:rPr>
        <w:t>（1）流动源引发的水源污染事件；</w:t>
      </w:r>
    </w:p>
    <w:p w14:paraId="634B8F61">
      <w:pPr>
        <w:numPr>
          <w:ilvl w:val="0"/>
          <w:numId w:val="0"/>
        </w:numPr>
        <w:bidi w:val="0"/>
        <w:ind w:firstLine="643" w:firstLineChars="200"/>
        <w:rPr>
          <w:rFonts w:hint="eastAsia"/>
          <w:b/>
          <w:bCs/>
          <w:lang w:val="en-US" w:eastAsia="zh-CN"/>
        </w:rPr>
      </w:pPr>
      <w:r>
        <w:rPr>
          <w:rFonts w:hint="eastAsia"/>
          <w:b/>
          <w:bCs/>
          <w:lang w:val="en-US" w:eastAsia="zh-CN"/>
        </w:rPr>
        <w:t>（2）非点源引发水源地污染事件；</w:t>
      </w:r>
    </w:p>
    <w:p w14:paraId="110135B1">
      <w:pPr>
        <w:numPr>
          <w:ilvl w:val="0"/>
          <w:numId w:val="0"/>
        </w:numPr>
        <w:bidi w:val="0"/>
        <w:ind w:firstLine="643" w:firstLineChars="200"/>
        <w:rPr>
          <w:rFonts w:hint="eastAsia"/>
          <w:b/>
          <w:bCs/>
          <w:lang w:val="en-US" w:eastAsia="zh-CN"/>
        </w:rPr>
      </w:pPr>
      <w:r>
        <w:rPr>
          <w:rFonts w:hint="eastAsia"/>
          <w:b/>
          <w:bCs/>
          <w:lang w:val="en-US" w:eastAsia="zh-CN"/>
        </w:rPr>
        <w:t>（3）自然灾害引发的水源地污染事件；</w:t>
      </w:r>
    </w:p>
    <w:p w14:paraId="702737B8">
      <w:pPr>
        <w:numPr>
          <w:ilvl w:val="0"/>
          <w:numId w:val="0"/>
        </w:numPr>
        <w:bidi w:val="0"/>
        <w:ind w:firstLine="640" w:firstLineChars="200"/>
        <w:rPr>
          <w:rFonts w:hint="eastAsia"/>
          <w:lang w:val="en-US" w:eastAsia="zh-CN"/>
        </w:rPr>
      </w:pPr>
      <w:r>
        <w:rPr>
          <w:rFonts w:hint="eastAsia"/>
          <w:lang w:val="en-US" w:eastAsia="zh-CN"/>
        </w:rPr>
        <w:t>本预案确立了以区人民政府统一领导下专门负责应急处置花溪区饮用水源地突发环境事件工作的领导机构，明确各应急小组职责，细化完善了应急响应流程、预警预防措施等。同时分析了水源地附近各潜在环境风险源的危险性，并对可能发生的突发环境事故提出相应的应急处置措施。</w:t>
      </w:r>
    </w:p>
    <w:p w14:paraId="258F0338">
      <w:pPr>
        <w:pageBreakBefore w:val="0"/>
        <w:widowControl w:val="0"/>
        <w:kinsoku/>
        <w:wordWrap/>
        <w:overflowPunct/>
        <w:topLinePunct w:val="0"/>
        <w:bidi w:val="0"/>
        <w:textAlignment w:val="auto"/>
        <w:rPr>
          <w:rFonts w:hint="eastAsia"/>
          <w:lang w:val="en-US" w:eastAsia="zh-CN"/>
        </w:rPr>
        <w:sectPr>
          <w:footerReference r:id="rId5" w:type="default"/>
          <w:pgSz w:w="11906" w:h="16838"/>
          <w:pgMar w:top="1440" w:right="1800" w:bottom="1440" w:left="1800" w:header="851" w:footer="992" w:gutter="0"/>
          <w:pgNumType w:fmt="upperRoman" w:start="1"/>
          <w:cols w:space="425" w:num="1"/>
          <w:docGrid w:type="lines" w:linePitch="312" w:charSpace="0"/>
        </w:sectPr>
      </w:pPr>
    </w:p>
    <w:p w14:paraId="192DFA3A">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lang w:val="en-US" w:eastAsia="zh-CN"/>
        </w:rPr>
      </w:pPr>
      <w:bookmarkStart w:id="3" w:name="_Toc6322"/>
      <w:r>
        <w:rPr>
          <w:rFonts w:hint="eastAsia" w:cs="Times New Roman"/>
          <w:lang w:val="en-US" w:eastAsia="zh-CN"/>
        </w:rPr>
        <w:t>1</w:t>
      </w:r>
      <w:r>
        <w:rPr>
          <w:rFonts w:hint="default" w:ascii="Times New Roman" w:hAnsi="Times New Roman" w:cs="Times New Roman"/>
          <w:lang w:val="en-US" w:eastAsia="zh-CN"/>
        </w:rPr>
        <w:t xml:space="preserve"> 总则</w:t>
      </w:r>
      <w:bookmarkEnd w:id="3"/>
    </w:p>
    <w:p w14:paraId="4AF22C49">
      <w:pPr>
        <w:pStyle w:val="5"/>
        <w:pageBreakBefore w:val="0"/>
        <w:widowControl w:val="0"/>
        <w:kinsoku/>
        <w:wordWrap/>
        <w:overflowPunct/>
        <w:topLinePunct w:val="0"/>
        <w:autoSpaceDE/>
        <w:autoSpaceDN/>
        <w:bidi w:val="0"/>
        <w:adjustRightInd/>
        <w:snapToGrid/>
        <w:spacing w:beforeLines="0" w:afterLines="0"/>
        <w:textAlignment w:val="auto"/>
        <w:rPr>
          <w:rFonts w:hint="eastAsia" w:cs="Times New Roman"/>
          <w:lang w:val="en-US" w:eastAsia="zh-CN"/>
        </w:rPr>
      </w:pPr>
      <w:bookmarkStart w:id="4" w:name="_Toc19956"/>
      <w:r>
        <w:rPr>
          <w:rFonts w:hint="eastAsia" w:cs="Times New Roman"/>
          <w:lang w:val="en-US" w:eastAsia="zh-CN"/>
        </w:rPr>
        <w:t>1.1 编制说明</w:t>
      </w:r>
      <w:bookmarkEnd w:id="4"/>
    </w:p>
    <w:p w14:paraId="723F5FEC">
      <w:pPr>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贵阳市</w:t>
      </w:r>
      <w:r>
        <w:rPr>
          <w:rFonts w:hint="eastAsia" w:cs="Times New Roman"/>
          <w:color w:val="auto"/>
          <w:lang w:val="en-US" w:eastAsia="zh-CN"/>
        </w:rPr>
        <w:t>花溪区</w:t>
      </w:r>
      <w:r>
        <w:rPr>
          <w:rFonts w:hint="eastAsia" w:ascii="Times New Roman" w:hAnsi="Times New Roman" w:cs="Times New Roman"/>
          <w:color w:val="auto"/>
          <w:lang w:val="en-US" w:eastAsia="zh-CN"/>
        </w:rPr>
        <w:t>人民政府针对辖区内的饮用水源地风险管理，在2017年已经编制过突发环境事件应急预案，由于环境应急预案管理要求及饮用水源地保护区范围调整致使风险源点发生变化，此次对其进行重新修订。本次修订主要是根据《集中式饮用水源地环境保护指南（试行）》附件三饮用水水源污染事件风险评估流程重新对饮用水源地进行风险评估，通过现场踏勘，识别出非点源、固定源及流动源方面的可接受风险水平，从而得出风险管理方面需要加强管理的结论，更进一步明确了水源地潜在的突发环境事件类别，同时对应急组织机构进行了更新，更加明确各应急小组职责，细化完善了应急响应流程、预警预防措施等。</w:t>
      </w:r>
    </w:p>
    <w:p w14:paraId="0128625E">
      <w:pPr>
        <w:pStyle w:val="5"/>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lang w:val="en-US" w:eastAsia="zh-CN"/>
        </w:rPr>
      </w:pPr>
      <w:bookmarkStart w:id="5" w:name="_Toc31358"/>
      <w:r>
        <w:rPr>
          <w:rFonts w:hint="eastAsia" w:cs="Times New Roman"/>
          <w:lang w:val="en-US" w:eastAsia="zh-CN"/>
        </w:rPr>
        <w:t>1</w:t>
      </w:r>
      <w:r>
        <w:rPr>
          <w:rFonts w:hint="default" w:ascii="Times New Roman" w:hAnsi="Times New Roman" w:cs="Times New Roman"/>
          <w:lang w:val="en-US" w:eastAsia="zh-CN"/>
        </w:rPr>
        <w:t>.</w:t>
      </w:r>
      <w:r>
        <w:rPr>
          <w:rFonts w:hint="eastAsia" w:cs="Times New Roman"/>
          <w:lang w:val="en-US" w:eastAsia="zh-CN"/>
        </w:rPr>
        <w:t>2</w:t>
      </w:r>
      <w:r>
        <w:rPr>
          <w:rFonts w:hint="default" w:ascii="Times New Roman" w:hAnsi="Times New Roman" w:cs="Times New Roman"/>
          <w:lang w:val="en-US" w:eastAsia="zh-CN"/>
        </w:rPr>
        <w:t xml:space="preserve"> 编制目的</w:t>
      </w:r>
      <w:bookmarkEnd w:id="5"/>
    </w:p>
    <w:p w14:paraId="746A162C">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为保障人民饮水安全和生命健康，提高</w:t>
      </w:r>
      <w:r>
        <w:rPr>
          <w:rFonts w:hint="eastAsia" w:cs="Times New Roman"/>
          <w:color w:val="auto"/>
          <w:lang w:val="en-US" w:eastAsia="zh-CN"/>
        </w:rPr>
        <w:t>花溪</w:t>
      </w:r>
      <w:r>
        <w:rPr>
          <w:rFonts w:hint="default" w:ascii="Times New Roman" w:hAnsi="Times New Roman" w:cs="Times New Roman"/>
          <w:color w:val="auto"/>
          <w:lang w:val="en-US" w:eastAsia="zh-CN"/>
        </w:rPr>
        <w:t>区人民政府应对饮用水水源地突发环境事件的能力，最大程度地减少突发环境事件对水源水质的影响，规范水源地突发事件应对的各项工作指导，在最大限度地减轻损失，维护社会稳定，特制定本预案。</w:t>
      </w:r>
    </w:p>
    <w:p w14:paraId="070187C5">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为及时、有序、高效、妥善地处置突然发生有可能影响或已影响</w:t>
      </w:r>
      <w:r>
        <w:rPr>
          <w:rFonts w:hint="eastAsia" w:cs="Times New Roman"/>
          <w:color w:val="auto"/>
          <w:lang w:val="en-US" w:eastAsia="zh-CN"/>
        </w:rPr>
        <w:t>花溪区</w:t>
      </w:r>
      <w:r>
        <w:rPr>
          <w:rFonts w:hint="default" w:ascii="Times New Roman" w:hAnsi="Times New Roman" w:cs="Times New Roman"/>
          <w:color w:val="auto"/>
          <w:lang w:val="en-US" w:eastAsia="zh-CN"/>
        </w:rPr>
        <w:t>人民群众饮用水安全的突发环境事件，最大限度地减轻损失，维护社会稳定，促进经济发展，制定本预案。</w:t>
      </w:r>
    </w:p>
    <w:p w14:paraId="74F8B74A">
      <w:pPr>
        <w:pStyle w:val="5"/>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lang w:val="en-US" w:eastAsia="zh-CN"/>
        </w:rPr>
      </w:pPr>
      <w:bookmarkStart w:id="6" w:name="_Toc1114"/>
      <w:r>
        <w:rPr>
          <w:rFonts w:hint="eastAsia" w:cs="Times New Roman"/>
          <w:lang w:val="en-US" w:eastAsia="zh-CN"/>
        </w:rPr>
        <w:t>1</w:t>
      </w:r>
      <w:r>
        <w:rPr>
          <w:rFonts w:hint="default" w:ascii="Times New Roman" w:hAnsi="Times New Roman" w:cs="Times New Roman"/>
          <w:lang w:val="en-US" w:eastAsia="zh-CN"/>
        </w:rPr>
        <w:t>.</w:t>
      </w:r>
      <w:r>
        <w:rPr>
          <w:rFonts w:hint="eastAsia" w:cs="Times New Roman"/>
          <w:lang w:val="en-US" w:eastAsia="zh-CN"/>
        </w:rPr>
        <w:t>3</w:t>
      </w:r>
      <w:r>
        <w:rPr>
          <w:rFonts w:hint="default" w:ascii="Times New Roman" w:hAnsi="Times New Roman" w:cs="Times New Roman"/>
          <w:lang w:val="en-US" w:eastAsia="zh-CN"/>
        </w:rPr>
        <w:t xml:space="preserve"> 编制依据</w:t>
      </w:r>
      <w:bookmarkEnd w:id="6"/>
    </w:p>
    <w:p w14:paraId="0A466FD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（1）《中华人民共和国环境保护法》（2015年1月1日实施）；</w:t>
      </w:r>
    </w:p>
    <w:p w14:paraId="5F2F7D3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（2）《中华人民共和国突发事件应对法》（中华人民共和国主席令 第六十九号）；</w:t>
      </w:r>
    </w:p>
    <w:p w14:paraId="283CCB0F">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（3）</w:t>
      </w:r>
      <w:r>
        <w:rPr>
          <w:rFonts w:hint="default" w:ascii="Times New Roman" w:hAnsi="Times New Roman" w:eastAsia="仿宋" w:cs="Times New Roman"/>
        </w:rPr>
        <w:t>《国家突发环境事件应急预案》（国办函</w:t>
      </w:r>
      <w:r>
        <w:rPr>
          <w:rFonts w:hint="default" w:ascii="Times New Roman" w:hAnsi="Times New Roman" w:eastAsia="仿宋" w:cs="Times New Roman"/>
          <w:lang w:val="en-US" w:eastAsia="zh-CN"/>
        </w:rPr>
        <w:t>〔</w:t>
      </w:r>
      <w:r>
        <w:rPr>
          <w:rFonts w:hint="default" w:ascii="Times New Roman" w:hAnsi="Times New Roman" w:eastAsia="仿宋" w:cs="Times New Roman"/>
        </w:rPr>
        <w:t>2014</w:t>
      </w:r>
      <w:r>
        <w:rPr>
          <w:rFonts w:hint="default" w:ascii="Times New Roman" w:hAnsi="Times New Roman" w:eastAsia="仿宋" w:cs="Times New Roman"/>
          <w:lang w:val="en-US" w:eastAsia="zh-CN"/>
        </w:rPr>
        <w:t>〕</w:t>
      </w:r>
      <w:r>
        <w:rPr>
          <w:rFonts w:hint="default" w:ascii="Times New Roman" w:hAnsi="Times New Roman" w:eastAsia="仿宋" w:cs="Times New Roman"/>
        </w:rPr>
        <w:t>119号）</w:t>
      </w:r>
      <w:r>
        <w:rPr>
          <w:rFonts w:hint="default" w:ascii="Times New Roman" w:hAnsi="Times New Roman" w:eastAsia="仿宋" w:cs="Times New Roman"/>
          <w:lang w:eastAsia="zh-CN"/>
        </w:rPr>
        <w:t>；</w:t>
      </w:r>
    </w:p>
    <w:p w14:paraId="638EE18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（4）《突发事件应急预案管理办法》（国办发〔2013〕101号）；</w:t>
      </w:r>
    </w:p>
    <w:p w14:paraId="3F152BE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（5）《突发环境事件信息报告办法》（环境保护部令 第17号）；</w:t>
      </w:r>
    </w:p>
    <w:p w14:paraId="38903FA3">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6</w:t>
      </w:r>
      <w:r>
        <w:rPr>
          <w:rFonts w:hint="default" w:ascii="Times New Roman" w:hAnsi="Times New Roman" w:eastAsia="仿宋" w:cs="Times New Roman"/>
          <w:kern w:val="0"/>
          <w:szCs w:val="24"/>
        </w:rPr>
        <w:t>）《企业事业单位环境信息公开办法》（部令</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31号）；</w:t>
      </w:r>
    </w:p>
    <w:p w14:paraId="651D2380">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7</w:t>
      </w:r>
      <w:r>
        <w:rPr>
          <w:rFonts w:hint="default" w:ascii="Times New Roman" w:hAnsi="Times New Roman" w:eastAsia="仿宋" w:cs="Times New Roman"/>
          <w:kern w:val="0"/>
          <w:szCs w:val="24"/>
        </w:rPr>
        <w:t>）《突发环境事件调查处理办法》（部令</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32号）；</w:t>
      </w:r>
    </w:p>
    <w:p w14:paraId="5A790A2C">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8</w:t>
      </w:r>
      <w:r>
        <w:rPr>
          <w:rFonts w:hint="default" w:ascii="Times New Roman" w:hAnsi="Times New Roman" w:eastAsia="仿宋" w:cs="Times New Roman"/>
          <w:kern w:val="0"/>
          <w:szCs w:val="24"/>
        </w:rPr>
        <w:t>）《突发环境事件应急管理办法》（部令</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34号 ）；</w:t>
      </w:r>
    </w:p>
    <w:p w14:paraId="3C4C0E2A">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9</w:t>
      </w:r>
      <w:r>
        <w:rPr>
          <w:rFonts w:hint="default" w:ascii="Times New Roman" w:hAnsi="Times New Roman" w:eastAsia="仿宋" w:cs="Times New Roman"/>
          <w:kern w:val="0"/>
          <w:szCs w:val="24"/>
        </w:rPr>
        <w:t>）《企业事业单位突发环境事件应急预案备案管理办法》（环发</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4号 ）；</w:t>
      </w:r>
    </w:p>
    <w:p w14:paraId="70A12A8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（10）《关于进一步加强突发性环境污染事件应急监测工作的通知》（环发〔2001〕197号）；</w:t>
      </w:r>
    </w:p>
    <w:p w14:paraId="0B7B511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（11）《饮用水水源保护区污染防治管理规定》（环境保护部令 第16号）；</w:t>
      </w:r>
    </w:p>
    <w:p w14:paraId="5C9ADB3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（12）《城市供水水质管理规定》（建设部令 第156号）；</w:t>
      </w:r>
    </w:p>
    <w:p w14:paraId="5308DA1C">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（13）《生活饮用水卫生监督管理办法》（住房城乡建设部、国家卫生计生委令 第31号）；</w:t>
      </w:r>
    </w:p>
    <w:p w14:paraId="14909DA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（14）《集中式饮用水水源环境保护指南（试行）》（环办〔2012〕50号）；</w:t>
      </w:r>
    </w:p>
    <w:p w14:paraId="7BD819A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（15）《集中式地表水饮用水水源地突发环境事件应急预案编制指南（试行）》国家生态环境部（公告2018年1号）；</w:t>
      </w:r>
    </w:p>
    <w:p w14:paraId="096E754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（16）《集中式地表饮用水水源地环境应急管理工作指南（试行）》（环办〔2011〕93号）。</w:t>
      </w:r>
    </w:p>
    <w:p w14:paraId="32547116">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（17）《贵州省突发环境事件应急预案》</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2020年</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w:t>
      </w:r>
    </w:p>
    <w:p w14:paraId="417317F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（18）《</w:t>
      </w:r>
      <w:r>
        <w:rPr>
          <w:rFonts w:hint="eastAsia" w:cs="Times New Roman"/>
          <w:lang w:val="en-US" w:eastAsia="zh-CN"/>
        </w:rPr>
        <w:t>贵阳贵安</w:t>
      </w:r>
      <w:r>
        <w:rPr>
          <w:rFonts w:hint="default" w:ascii="Times New Roman" w:hAnsi="Times New Roman" w:eastAsia="仿宋" w:cs="Times New Roman"/>
          <w:lang w:val="en-US" w:eastAsia="zh-CN"/>
        </w:rPr>
        <w:t>突发环境事件应急预案》</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w:t>
      </w:r>
      <w:r>
        <w:rPr>
          <w:rFonts w:hint="eastAsia" w:cs="Times New Roman"/>
          <w:lang w:val="en-US" w:eastAsia="zh-CN"/>
        </w:rPr>
        <w:t>21</w:t>
      </w:r>
      <w:r>
        <w:rPr>
          <w:rFonts w:hint="default" w:ascii="Times New Roman" w:hAnsi="Times New Roman" w:eastAsia="仿宋" w:cs="Times New Roman"/>
          <w:lang w:val="en-US" w:eastAsia="zh-CN"/>
        </w:rPr>
        <w:t>年</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w:t>
      </w:r>
    </w:p>
    <w:p w14:paraId="1A332A19">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（19）《花溪</w:t>
      </w:r>
      <w:r>
        <w:rPr>
          <w:rFonts w:hint="eastAsia" w:cs="Times New Roman"/>
          <w:lang w:val="en-US" w:eastAsia="zh-CN"/>
        </w:rPr>
        <w:t>区</w:t>
      </w:r>
      <w:r>
        <w:rPr>
          <w:rFonts w:hint="default" w:ascii="Times New Roman" w:hAnsi="Times New Roman" w:eastAsia="仿宋" w:cs="Times New Roman"/>
          <w:lang w:val="en-US" w:eastAsia="zh-CN"/>
        </w:rPr>
        <w:t>集中式饮用水水源地突发环境事件应急预案（2017版）》；</w:t>
      </w:r>
    </w:p>
    <w:p w14:paraId="213794AA">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（20）《花溪</w:t>
      </w:r>
      <w:r>
        <w:rPr>
          <w:rFonts w:hint="eastAsia" w:cs="Times New Roman"/>
          <w:lang w:val="en-US" w:eastAsia="zh-CN"/>
        </w:rPr>
        <w:t>区</w:t>
      </w:r>
      <w:r>
        <w:rPr>
          <w:rFonts w:hint="default" w:ascii="Times New Roman" w:hAnsi="Times New Roman" w:eastAsia="仿宋" w:cs="Times New Roman"/>
          <w:lang w:val="en-US" w:eastAsia="zh-CN"/>
        </w:rPr>
        <w:t>集中式饮用水水源地突发环境事件风险评估报告（20</w:t>
      </w:r>
      <w:r>
        <w:rPr>
          <w:rFonts w:hint="eastAsia" w:cs="Times New Roman"/>
          <w:lang w:val="en-US" w:eastAsia="zh-CN"/>
        </w:rPr>
        <w:t>21</w:t>
      </w:r>
      <w:r>
        <w:rPr>
          <w:rFonts w:hint="default" w:ascii="Times New Roman" w:hAnsi="Times New Roman" w:eastAsia="仿宋" w:cs="Times New Roman"/>
          <w:lang w:val="en-US" w:eastAsia="zh-CN"/>
        </w:rPr>
        <w:t>版）》。</w:t>
      </w:r>
    </w:p>
    <w:p w14:paraId="0318B13E">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7" w:name="_Toc6925"/>
      <w:r>
        <w:rPr>
          <w:rFonts w:hint="default"/>
          <w:lang w:val="en-US" w:eastAsia="zh-CN"/>
        </w:rPr>
        <w:t>1.</w:t>
      </w:r>
      <w:r>
        <w:rPr>
          <w:rFonts w:hint="eastAsia"/>
          <w:lang w:val="en-US" w:eastAsia="zh-CN"/>
        </w:rPr>
        <w:t>4</w:t>
      </w:r>
      <w:r>
        <w:rPr>
          <w:rFonts w:hint="default"/>
          <w:lang w:val="en-US" w:eastAsia="zh-CN"/>
        </w:rPr>
        <w:t xml:space="preserve"> 适用范围</w:t>
      </w:r>
      <w:bookmarkEnd w:id="7"/>
    </w:p>
    <w:p w14:paraId="6F6835E2">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本应急预案适用于</w:t>
      </w:r>
      <w:r>
        <w:rPr>
          <w:rFonts w:hint="eastAsia" w:cs="Times New Roman"/>
          <w:lang w:val="en-US" w:eastAsia="zh-CN"/>
        </w:rPr>
        <w:t>花溪区</w:t>
      </w:r>
      <w:r>
        <w:rPr>
          <w:rFonts w:hint="default" w:ascii="Times New Roman" w:hAnsi="Times New Roman" w:cs="Times New Roman"/>
          <w:lang w:val="en-US" w:eastAsia="zh-CN"/>
        </w:rPr>
        <w:t>集中式饮用水水源地保护区内发生的以下突发环境事件的预防、控制和处置行为。</w:t>
      </w:r>
    </w:p>
    <w:p w14:paraId="69739994">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8" w:name="_Toc21012"/>
      <w:r>
        <w:rPr>
          <w:rFonts w:hint="default"/>
          <w:lang w:val="en-US" w:eastAsia="zh-CN"/>
        </w:rPr>
        <w:t>1.</w:t>
      </w:r>
      <w:r>
        <w:rPr>
          <w:rFonts w:hint="eastAsia"/>
          <w:lang w:val="en-US" w:eastAsia="zh-CN"/>
        </w:rPr>
        <w:t>5</w:t>
      </w:r>
      <w:r>
        <w:rPr>
          <w:rFonts w:hint="default"/>
          <w:lang w:val="en-US" w:eastAsia="zh-CN"/>
        </w:rPr>
        <w:t xml:space="preserve"> 预案</w:t>
      </w:r>
      <w:r>
        <w:rPr>
          <w:rFonts w:hint="eastAsia"/>
          <w:lang w:val="en-US" w:eastAsia="zh-CN"/>
        </w:rPr>
        <w:t>体系</w:t>
      </w:r>
      <w:bookmarkEnd w:id="8"/>
    </w:p>
    <w:p w14:paraId="6C388A66">
      <w:pPr>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贵阳市花溪区人民政府制定有《贵阳市花溪区突发环境事件应急预案》，另外还制定有《贵阳市花溪区重污染天气应急预案》、《贵阳市花溪区水污染突发环境事件应急预案》等子预案，本次修编的《贵阳市花溪区集中式饮用水源地突发环境事件应急预案》与其他子预案共同组成了花溪区突发环境事件应急预案的预案体系，本预案是基于花溪区政府已制定的相关预案，结合实际，参照相关编制指南进行编制，作为《贵阳市花溪区突发环境事件应急预案》的子预案为花溪区饮用水源防范和处置突发环境事件的工作提供支撑。</w:t>
      </w:r>
    </w:p>
    <w:p w14:paraId="7A9B305B">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9" w:name="_Toc13260"/>
      <w:r>
        <w:rPr>
          <w:rFonts w:hint="default"/>
          <w:lang w:val="en-US" w:eastAsia="zh-CN"/>
        </w:rPr>
        <w:t>1.</w:t>
      </w:r>
      <w:r>
        <w:rPr>
          <w:rFonts w:hint="eastAsia"/>
          <w:lang w:val="en-US" w:eastAsia="zh-CN"/>
        </w:rPr>
        <w:t>6</w:t>
      </w:r>
      <w:r>
        <w:rPr>
          <w:rFonts w:hint="default"/>
          <w:lang w:val="en-US" w:eastAsia="zh-CN"/>
        </w:rPr>
        <w:t xml:space="preserve"> 工作原则</w:t>
      </w:r>
      <w:bookmarkEnd w:id="9"/>
    </w:p>
    <w:p w14:paraId="0B94191F">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在建立突发性环境污染事故应急系统及其响应程序时，本着实事求是、切实可行的方针，贯彻如下原则：</w:t>
      </w:r>
    </w:p>
    <w:p w14:paraId="73119972">
      <w:pPr>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预防与应急并重，常态与非常态结合原则。</w:t>
      </w:r>
    </w:p>
    <w:p w14:paraId="58D05316">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建立统一高效的应急信息平台，建设精干实用的专业应急救援队伍，健全应急预案体系，加强应急管理宣传教育，提高员工参与和自救互救能力，实现全员预警、全员动员、快速反应，应急处置整体联动。</w:t>
      </w:r>
    </w:p>
    <w:p w14:paraId="186FF4EF">
      <w:pPr>
        <w:pageBreakBefore w:val="0"/>
        <w:widowControl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坚持以人为本，预防为主。</w:t>
      </w:r>
    </w:p>
    <w:p w14:paraId="4139A13E">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加强对环境事故危险源的监测、监控并实施监督管理，建立环境事故风险防范体系，积极预防、及时控制、消除隐患，提高突发性环境污染事故防范和处理能力，尽可能地避免或减少突发环境污染事故的发生，消除或减轻环境污染事故造成的中长期影响，最大程度地保障公众健康，保护人民群众生命财产安全。在突发环境事件应急工作中，高度重视人的生命权和健康权，把保障公众的生命财产安全和人身健康作为首要任务，并切实加强对应急救援人员的安全防护工作。</w:t>
      </w:r>
    </w:p>
    <w:p w14:paraId="031A6FCC">
      <w:pPr>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坚持统一领导，分类管理，分级响应。</w:t>
      </w:r>
    </w:p>
    <w:p w14:paraId="2EA8B52B">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w:t>
      </w:r>
      <w:r>
        <w:rPr>
          <w:rFonts w:hint="eastAsia" w:cs="Times New Roman"/>
          <w:lang w:val="en-US" w:eastAsia="zh-CN"/>
        </w:rPr>
        <w:t>花溪区</w:t>
      </w:r>
      <w:r>
        <w:rPr>
          <w:rFonts w:hint="default" w:ascii="Times New Roman" w:hAnsi="Times New Roman" w:cs="Times New Roman"/>
          <w:lang w:val="en-US" w:eastAsia="zh-CN"/>
        </w:rPr>
        <w:t>水务管理局的统一领导下，加强部门之间的协调与合作，提高快速反应能力。实行行政领导责任制，各相关部门按照各自职责共同搞好突发环境事件的应急处理工作。针对环境污染的特点，实行分类管理，充分发挥部门专业优势，使采取的措施与突发环境事件造成的危害范围和社会影响相适应。</w:t>
      </w:r>
    </w:p>
    <w:p w14:paraId="359A73A1">
      <w:pPr>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依法处置，职责明确。</w:t>
      </w:r>
    </w:p>
    <w:p w14:paraId="1E0DD93F">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各有关部门按照规定的权限和程序依法实施应急管理、处置工作，维护公众的合法权益，使应对突发环境事件的工作规范化、制度化、法制化，明确其在应急工作中的职责，防止职责交叉。</w:t>
      </w:r>
    </w:p>
    <w:p w14:paraId="60F79E29">
      <w:pPr>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坚持平战结合，专兼结合，充分利用现有资源。</w:t>
      </w:r>
    </w:p>
    <w:p w14:paraId="7DF7DA1F">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lang w:val="en-US" w:eastAsia="zh-CN"/>
        </w:rPr>
        <w:t>积极做好应对突发性环境污染事故的思想准备、物资准备、技术准备、工作准备，加强培训演练，应急系统做到常备不懈，可为本辖区范围及周围区域提供服务，在应急时快速有效。</w:t>
      </w:r>
    </w:p>
    <w:p w14:paraId="574FBC37">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highlight w:val="none"/>
          <w:lang w:val="en-US" w:eastAsia="zh-CN"/>
        </w:rPr>
      </w:pPr>
      <w:bookmarkStart w:id="10" w:name="_Toc20904"/>
      <w:r>
        <w:rPr>
          <w:rFonts w:hint="default" w:ascii="Times New Roman" w:hAnsi="Times New Roman" w:cs="Times New Roman"/>
          <w:color w:val="auto"/>
          <w:highlight w:val="none"/>
          <w:lang w:val="en-US" w:eastAsia="zh-CN"/>
        </w:rPr>
        <w:t>2 组织机构与职责</w:t>
      </w:r>
      <w:bookmarkEnd w:id="10"/>
    </w:p>
    <w:p w14:paraId="2C793736">
      <w:pPr>
        <w:pStyle w:val="5"/>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auto"/>
          <w:highlight w:val="none"/>
          <w:lang w:val="en-US" w:eastAsia="zh-CN"/>
        </w:rPr>
      </w:pPr>
      <w:bookmarkStart w:id="11" w:name="_Toc26813"/>
      <w:r>
        <w:rPr>
          <w:rFonts w:hint="default" w:ascii="Times New Roman" w:hAnsi="Times New Roman" w:cs="Times New Roman"/>
          <w:color w:val="auto"/>
          <w:highlight w:val="none"/>
          <w:lang w:val="en-US" w:eastAsia="zh-CN"/>
        </w:rPr>
        <w:t>2.1 应急组织机构</w:t>
      </w:r>
      <w:bookmarkEnd w:id="11"/>
    </w:p>
    <w:p w14:paraId="09133C72">
      <w:pPr>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ascii="Times New Roman" w:hAnsi="Times New Roman" w:cs="Times New Roman"/>
          <w:color w:val="auto"/>
          <w:highlight w:val="none"/>
          <w:lang w:val="en-US" w:eastAsia="zh-CN"/>
        </w:rPr>
        <w:t>此次应急预案是对2017年版进行修编，因此是根据机构调整设置对花溪区饮用水源地突发环境事件应急指挥部（简称指挥部）进行更新，其指挥部是在贵阳市花溪区人民政府（以下简称区人民政府）统一</w:t>
      </w:r>
      <w:r>
        <w:rPr>
          <w:rFonts w:hint="default"/>
          <w:color w:val="auto"/>
          <w:highlight w:val="none"/>
          <w:lang w:val="en-US" w:eastAsia="zh-CN"/>
        </w:rPr>
        <w:t>领导下专门负责应急处置</w:t>
      </w:r>
      <w:r>
        <w:rPr>
          <w:rFonts w:hint="eastAsia"/>
          <w:color w:val="auto"/>
          <w:highlight w:val="none"/>
          <w:lang w:val="en-US" w:eastAsia="zh-CN"/>
        </w:rPr>
        <w:t>花溪</w:t>
      </w:r>
      <w:r>
        <w:rPr>
          <w:rFonts w:hint="default"/>
          <w:color w:val="auto"/>
          <w:highlight w:val="none"/>
          <w:lang w:val="en-US" w:eastAsia="zh-CN"/>
        </w:rPr>
        <w:t>区饮用水源地突发环境事件工作的领导机构。</w:t>
      </w:r>
    </w:p>
    <w:p w14:paraId="5B422625">
      <w:pPr>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color w:val="auto"/>
          <w:highlight w:val="none"/>
          <w:lang w:val="en-US" w:eastAsia="zh-CN"/>
        </w:rPr>
        <w:t>应急指挥部指挥长由花溪区人民政府副区长担任，副指挥长设2位，分别由</w:t>
      </w:r>
      <w:r>
        <w:rPr>
          <w:rFonts w:hint="eastAsia"/>
          <w:color w:val="auto"/>
          <w:highlight w:val="none"/>
          <w:lang w:val="en-US" w:eastAsia="zh-CN"/>
        </w:rPr>
        <w:t>花溪区人民政府办公室副主任、</w:t>
      </w:r>
      <w:r>
        <w:rPr>
          <w:rFonts w:hint="default"/>
          <w:color w:val="auto"/>
          <w:highlight w:val="none"/>
          <w:lang w:val="en-US" w:eastAsia="zh-CN"/>
        </w:rPr>
        <w:t>贵阳市生态环境局花溪分局局长担任。下设花溪区突发环境事件应急办公室，应急办公室主任由</w:t>
      </w:r>
      <w:bookmarkStart w:id="12" w:name="OLE_LINK3"/>
      <w:r>
        <w:rPr>
          <w:rFonts w:hint="eastAsia"/>
          <w:color w:val="auto"/>
          <w:highlight w:val="none"/>
          <w:lang w:val="en-US" w:eastAsia="zh-CN"/>
        </w:rPr>
        <w:t>市生态环境局花溪分局局长兼</w:t>
      </w:r>
      <w:r>
        <w:rPr>
          <w:rFonts w:hint="default"/>
          <w:color w:val="auto"/>
          <w:highlight w:val="none"/>
          <w:lang w:val="en-US" w:eastAsia="zh-CN"/>
        </w:rPr>
        <w:t>任，副主任由</w:t>
      </w:r>
      <w:r>
        <w:rPr>
          <w:rFonts w:hint="eastAsia"/>
          <w:color w:val="auto"/>
          <w:highlight w:val="none"/>
          <w:lang w:val="en-US" w:eastAsia="zh-CN"/>
        </w:rPr>
        <w:t>花溪区应急管理局局长兼任</w:t>
      </w:r>
      <w:bookmarkEnd w:id="12"/>
      <w:r>
        <w:rPr>
          <w:rFonts w:hint="default"/>
          <w:color w:val="auto"/>
          <w:highlight w:val="none"/>
          <w:lang w:val="en-US" w:eastAsia="zh-CN"/>
        </w:rPr>
        <w:t>。应急指挥部下设应急处置组、应急监测组、</w:t>
      </w:r>
      <w:r>
        <w:rPr>
          <w:rFonts w:hint="eastAsia"/>
          <w:color w:val="auto"/>
          <w:highlight w:val="none"/>
          <w:lang w:val="en-US" w:eastAsia="zh-CN"/>
        </w:rPr>
        <w:t>医疗</w:t>
      </w:r>
      <w:r>
        <w:rPr>
          <w:rFonts w:hint="default"/>
          <w:color w:val="auto"/>
          <w:highlight w:val="none"/>
          <w:lang w:val="en-US" w:eastAsia="zh-CN"/>
        </w:rPr>
        <w:t>救援组、后勤保障组、警戒疏散组、社会稳定组、新闻宣传组、事后调查组及专家咨询组共9个应急工作组。</w:t>
      </w:r>
    </w:p>
    <w:p w14:paraId="7E1D2F5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59264" behindDoc="0" locked="0" layoutInCell="1" allowOverlap="1">
                <wp:simplePos x="0" y="0"/>
                <wp:positionH relativeFrom="column">
                  <wp:posOffset>643255</wp:posOffset>
                </wp:positionH>
                <wp:positionV relativeFrom="paragraph">
                  <wp:posOffset>55245</wp:posOffset>
                </wp:positionV>
                <wp:extent cx="4046855" cy="314960"/>
                <wp:effectExtent l="4445" t="4445" r="6350" b="23495"/>
                <wp:wrapNone/>
                <wp:docPr id="88" name="文本框 88"/>
                <wp:cNvGraphicFramePr/>
                <a:graphic xmlns:a="http://schemas.openxmlformats.org/drawingml/2006/main">
                  <a:graphicData uri="http://schemas.microsoft.com/office/word/2010/wordprocessingShape">
                    <wps:wsp>
                      <wps:cNvSpPr txBox="1"/>
                      <wps:spPr>
                        <a:xfrm>
                          <a:off x="0" y="0"/>
                          <a:ext cx="4046855"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B54AD8">
                            <w:pPr>
                              <w:pStyle w:val="21"/>
                              <w:bidi w:val="0"/>
                              <w:rPr>
                                <w:b w:val="0"/>
                                <w:bCs/>
                              </w:rPr>
                            </w:pPr>
                            <w:r>
                              <w:rPr>
                                <w:rFonts w:hint="eastAsia"/>
                                <w:b w:val="0"/>
                                <w:bCs/>
                                <w:lang w:val="en-US" w:eastAsia="zh-CN"/>
                              </w:rPr>
                              <w:t>花溪区</w:t>
                            </w:r>
                            <w:r>
                              <w:rPr>
                                <w:rFonts w:hint="eastAsia"/>
                                <w:b w:val="0"/>
                                <w:bCs/>
                              </w:rPr>
                              <w:t>集中式饮用</w:t>
                            </w:r>
                            <w:r>
                              <w:rPr>
                                <w:rFonts w:hint="eastAsia"/>
                                <w:b w:val="0"/>
                                <w:bCs/>
                                <w:lang w:val="en-US" w:eastAsia="zh-CN"/>
                              </w:rPr>
                              <w:t>水</w:t>
                            </w:r>
                            <w:r>
                              <w:rPr>
                                <w:rFonts w:hint="eastAsia"/>
                                <w:b w:val="0"/>
                                <w:bCs/>
                              </w:rPr>
                              <w:t>水源地突发环境事件应急指挥部</w:t>
                            </w:r>
                          </w:p>
                        </w:txbxContent>
                      </wps:txbx>
                      <wps:bodyPr upright="1"/>
                    </wps:wsp>
                  </a:graphicData>
                </a:graphic>
              </wp:anchor>
            </w:drawing>
          </mc:Choice>
          <mc:Fallback>
            <w:pict>
              <v:shape id="_x0000_s1026" o:spid="_x0000_s1026" o:spt="202" type="#_x0000_t202" style="position:absolute;left:0pt;margin-left:50.65pt;margin-top:4.35pt;height:24.8pt;width:318.65pt;z-index:251659264;mso-width-relative:page;mso-height-relative:page;" fillcolor="#FFFFFF" filled="t" stroked="t" coordsize="21600,21600" o:gfxdata="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ofVatcAAAAIAQAADwAAAAAAAAABACAA&#10;AAAiAAAAZHJzL2Rvd25yZXYueG1sUEsBAhQAFAAAAAgAh07iQG0KbBoOAgAAOAQAAA4AAAAAAAAA&#10;AQAgAAAAJgEAAGRycy9lMm9Eb2MueG1sUEsFBgAAAAAGAAYAWQEAAKYFAAAAAA==&#10;">
                <v:fill on="t" focussize="0,0"/>
                <v:stroke color="#000000" joinstyle="miter"/>
                <v:imagedata o:title=""/>
                <o:lock v:ext="edit" aspectratio="f"/>
                <v:textbox>
                  <w:txbxContent>
                    <w:p w14:paraId="7EB54AD8">
                      <w:pPr>
                        <w:pStyle w:val="21"/>
                        <w:bidi w:val="0"/>
                        <w:rPr>
                          <w:b w:val="0"/>
                          <w:bCs/>
                        </w:rPr>
                      </w:pPr>
                      <w:r>
                        <w:rPr>
                          <w:rFonts w:hint="eastAsia"/>
                          <w:b w:val="0"/>
                          <w:bCs/>
                          <w:lang w:val="en-US" w:eastAsia="zh-CN"/>
                        </w:rPr>
                        <w:t>花溪区</w:t>
                      </w:r>
                      <w:r>
                        <w:rPr>
                          <w:rFonts w:hint="eastAsia"/>
                          <w:b w:val="0"/>
                          <w:bCs/>
                        </w:rPr>
                        <w:t>集中式饮用</w:t>
                      </w:r>
                      <w:r>
                        <w:rPr>
                          <w:rFonts w:hint="eastAsia"/>
                          <w:b w:val="0"/>
                          <w:bCs/>
                          <w:lang w:val="en-US" w:eastAsia="zh-CN"/>
                        </w:rPr>
                        <w:t>水</w:t>
                      </w:r>
                      <w:r>
                        <w:rPr>
                          <w:rFonts w:hint="eastAsia"/>
                          <w:b w:val="0"/>
                          <w:bCs/>
                        </w:rPr>
                        <w:t>水源地突发环境事件应急指挥部</w:t>
                      </w:r>
                    </w:p>
                  </w:txbxContent>
                </v:textbox>
              </v:shape>
            </w:pict>
          </mc:Fallback>
        </mc:AlternateContent>
      </w:r>
    </w:p>
    <w:p w14:paraId="0565BD8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61312" behindDoc="0" locked="0" layoutInCell="1" allowOverlap="1">
                <wp:simplePos x="0" y="0"/>
                <wp:positionH relativeFrom="column">
                  <wp:posOffset>2906395</wp:posOffset>
                </wp:positionH>
                <wp:positionV relativeFrom="paragraph">
                  <wp:posOffset>194945</wp:posOffset>
                </wp:positionV>
                <wp:extent cx="2313940" cy="474345"/>
                <wp:effectExtent l="4445" t="4445" r="5715" b="16510"/>
                <wp:wrapNone/>
                <wp:docPr id="97" name="文本框 97"/>
                <wp:cNvGraphicFramePr/>
                <a:graphic xmlns:a="http://schemas.openxmlformats.org/drawingml/2006/main">
                  <a:graphicData uri="http://schemas.microsoft.com/office/word/2010/wordprocessingShape">
                    <wps:wsp>
                      <wps:cNvSpPr txBox="1"/>
                      <wps:spPr>
                        <a:xfrm>
                          <a:off x="0" y="0"/>
                          <a:ext cx="2313940"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D563C8">
                            <w:pPr>
                              <w:pStyle w:val="21"/>
                              <w:bidi w:val="0"/>
                              <w:rPr>
                                <w:rFonts w:ascii="Calibri" w:hAnsi="Calibri" w:eastAsia="仿宋"/>
                                <w:szCs w:val="24"/>
                              </w:rPr>
                            </w:pPr>
                            <w:r>
                              <w:rPr>
                                <w:rFonts w:hint="eastAsia"/>
                                <w:b w:val="0"/>
                                <w:bCs/>
                                <w:lang w:val="en-US" w:eastAsia="zh-CN"/>
                              </w:rPr>
                              <w:t>花溪区</w:t>
                            </w:r>
                            <w:r>
                              <w:rPr>
                                <w:rFonts w:hint="eastAsia"/>
                                <w:b w:val="0"/>
                                <w:bCs/>
                              </w:rPr>
                              <w:t>集中式饮用水</w:t>
                            </w:r>
                            <w:r>
                              <w:rPr>
                                <w:rFonts w:hint="eastAsia"/>
                                <w:b w:val="0"/>
                                <w:bCs/>
                                <w:lang w:val="en-US" w:eastAsia="zh-CN"/>
                              </w:rPr>
                              <w:t>水</w:t>
                            </w:r>
                            <w:r>
                              <w:rPr>
                                <w:rFonts w:hint="eastAsia"/>
                                <w:b w:val="0"/>
                                <w:bCs/>
                              </w:rPr>
                              <w:t>源地突发环境事件应急办公室</w:t>
                            </w:r>
                          </w:p>
                        </w:txbxContent>
                      </wps:txbx>
                      <wps:bodyPr upright="1"/>
                    </wps:wsp>
                  </a:graphicData>
                </a:graphic>
              </wp:anchor>
            </w:drawing>
          </mc:Choice>
          <mc:Fallback>
            <w:pict>
              <v:shape id="_x0000_s1026" o:spid="_x0000_s1026" o:spt="202" type="#_x0000_t202" style="position:absolute;left:0pt;margin-left:228.85pt;margin-top:15.35pt;height:37.35pt;width:182.2pt;z-index:251661312;mso-width-relative:page;mso-height-relative:page;" fillcolor="#FFFFFF" filled="t" stroked="t" coordsize="21600,21600" o:gfxdata="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txSk2QAAAAoBAAAPAAAAAAAAAAEAIAAA&#10;ACIAAABkcnMvZG93bnJldi54bWxQSwECFAAUAAAACACHTuJA76MHGgsCAAA4BAAADgAAAAAAAAAB&#10;ACAAAAAoAQAAZHJzL2Uyb0RvYy54bWxQSwUGAAAAAAYABgBZAQAApQUAAAAA&#10;">
                <v:fill on="t" focussize="0,0"/>
                <v:stroke color="#000000" joinstyle="miter"/>
                <v:imagedata o:title=""/>
                <o:lock v:ext="edit" aspectratio="f"/>
                <v:textbox>
                  <w:txbxContent>
                    <w:p w14:paraId="15D563C8">
                      <w:pPr>
                        <w:pStyle w:val="21"/>
                        <w:bidi w:val="0"/>
                        <w:rPr>
                          <w:rFonts w:ascii="Calibri" w:hAnsi="Calibri" w:eastAsia="仿宋"/>
                          <w:szCs w:val="24"/>
                        </w:rPr>
                      </w:pPr>
                      <w:r>
                        <w:rPr>
                          <w:rFonts w:hint="eastAsia"/>
                          <w:b w:val="0"/>
                          <w:bCs/>
                          <w:lang w:val="en-US" w:eastAsia="zh-CN"/>
                        </w:rPr>
                        <w:t>花溪区</w:t>
                      </w:r>
                      <w:r>
                        <w:rPr>
                          <w:rFonts w:hint="eastAsia"/>
                          <w:b w:val="0"/>
                          <w:bCs/>
                        </w:rPr>
                        <w:t>集中式饮用水</w:t>
                      </w:r>
                      <w:r>
                        <w:rPr>
                          <w:rFonts w:hint="eastAsia"/>
                          <w:b w:val="0"/>
                          <w:bCs/>
                          <w:lang w:val="en-US" w:eastAsia="zh-CN"/>
                        </w:rPr>
                        <w:t>水</w:t>
                      </w:r>
                      <w:r>
                        <w:rPr>
                          <w:rFonts w:hint="eastAsia"/>
                          <w:b w:val="0"/>
                          <w:bCs/>
                        </w:rPr>
                        <w:t>源地突发环境事件应急办公室</w:t>
                      </w:r>
                    </w:p>
                  </w:txbxContent>
                </v:textbox>
              </v:shape>
            </w:pict>
          </mc:Fallback>
        </mc:AlternateContent>
      </w:r>
      <w:r>
        <w:rPr>
          <w:rFonts w:ascii="Calibri" w:hAnsi="Calibri" w:eastAsia="仿宋"/>
          <w:sz w:val="24"/>
          <w:szCs w:val="22"/>
        </w:rPr>
        <mc:AlternateContent>
          <mc:Choice Requires="wps">
            <w:drawing>
              <wp:anchor distT="0" distB="0" distL="114300" distR="114300" simplePos="0" relativeHeight="251660288" behindDoc="0" locked="0" layoutInCell="1" allowOverlap="1">
                <wp:simplePos x="0" y="0"/>
                <wp:positionH relativeFrom="column">
                  <wp:posOffset>2660015</wp:posOffset>
                </wp:positionH>
                <wp:positionV relativeFrom="paragraph">
                  <wp:posOffset>90805</wp:posOffset>
                </wp:positionV>
                <wp:extent cx="635" cy="720725"/>
                <wp:effectExtent l="0" t="0" r="0" b="0"/>
                <wp:wrapNone/>
                <wp:docPr id="99" name="直接箭头连接符 99"/>
                <wp:cNvGraphicFramePr/>
                <a:graphic xmlns:a="http://schemas.openxmlformats.org/drawingml/2006/main">
                  <a:graphicData uri="http://schemas.microsoft.com/office/word/2010/wordprocessingShape">
                    <wps:wsp>
                      <wps:cNvCnPr>
                        <a:stCxn id="88" idx="2"/>
                      </wps:cNvCnPr>
                      <wps:spPr>
                        <a:xfrm flipH="1">
                          <a:off x="0" y="0"/>
                          <a:ext cx="635" cy="7207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margin-left:209.45pt;margin-top:7.15pt;height:56.75pt;width:0.05pt;z-index:251660288;mso-width-relative:page;mso-height-relative:page;" filled="f" stroked="t" coordsize="21600,21600" o:gfxdata="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aV81tgAAAAK&#10;AQAADwAAAAAAAAABACAAAAAiAAAAZHJzL2Rvd25yZXYueG1sUEsBAhQAFAAAAAgAh07iQOrlFO8c&#10;AgAAKgQAAA4AAAAAAAAAAQAgAAAAJwEAAGRycy9lMm9Eb2MueG1sUEsFBgAAAAAGAAYAWQEAALUF&#10;AAAAAA==&#10;">
                <v:fill on="f" focussize="0,0"/>
                <v:stroke color="#000000" joinstyle="round"/>
                <v:imagedata o:title=""/>
                <o:lock v:ext="edit" aspectratio="f"/>
              </v:shape>
            </w:pict>
          </mc:Fallback>
        </mc:AlternateContent>
      </w:r>
    </w:p>
    <w:p w14:paraId="2067B48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62336" behindDoc="0" locked="0" layoutInCell="1" allowOverlap="1">
                <wp:simplePos x="0" y="0"/>
                <wp:positionH relativeFrom="column">
                  <wp:posOffset>2660015</wp:posOffset>
                </wp:positionH>
                <wp:positionV relativeFrom="paragraph">
                  <wp:posOffset>168275</wp:posOffset>
                </wp:positionV>
                <wp:extent cx="238760" cy="0"/>
                <wp:effectExtent l="0" t="0" r="0" b="0"/>
                <wp:wrapNone/>
                <wp:docPr id="89" name="直接箭头连接符 89"/>
                <wp:cNvGraphicFramePr/>
                <a:graphic xmlns:a="http://schemas.openxmlformats.org/drawingml/2006/main">
                  <a:graphicData uri="http://schemas.microsoft.com/office/word/2010/wordprocessingShape">
                    <wps:wsp>
                      <wps:cNvCnPr/>
                      <wps:spPr>
                        <a:xfrm flipH="1">
                          <a:off x="0" y="0"/>
                          <a:ext cx="23876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margin-left:209.45pt;margin-top:13.25pt;height:0pt;width:18.8pt;z-index:251662336;mso-width-relative:page;mso-height-relative:page;" filled="f" stroked="t" coordsize="21600,21600" o:gfxdata="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rrGRvWAAAACQEAAA8AAAAAAAAAAQAgAAAAIgAA&#10;AGRycy9kb3ducmV2LnhtbFBLAQIUABQAAAAIAIdO4kDh0fdpCgIAAAEEAAAOAAAAAAAAAAEAIAAA&#10;ACUBAABkcnMvZTJvRG9jLnhtbFBLBQYAAAAABgAGAFkBAAChBQAAAAA=&#10;">
                <v:fill on="f" focussize="0,0"/>
                <v:stroke color="#000000" joinstyle="round"/>
                <v:imagedata o:title=""/>
                <o:lock v:ext="edit" aspectratio="f"/>
              </v:shape>
            </w:pict>
          </mc:Fallback>
        </mc:AlternateContent>
      </w:r>
    </w:p>
    <w:p w14:paraId="411B4EC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65408" behindDoc="0" locked="0" layoutInCell="1" allowOverlap="1">
                <wp:simplePos x="0" y="0"/>
                <wp:positionH relativeFrom="column">
                  <wp:posOffset>5365115</wp:posOffset>
                </wp:positionH>
                <wp:positionV relativeFrom="paragraph">
                  <wp:posOffset>242570</wp:posOffset>
                </wp:positionV>
                <wp:extent cx="0" cy="240665"/>
                <wp:effectExtent l="5080" t="0" r="13970" b="6985"/>
                <wp:wrapNone/>
                <wp:docPr id="101" name="直接箭头连接符 101"/>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22.45pt;margin-top:19.1pt;height:18.95pt;width:0pt;z-index:251665408;mso-width-relative:page;mso-height-relative:page;" filled="f" stroked="t" coordsize="21600,21600" o:gfxdata="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XFkk1wAAAAkBAAAPAAAAAAAAAAEAIAAAACIAAABkcnMvZG93&#10;bnJldi54bWxQSwECFAAUAAAACACHTuJAHvNsnwECAAD5AwAADgAAAAAAAAABACAAAAAmAQAAZHJz&#10;L2Uyb0RvYy54bWxQSwUGAAAAAAYABgBZAQAAmQU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73600" behindDoc="0" locked="0" layoutInCell="1" allowOverlap="1">
                <wp:simplePos x="0" y="0"/>
                <wp:positionH relativeFrom="column">
                  <wp:posOffset>4688840</wp:posOffset>
                </wp:positionH>
                <wp:positionV relativeFrom="paragraph">
                  <wp:posOffset>245110</wp:posOffset>
                </wp:positionV>
                <wp:extent cx="0" cy="240665"/>
                <wp:effectExtent l="5080" t="0" r="13970" b="6985"/>
                <wp:wrapNone/>
                <wp:docPr id="96" name="直接箭头连接符 96"/>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69.2pt;margin-top:19.3pt;height:18.95pt;width:0pt;z-index:251673600;mso-width-relative:page;mso-height-relative:page;" filled="f" stroked="t" coordsize="21600,21600" o:gfxdata="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0+p8Qy&#10;gzd+8/Hq14cvNz++//x89fv6U7K/fSV4jmJ1HkrMWdlNGHbgNyExP9TBpD9yIocs8PEksDxEwnsn&#10;R+/06Xg+nyW44j7PB4gvpTMkGRWFGJhq2rhy1uItujDJ+rL9K4h94l1CKqot6ZDCbDqjhDOcyhqn&#10;AU3jkRnYJueC00pcKq1TBoRmu9KB7FmajPwNDf0VloqsGbR9XD5KYawMbmdFtlrJxAsrSDx6FM/i&#10;o6GpGSMFJVriG0tWjoxM6XMiURVtUZwkdi9vsrZOHLPq2Y/zkOUbZjcN3J/7nH3/Xpe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7IJ9cAAAAJAQAADwAAAAAAAAABACAAAAAiAAAAZHJzL2Rvd25y&#10;ZXYueG1sUEsBAhQAFAAAAAgAh07iQGLIKRX/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6432" behindDoc="0" locked="0" layoutInCell="1" allowOverlap="1">
                <wp:simplePos x="0" y="0"/>
                <wp:positionH relativeFrom="column">
                  <wp:posOffset>4012565</wp:posOffset>
                </wp:positionH>
                <wp:positionV relativeFrom="paragraph">
                  <wp:posOffset>247015</wp:posOffset>
                </wp:positionV>
                <wp:extent cx="0" cy="240665"/>
                <wp:effectExtent l="5080" t="0" r="13970" b="6985"/>
                <wp:wrapNone/>
                <wp:docPr id="91" name="直接箭头连接符 91"/>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5.95pt;margin-top:19.45pt;height:18.95pt;width:0pt;z-index:251666432;mso-width-relative:page;mso-height-relative:page;" filled="f" stroked="t" coordsize="21600,21600" o:gfxdata="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cncf1gAAAAkBAAAPAAAAAAAAAAEAIAAAACIAAABkcnMvZG93bnJl&#10;di54bWxQSwECFAAUAAAACACHTuJAXSwXkf8BAAD3AwAADgAAAAAAAAABACAAAAAlAQAAZHJzL2Uy&#10;b0RvYy54bWxQSwUGAAAAAAYABgBZAQAAlgU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7456" behindDoc="0" locked="0" layoutInCell="1" allowOverlap="1">
                <wp:simplePos x="0" y="0"/>
                <wp:positionH relativeFrom="column">
                  <wp:posOffset>3336290</wp:posOffset>
                </wp:positionH>
                <wp:positionV relativeFrom="paragraph">
                  <wp:posOffset>247015</wp:posOffset>
                </wp:positionV>
                <wp:extent cx="0" cy="240665"/>
                <wp:effectExtent l="5080" t="0" r="13970" b="6985"/>
                <wp:wrapNone/>
                <wp:docPr id="98" name="直接箭头连接符 98"/>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62.7pt;margin-top:19.45pt;height:18.95pt;width:0pt;z-index:251667456;mso-width-relative:page;mso-height-relative:page;" filled="f" stroked="t" coordsize="21600,21600" o:gfxdata="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2O926Z&#10;wRu/+Xj168OXmx/ff36++n39KdnfvhI8R7E6DyXmrOwmDDvwm5CYH+pg0h85kUMW+HgSWB4i4b2T&#10;o3f6dDyfzxJccZ/nA8SX0hmSjIpCDEw1bVw5a/EWXZhkfdn+FcQ+8S4hFdWWdEhhNp1RwhlOZY3T&#10;gKbxyAxsk3PBaSUuldYpA0KzXelA9ixNRv6Ghv4KS0XWDNo+Lh+lMFYGt7MiW61k4oUVJB49imfx&#10;0dDUjJGCEi3xjSUrR0am9DmRqIq2KE4Su5c3WVsnjln17Md5yPINs5sG7s99zr5/r8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143NcAAAAJAQAADwAAAAAAAAABACAAAAAiAAAAZHJzL2Rvd25y&#10;ZXYueG1sUEsBAhQAFAAAAAgAh07iQF0GJcb/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70528" behindDoc="0" locked="0" layoutInCell="1" allowOverlap="1">
                <wp:simplePos x="0" y="0"/>
                <wp:positionH relativeFrom="column">
                  <wp:posOffset>1984375</wp:posOffset>
                </wp:positionH>
                <wp:positionV relativeFrom="paragraph">
                  <wp:posOffset>247015</wp:posOffset>
                </wp:positionV>
                <wp:extent cx="0" cy="240665"/>
                <wp:effectExtent l="5080" t="0" r="13970" b="6985"/>
                <wp:wrapNone/>
                <wp:docPr id="92" name="直接箭头连接符 92"/>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56.25pt;margin-top:19.45pt;height:18.95pt;width:0pt;z-index:251670528;mso-width-relative:page;mso-height-relative:page;" filled="f" stroked="t" coordsize="21600,21600" o:gfxdata="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0+pcQy&#10;gzd+8/Hq14cvNz++//x89fv6U7K/fSV4jmJ1HkrMWdlNGHbgNyExP9TBpD9yIocs8PEksDxEwnsn&#10;R+/06Xg+nyW44j7PB4gvpTMkGRWFGJhq2rhy1uItujDJ+rL9K4h94l1CKqot6ZDCbDqjhDOcyhqn&#10;AU3jkRnYJueC00pcKq1TBoRmu9KB7FmajPwNDf0VloqsGbR9XD5KYawMbmdFtlrJxAsrSDx6FM/i&#10;o6GpGSMFJVriG0tWjoxM6XMiURVtUZwkdi9vsrZOHLPq2Y/zkOUbZjcN3J/7nH3/Xpe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1iiQNcAAAAJAQAADwAAAAAAAAABACAAAAAiAAAAZHJzL2Rvd25y&#10;ZXYueG1sUEsBAhQAFAAAAAgAh07iQGuWigf/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9504" behindDoc="0" locked="0" layoutInCell="1" allowOverlap="1">
                <wp:simplePos x="0" y="0"/>
                <wp:positionH relativeFrom="column">
                  <wp:posOffset>1308100</wp:posOffset>
                </wp:positionH>
                <wp:positionV relativeFrom="paragraph">
                  <wp:posOffset>247015</wp:posOffset>
                </wp:positionV>
                <wp:extent cx="0" cy="240665"/>
                <wp:effectExtent l="5080" t="0" r="13970" b="6985"/>
                <wp:wrapNone/>
                <wp:docPr id="94" name="直接箭头连接符 94"/>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03pt;margin-top:19.45pt;height:18.95pt;width:0pt;z-index:251669504;mso-width-relative:page;mso-height-relative:page;" filled="f" stroked="t" coordsize="21600,21600" o:gfxdata="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AELGHXAAAACQEAAA8AAAAAAAAAAQAgAAAAIgAAAGRycy9kb3du&#10;cmV2LnhtbFBLAQIUABQAAAAIAIdO4kBG5MDxAAIAAPcDAAAOAAAAAAAAAAEAIAAAACYBAABkcnMv&#10;ZTJvRG9jLnhtbFBLBQYAAAAABgAGAFkBAACYBQ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241300</wp:posOffset>
                </wp:positionV>
                <wp:extent cx="0" cy="240665"/>
                <wp:effectExtent l="5080" t="0" r="13970" b="6985"/>
                <wp:wrapNone/>
                <wp:docPr id="93" name="直接箭头连接符 93"/>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45pt;margin-top:19pt;height:18.95pt;width:0pt;z-index:251664384;mso-width-relative:page;mso-height-relative:page;" filled="f" stroked="t" coordsize="21600,21600" o:gfxdata="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QOkDVAAAABwEAAA8AAAAAAAAAAQAgAAAAIgAAAGRycy9kb3ducmV2&#10;LnhtbFBLAQIUABQAAAAIAIdO4kB5AP51/wEAAPcDAAAOAAAAAAAAAAEAIAAAACQBAABkcnMvZTJv&#10;RG9jLnhtbFBLBQYAAAAABgAGAFkBAACVBQ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72576" behindDoc="0" locked="0" layoutInCell="1" allowOverlap="1">
                <wp:simplePos x="0" y="0"/>
                <wp:positionH relativeFrom="column">
                  <wp:posOffset>631825</wp:posOffset>
                </wp:positionH>
                <wp:positionV relativeFrom="paragraph">
                  <wp:posOffset>240030</wp:posOffset>
                </wp:positionV>
                <wp:extent cx="0" cy="240665"/>
                <wp:effectExtent l="5080" t="0" r="13970" b="6985"/>
                <wp:wrapNone/>
                <wp:docPr id="100" name="直接箭头连接符 100"/>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9.75pt;margin-top:18.9pt;height:18.95pt;width:0pt;z-index:251672576;mso-width-relative:page;mso-height-relative:page;" filled="f" stroked="t" coordsize="21600,21600" o:gfxdata="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eAxd1QAAAAcBAAAPAAAAAAAAAAEAIAAAACIAAABkcnMvZG93bnJl&#10;di54bWxQSwECFAAUAAAACACHTuJAySlzxwACAAD5AwAADgAAAAAAAAABACAAAAAkAQAAZHJzL2Uy&#10;b0RvYy54bWxQSwUGAAAAAAYABgBZAQAAlgU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252730</wp:posOffset>
                </wp:positionV>
                <wp:extent cx="0" cy="240665"/>
                <wp:effectExtent l="5080" t="0" r="13970" b="6985"/>
                <wp:wrapNone/>
                <wp:docPr id="90" name="直接箭头连接符 90"/>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9.5pt;margin-top:19.9pt;height:18.95pt;width:0pt;z-index:251668480;mso-width-relative:page;mso-height-relative:page;" filled="f" stroked="t" coordsize="21600,21600" o:gfxdata="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2Oklhm&#10;8MZvPl79+vDl5sf3n5+vfl9/Sva3rwTPUazOQ4k5K7sJww78JiTmhzqY9EdO5JAFPp4ElodIeO/k&#10;6J0+Hc/nswRX3Of5APGldIYko6IQA1NNG1fOWrxFFyZZX7Z/BbFPvEtIRbUlHVKYTWeUcIZTWeM0&#10;oGk8MgPb5FxwWolLpXXKgNBsVzqQPUuTkb+hob/CUpE1g7aPy0cpjJXB7azIViuZeGEFiUeP4ll8&#10;NDQ1Y6SgREt8Y8nKkZEpfU4kqqItipPE7uVN1taJY1Y9+3EesnzD7KaB+3Ofs+/f6/IW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MD/otcAAAAJAQAADwAAAAAAAAABACAAAAAiAAAAZHJzL2Rvd25y&#10;ZXYueG1sUEsBAhQAFAAAAAgAh07iQE+6Y+P/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243840</wp:posOffset>
                </wp:positionV>
                <wp:extent cx="5408930" cy="0"/>
                <wp:effectExtent l="0" t="0" r="0" b="0"/>
                <wp:wrapNone/>
                <wp:docPr id="95" name="直接箭头连接符 95"/>
                <wp:cNvGraphicFramePr/>
                <a:graphic xmlns:a="http://schemas.openxmlformats.org/drawingml/2006/main">
                  <a:graphicData uri="http://schemas.microsoft.com/office/word/2010/wordprocessingShape">
                    <wps:wsp>
                      <wps:cNvCnPr/>
                      <wps:spPr>
                        <a:xfrm>
                          <a:off x="0" y="0"/>
                          <a:ext cx="540893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45pt;margin-top:19.2pt;height:0pt;width:425.9pt;z-index:251663360;mso-width-relative:page;mso-height-relative:page;" filled="f" stroked="t" coordsize="21600,21600" o:gfxdata="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6MX41gAAAAgBAAAPAAAAAAAAAAEAIAAAACIAAABkcnMvZG93&#10;bnJldi54bWxQSwECFAAUAAAACACHTuJAPzNvOQICAAD4AwAADgAAAAAAAAABACAAAAAlAQAAZHJz&#10;L2Uyb0RvYy54bWxQSwUGAAAAAAYABgBZAQAAmQUAAAAA&#10;">
                <v:fill on="f" focussize="0,0"/>
                <v:stroke color="#000000" joinstyle="round"/>
                <v:imagedata o:title=""/>
                <o:lock v:ext="edit" aspectratio="f"/>
              </v:shape>
            </w:pict>
          </mc:Fallback>
        </mc:AlternateContent>
      </w:r>
    </w:p>
    <w:p w14:paraId="54D4FDD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mc:AlternateContent>
          <mc:Choice Requires="wps">
            <w:drawing>
              <wp:anchor distT="0" distB="0" distL="114300" distR="114300" simplePos="0" relativeHeight="251674624" behindDoc="0" locked="0" layoutInCell="1" allowOverlap="1">
                <wp:simplePos x="0" y="0"/>
                <wp:positionH relativeFrom="column">
                  <wp:posOffset>3741420</wp:posOffset>
                </wp:positionH>
                <wp:positionV relativeFrom="paragraph">
                  <wp:posOffset>200660</wp:posOffset>
                </wp:positionV>
                <wp:extent cx="539750" cy="1091565"/>
                <wp:effectExtent l="4445" t="5080" r="8255" b="8255"/>
                <wp:wrapNone/>
                <wp:docPr id="4" name="文本框 4"/>
                <wp:cNvGraphicFramePr/>
                <a:graphic xmlns:a="http://schemas.openxmlformats.org/drawingml/2006/main">
                  <a:graphicData uri="http://schemas.microsoft.com/office/word/2010/wordprocessingShape">
                    <wps:wsp>
                      <wps:cNvSpPr txBox="1"/>
                      <wps:spPr>
                        <a:xfrm>
                          <a:off x="0" y="0"/>
                          <a:ext cx="539750" cy="1091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B30FD5">
                            <w:pPr>
                              <w:pStyle w:val="21"/>
                              <w:bidi w:val="0"/>
                              <w:rPr>
                                <w:b w:val="0"/>
                                <w:bCs/>
                              </w:rPr>
                            </w:pPr>
                            <w:r>
                              <w:rPr>
                                <w:rFonts w:hint="eastAsia"/>
                                <w:b w:val="0"/>
                                <w:bCs/>
                                <w:lang w:val="en-US" w:eastAsia="zh-CN"/>
                              </w:rPr>
                              <w:t>社会维稳</w:t>
                            </w:r>
                            <w:r>
                              <w:rPr>
                                <w:rFonts w:hint="eastAsia"/>
                                <w:b w:val="0"/>
                                <w:bCs/>
                              </w:rPr>
                              <w:t>组</w:t>
                            </w:r>
                          </w:p>
                          <w:p w14:paraId="647958E5"/>
                        </w:txbxContent>
                      </wps:txbx>
                      <wps:bodyPr vert="eaVert" upright="1"/>
                    </wps:wsp>
                  </a:graphicData>
                </a:graphic>
              </wp:anchor>
            </w:drawing>
          </mc:Choice>
          <mc:Fallback>
            <w:pict>
              <v:shape id="_x0000_s1026" o:spid="_x0000_s1026" o:spt="202" type="#_x0000_t202" style="position:absolute;left:0pt;margin-left:294.6pt;margin-top:15.8pt;height:85.95pt;width:42.5pt;z-index:251674624;mso-width-relative:page;mso-height-relative:page;" fillcolor="#FFFFFF" filled="t" stroked="t" coordsize="21600,21600" o:gfxdata="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p+igbZAAAACgEAAA8A&#10;AAAAAAAAAQAgAAAAIgAAAGRycy9kb3ducmV2LnhtbFBLAQIUABQAAAAIAIdO4kBLFfAHFgIAAEQE&#10;AAAOAAAAAAAAAAEAIAAAACgBAABkcnMvZTJvRG9jLnhtbFBLBQYAAAAABgAGAFkBAACwBQAAAAA=&#10;">
                <v:fill on="t" focussize="0,0"/>
                <v:stroke color="#000000" joinstyle="miter"/>
                <v:imagedata o:title=""/>
                <o:lock v:ext="edit" aspectratio="f"/>
                <v:textbox style="layout-flow:vertical-ideographic;">
                  <w:txbxContent>
                    <w:p w14:paraId="04B30FD5">
                      <w:pPr>
                        <w:pStyle w:val="21"/>
                        <w:bidi w:val="0"/>
                        <w:rPr>
                          <w:b w:val="0"/>
                          <w:bCs/>
                        </w:rPr>
                      </w:pPr>
                      <w:r>
                        <w:rPr>
                          <w:rFonts w:hint="eastAsia"/>
                          <w:b w:val="0"/>
                          <w:bCs/>
                          <w:lang w:val="en-US" w:eastAsia="zh-CN"/>
                        </w:rPr>
                        <w:t>社会维稳</w:t>
                      </w:r>
                      <w:r>
                        <w:rPr>
                          <w:rFonts w:hint="eastAsia"/>
                          <w:b w:val="0"/>
                          <w:bCs/>
                        </w:rPr>
                        <w:t>组</w:t>
                      </w:r>
                    </w:p>
                    <w:p w14:paraId="647958E5"/>
                  </w:txbxContent>
                </v:textbox>
              </v:shape>
            </w:pict>
          </mc:Fallback>
        </mc:AlternateContent>
      </w:r>
      <w:r>
        <w:rPr>
          <w:rFonts w:hint="eastAsia" w:ascii="宋体" w:hAnsi="宋体" w:eastAsia="宋体" w:cs="宋体"/>
          <w:sz w:val="24"/>
          <w:szCs w:val="22"/>
        </w:rPr>
        <mc:AlternateContent>
          <mc:Choice Requires="wpg">
            <w:drawing>
              <wp:anchor distT="0" distB="0" distL="114300" distR="114300" simplePos="0" relativeHeight="251671552" behindDoc="0" locked="0" layoutInCell="1" allowOverlap="1">
                <wp:simplePos x="0" y="0"/>
                <wp:positionH relativeFrom="column">
                  <wp:posOffset>-321945</wp:posOffset>
                </wp:positionH>
                <wp:positionV relativeFrom="paragraph">
                  <wp:posOffset>196215</wp:posOffset>
                </wp:positionV>
                <wp:extent cx="5954395" cy="1101725"/>
                <wp:effectExtent l="5080" t="4445" r="22225" b="17780"/>
                <wp:wrapNone/>
                <wp:docPr id="111" name="组合 111"/>
                <wp:cNvGraphicFramePr/>
                <a:graphic xmlns:a="http://schemas.openxmlformats.org/drawingml/2006/main">
                  <a:graphicData uri="http://schemas.microsoft.com/office/word/2010/wordprocessingGroup">
                    <wpg:wgp>
                      <wpg:cNvGrpSpPr/>
                      <wpg:grpSpPr>
                        <a:xfrm>
                          <a:off x="0" y="0"/>
                          <a:ext cx="5954395" cy="1101725"/>
                          <a:chOff x="1214" y="9271"/>
                          <a:chExt cx="9377" cy="1642"/>
                        </a:xfrm>
                      </wpg:grpSpPr>
                      <wps:wsp>
                        <wps:cNvPr id="102" name="文本框 102"/>
                        <wps:cNvSpPr txBox="1"/>
                        <wps:spPr>
                          <a:xfrm>
                            <a:off x="1214"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12508">
                              <w:pPr>
                                <w:pStyle w:val="21"/>
                                <w:bidi w:val="0"/>
                                <w:rPr>
                                  <w:b w:val="0"/>
                                  <w:bCs/>
                                </w:rPr>
                              </w:pPr>
                              <w:r>
                                <w:rPr>
                                  <w:rFonts w:hint="eastAsia"/>
                                  <w:b w:val="0"/>
                                  <w:bCs/>
                                  <w:lang w:val="en-US" w:eastAsia="zh-CN"/>
                                </w:rPr>
                                <w:t>综合协调</w:t>
                              </w:r>
                              <w:r>
                                <w:rPr>
                                  <w:rFonts w:hint="eastAsia"/>
                                  <w:b w:val="0"/>
                                  <w:bCs/>
                                </w:rPr>
                                <w:t>组</w:t>
                              </w:r>
                            </w:p>
                            <w:p w14:paraId="7007C459">
                              <w:pPr>
                                <w:pStyle w:val="21"/>
                                <w:bidi w:val="0"/>
                                <w:rPr>
                                  <w:rFonts w:hint="eastAsia"/>
                                  <w:b w:val="0"/>
                                  <w:bCs/>
                                  <w:lang w:val="en-US" w:eastAsia="zh-CN"/>
                                </w:rPr>
                              </w:pPr>
                            </w:p>
                          </w:txbxContent>
                        </wps:txbx>
                        <wps:bodyPr vert="eaVert" upright="1"/>
                      </wps:wsp>
                      <wps:wsp>
                        <wps:cNvPr id="103" name="文本框 103"/>
                        <wps:cNvSpPr txBox="1"/>
                        <wps:spPr>
                          <a:xfrm>
                            <a:off x="2279" y="9286"/>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FB5F02">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wps:txbx>
                        <wps:bodyPr vert="eaVert" upright="1"/>
                      </wps:wsp>
                      <wps:wsp>
                        <wps:cNvPr id="104" name="文本框 104"/>
                        <wps:cNvSpPr txBox="1"/>
                        <wps:spPr>
                          <a:xfrm>
                            <a:off x="3345"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97D16">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wps:txbx>
                        <wps:bodyPr vert="eaVert" upright="1"/>
                      </wps:wsp>
                      <wps:wsp>
                        <wps:cNvPr id="105" name="文本框 105"/>
                        <wps:cNvSpPr txBox="1"/>
                        <wps:spPr>
                          <a:xfrm>
                            <a:off x="5477"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F89CE">
                              <w:pPr>
                                <w:pStyle w:val="21"/>
                                <w:bidi w:val="0"/>
                                <w:rPr>
                                  <w:rFonts w:ascii="Calibri" w:hAnsi="Calibri" w:eastAsia="仿宋"/>
                                  <w:spacing w:val="20"/>
                                  <w:szCs w:val="24"/>
                                </w:rPr>
                              </w:pPr>
                              <w:r>
                                <w:rPr>
                                  <w:rFonts w:hint="eastAsia"/>
                                  <w:b w:val="0"/>
                                  <w:bCs/>
                                  <w:lang w:val="en-US" w:eastAsia="zh-CN"/>
                                </w:rPr>
                                <w:t>后勤保障</w:t>
                              </w:r>
                              <w:r>
                                <w:rPr>
                                  <w:rFonts w:hint="eastAsia"/>
                                  <w:b w:val="0"/>
                                  <w:bCs/>
                                </w:rPr>
                                <w:t>组</w:t>
                              </w:r>
                            </w:p>
                          </w:txbxContent>
                        </wps:txbx>
                        <wps:bodyPr vert="eaVert" upright="1"/>
                      </wps:wsp>
                      <wps:wsp>
                        <wps:cNvPr id="106" name="文本框 106"/>
                        <wps:cNvSpPr txBox="1"/>
                        <wps:spPr>
                          <a:xfrm>
                            <a:off x="6543" y="9271"/>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29B6FD">
                              <w:pPr>
                                <w:pStyle w:val="21"/>
                                <w:bidi w:val="0"/>
                                <w:rPr>
                                  <w:rFonts w:ascii="Calibri" w:hAnsi="Calibri" w:eastAsia="仿宋"/>
                                  <w:spacing w:val="20"/>
                                  <w:szCs w:val="24"/>
                                </w:rPr>
                              </w:pPr>
                              <w:r>
                                <w:rPr>
                                  <w:rFonts w:hint="eastAsia"/>
                                  <w:b w:val="0"/>
                                  <w:bCs/>
                                  <w:lang w:val="en-US" w:eastAsia="zh-CN"/>
                                </w:rPr>
                                <w:t>警戒疏散</w:t>
                              </w:r>
                              <w:r>
                                <w:rPr>
                                  <w:rFonts w:hint="eastAsia"/>
                                  <w:b w:val="0"/>
                                  <w:bCs/>
                                </w:rPr>
                                <w:t>组</w:t>
                              </w:r>
                            </w:p>
                            <w:p w14:paraId="133EA93A"/>
                          </w:txbxContent>
                        </wps:txbx>
                        <wps:bodyPr vert="eaVert" upright="1"/>
                      </wps:wsp>
                      <wps:wsp>
                        <wps:cNvPr id="108" name="文本框 108"/>
                        <wps:cNvSpPr txBox="1"/>
                        <wps:spPr>
                          <a:xfrm>
                            <a:off x="4411"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20F62">
                              <w:pPr>
                                <w:pStyle w:val="21"/>
                                <w:bidi w:val="0"/>
                                <w:rPr>
                                  <w:rFonts w:ascii="Calibri" w:hAnsi="Calibri" w:eastAsia="仿宋"/>
                                  <w:spacing w:val="20"/>
                                  <w:szCs w:val="24"/>
                                </w:rPr>
                              </w:pPr>
                              <w:r>
                                <w:rPr>
                                  <w:rFonts w:hint="eastAsia"/>
                                  <w:b w:val="0"/>
                                  <w:bCs/>
                                  <w:lang w:val="en-US" w:eastAsia="zh-CN"/>
                                </w:rPr>
                                <w:t>医疗救援</w:t>
                              </w:r>
                              <w:r>
                                <w:rPr>
                                  <w:rFonts w:hint="eastAsia"/>
                                  <w:b w:val="0"/>
                                  <w:bCs/>
                                </w:rPr>
                                <w:t>组</w:t>
                              </w:r>
                            </w:p>
                          </w:txbxContent>
                        </wps:txbx>
                        <wps:bodyPr vert="eaVert" upright="1"/>
                      </wps:wsp>
                      <wps:wsp>
                        <wps:cNvPr id="109" name="文本框 109"/>
                        <wps:cNvSpPr txBox="1"/>
                        <wps:spPr>
                          <a:xfrm>
                            <a:off x="8675" y="9286"/>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036B10">
                              <w:pPr>
                                <w:pStyle w:val="21"/>
                                <w:bidi w:val="0"/>
                                <w:rPr>
                                  <w:b w:val="0"/>
                                  <w:bCs/>
                                </w:rPr>
                              </w:pPr>
                              <w:r>
                                <w:rPr>
                                  <w:rFonts w:hint="eastAsia"/>
                                  <w:b w:val="0"/>
                                  <w:bCs/>
                                  <w:lang w:val="en-US" w:eastAsia="zh-CN"/>
                                </w:rPr>
                                <w:t>新闻宣传</w:t>
                              </w:r>
                              <w:r>
                                <w:rPr>
                                  <w:rFonts w:hint="eastAsia"/>
                                  <w:b w:val="0"/>
                                  <w:bCs/>
                                </w:rPr>
                                <w:t>组</w:t>
                              </w:r>
                            </w:p>
                            <w:p w14:paraId="5801F340">
                              <w:pPr>
                                <w:rPr>
                                  <w:rFonts w:hint="eastAsia"/>
                                </w:rPr>
                              </w:pPr>
                            </w:p>
                          </w:txbxContent>
                        </wps:txbx>
                        <wps:bodyPr vert="eaVert" upright="1"/>
                      </wps:wsp>
                      <wps:wsp>
                        <wps:cNvPr id="110" name="文本框 110"/>
                        <wps:cNvSpPr txBox="1"/>
                        <wps:spPr>
                          <a:xfrm>
                            <a:off x="9741" y="9286"/>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95C4AD">
                              <w:pPr>
                                <w:pStyle w:val="21"/>
                                <w:bidi w:val="0"/>
                                <w:rPr>
                                  <w:b w:val="0"/>
                                  <w:bCs/>
                                </w:rPr>
                              </w:pPr>
                              <w:r>
                                <w:rPr>
                                  <w:rFonts w:hint="eastAsia"/>
                                  <w:b w:val="0"/>
                                  <w:bCs/>
                                  <w:lang w:val="en-US" w:eastAsia="zh-CN"/>
                                </w:rPr>
                                <w:t>专家咨询组</w:t>
                              </w:r>
                            </w:p>
                          </w:txbxContent>
                        </wps:txbx>
                        <wps:bodyPr vert="eaVert" upright="1"/>
                      </wps:wsp>
                    </wpg:wgp>
                  </a:graphicData>
                </a:graphic>
              </wp:anchor>
            </w:drawing>
          </mc:Choice>
          <mc:Fallback>
            <w:pict>
              <v:group id="_x0000_s1026" o:spid="_x0000_s1026" o:spt="203" style="position:absolute;left:0pt;margin-left:-25.35pt;margin-top:15.45pt;height:86.75pt;width:468.85pt;z-index:251671552;mso-width-relative:page;mso-height-relative:page;" coordorigin="1214,9271" coordsize="9377,1642" o:gfxdata="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S87cztsAAAAKAQAADwAAAAAAAAABACAAAAAiAAAAZHJzL2Rvd25yZXYueG1sUEsBAhQA&#10;FAAAAAgAh07iQHIND0ZFAwAAYxYAAA4AAAAAAAAAAQAgAAAAKgEAAGRycy9lMm9Eb2MueG1sUEsF&#10;BgAAAAAGAAYAWQEAAOEGAAAAAA==&#10;">
                <o:lock v:ext="edit" aspectratio="f"/>
                <v:shape id="_x0000_s1026" o:spid="_x0000_s1026" o:spt="202" type="#_x0000_t202" style="position:absolute;left:1214;top:9285;height:1627;width:850;" fillcolor="#FFFFFF" filled="t" stroked="t" coordsize="21600,21600" o:gfxdata="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876s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05C12508">
                        <w:pPr>
                          <w:pStyle w:val="21"/>
                          <w:bidi w:val="0"/>
                          <w:rPr>
                            <w:b w:val="0"/>
                            <w:bCs/>
                          </w:rPr>
                        </w:pPr>
                        <w:r>
                          <w:rPr>
                            <w:rFonts w:hint="eastAsia"/>
                            <w:b w:val="0"/>
                            <w:bCs/>
                            <w:lang w:val="en-US" w:eastAsia="zh-CN"/>
                          </w:rPr>
                          <w:t>综合协调</w:t>
                        </w:r>
                        <w:r>
                          <w:rPr>
                            <w:rFonts w:hint="eastAsia"/>
                            <w:b w:val="0"/>
                            <w:bCs/>
                          </w:rPr>
                          <w:t>组</w:t>
                        </w:r>
                      </w:p>
                      <w:p w14:paraId="7007C459">
                        <w:pPr>
                          <w:pStyle w:val="21"/>
                          <w:bidi w:val="0"/>
                          <w:rPr>
                            <w:rFonts w:hint="eastAsia"/>
                            <w:b w:val="0"/>
                            <w:bCs/>
                            <w:lang w:val="en-US" w:eastAsia="zh-CN"/>
                          </w:rPr>
                        </w:pPr>
                      </w:p>
                    </w:txbxContent>
                  </v:textbox>
                </v:shape>
                <v:shape id="_x0000_s1026" o:spid="_x0000_s1026" o:spt="202" type="#_x0000_t202" style="position:absolute;left:2279;top:9286;height:1627;width:850;" fillcolor="#FFFFFF" filled="t" stroked="t" coordsize="21600,21600" o:gfxdata="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vxs3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73FB5F02">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v:textbox>
                </v:shape>
                <v:shape id="_x0000_s1026" o:spid="_x0000_s1026" o:spt="202" type="#_x0000_t202" style="position:absolute;left:3345;top:9285;height:1627;width:850;" fillcolor="#FFFFFF" filled="t" stroked="t" coordsize="21600,21600" o:gfxdata="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VoND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4A297D16">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v:textbox>
                </v:shape>
                <v:shape id="_x0000_s1026" o:spid="_x0000_s1026" o:spt="202" type="#_x0000_t202" style="position:absolute;left:5477;top:9285;height:1627;width:850;" fillcolor="#FFFFFF" filled="t" stroked="t" coordsize="21600,21600" o:gfxdata="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ibY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0B6F89CE">
                        <w:pPr>
                          <w:pStyle w:val="21"/>
                          <w:bidi w:val="0"/>
                          <w:rPr>
                            <w:rFonts w:ascii="Calibri" w:hAnsi="Calibri" w:eastAsia="仿宋"/>
                            <w:spacing w:val="20"/>
                            <w:szCs w:val="24"/>
                          </w:rPr>
                        </w:pPr>
                        <w:r>
                          <w:rPr>
                            <w:rFonts w:hint="eastAsia"/>
                            <w:b w:val="0"/>
                            <w:bCs/>
                            <w:lang w:val="en-US" w:eastAsia="zh-CN"/>
                          </w:rPr>
                          <w:t>后勤保障</w:t>
                        </w:r>
                        <w:r>
                          <w:rPr>
                            <w:rFonts w:hint="eastAsia"/>
                            <w:b w:val="0"/>
                            <w:bCs/>
                          </w:rPr>
                          <w:t>组</w:t>
                        </w:r>
                      </w:p>
                    </w:txbxContent>
                  </v:textbox>
                </v:shape>
                <v:shape id="_x0000_s1026" o:spid="_x0000_s1026" o:spt="202" type="#_x0000_t202" style="position:absolute;left:6543;top:9271;height:1627;width:850;" fillcolor="#FFFFFF" filled="t" stroked="t" coordsize="21600,21600" o:gfxdata="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yLi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5929B6FD">
                        <w:pPr>
                          <w:pStyle w:val="21"/>
                          <w:bidi w:val="0"/>
                          <w:rPr>
                            <w:rFonts w:ascii="Calibri" w:hAnsi="Calibri" w:eastAsia="仿宋"/>
                            <w:spacing w:val="20"/>
                            <w:szCs w:val="24"/>
                          </w:rPr>
                        </w:pPr>
                        <w:r>
                          <w:rPr>
                            <w:rFonts w:hint="eastAsia"/>
                            <w:b w:val="0"/>
                            <w:bCs/>
                            <w:lang w:val="en-US" w:eastAsia="zh-CN"/>
                          </w:rPr>
                          <w:t>警戒疏散</w:t>
                        </w:r>
                        <w:r>
                          <w:rPr>
                            <w:rFonts w:hint="eastAsia"/>
                            <w:b w:val="0"/>
                            <w:bCs/>
                          </w:rPr>
                          <w:t>组</w:t>
                        </w:r>
                      </w:p>
                      <w:p w14:paraId="133EA93A"/>
                    </w:txbxContent>
                  </v:textbox>
                </v:shape>
                <v:shape id="_x0000_s1026" o:spid="_x0000_s1026" o:spt="202" type="#_x0000_t202" style="position:absolute;left:4411;top:9285;height:1627;width:850;" fillcolor="#FFFFFF" filled="t" stroked="t" coordsize="21600,21600" o:gfxdata="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4l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14:paraId="5AB20F62">
                        <w:pPr>
                          <w:pStyle w:val="21"/>
                          <w:bidi w:val="0"/>
                          <w:rPr>
                            <w:rFonts w:ascii="Calibri" w:hAnsi="Calibri" w:eastAsia="仿宋"/>
                            <w:spacing w:val="20"/>
                            <w:szCs w:val="24"/>
                          </w:rPr>
                        </w:pPr>
                        <w:r>
                          <w:rPr>
                            <w:rFonts w:hint="eastAsia"/>
                            <w:b w:val="0"/>
                            <w:bCs/>
                            <w:lang w:val="en-US" w:eastAsia="zh-CN"/>
                          </w:rPr>
                          <w:t>医疗救援</w:t>
                        </w:r>
                        <w:r>
                          <w:rPr>
                            <w:rFonts w:hint="eastAsia"/>
                            <w:b w:val="0"/>
                            <w:bCs/>
                          </w:rPr>
                          <w:t>组</w:t>
                        </w:r>
                      </w:p>
                    </w:txbxContent>
                  </v:textbox>
                </v:shape>
                <v:shape id="_x0000_s1026" o:spid="_x0000_s1026" o:spt="202" type="#_x0000_t202" style="position:absolute;left:8675;top:9286;height:1627;width:850;" fillcolor="#FFFFFF" filled="t" stroked="t" coordsize="21600,21600" o:gfxdata="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Vyzd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00036B10">
                        <w:pPr>
                          <w:pStyle w:val="21"/>
                          <w:bidi w:val="0"/>
                          <w:rPr>
                            <w:b w:val="0"/>
                            <w:bCs/>
                          </w:rPr>
                        </w:pPr>
                        <w:r>
                          <w:rPr>
                            <w:rFonts w:hint="eastAsia"/>
                            <w:b w:val="0"/>
                            <w:bCs/>
                            <w:lang w:val="en-US" w:eastAsia="zh-CN"/>
                          </w:rPr>
                          <w:t>新闻宣传</w:t>
                        </w:r>
                        <w:r>
                          <w:rPr>
                            <w:rFonts w:hint="eastAsia"/>
                            <w:b w:val="0"/>
                            <w:bCs/>
                          </w:rPr>
                          <w:t>组</w:t>
                        </w:r>
                      </w:p>
                      <w:p w14:paraId="5801F340">
                        <w:pPr>
                          <w:rPr>
                            <w:rFonts w:hint="eastAsia"/>
                          </w:rPr>
                        </w:pPr>
                      </w:p>
                    </w:txbxContent>
                  </v:textbox>
                </v:shape>
                <v:shape id="_x0000_s1026" o:spid="_x0000_s1026" o:spt="202" type="#_x0000_t202" style="position:absolute;left:9741;top:9286;height:1627;width:850;" fillcolor="#FFFFFF" filled="t" stroked="t" coordsize="21600,21600" o:gfxdata="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QT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14:paraId="0295C4AD">
                        <w:pPr>
                          <w:pStyle w:val="21"/>
                          <w:bidi w:val="0"/>
                          <w:rPr>
                            <w:b w:val="0"/>
                            <w:bCs/>
                          </w:rPr>
                        </w:pPr>
                        <w:r>
                          <w:rPr>
                            <w:rFonts w:hint="eastAsia"/>
                            <w:b w:val="0"/>
                            <w:bCs/>
                            <w:lang w:val="en-US" w:eastAsia="zh-CN"/>
                          </w:rPr>
                          <w:t>专家咨询组</w:t>
                        </w:r>
                      </w:p>
                    </w:txbxContent>
                  </v:textbox>
                </v:shape>
              </v:group>
            </w:pict>
          </mc:Fallback>
        </mc:AlternateContent>
      </w:r>
    </w:p>
    <w:p w14:paraId="1F2100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466107A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3CE130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5B2150D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0C5D2B83">
      <w:pPr>
        <w:pStyle w:val="21"/>
        <w:pageBreakBefore w:val="0"/>
        <w:kinsoku/>
        <w:wordWrap/>
        <w:overflowPunct/>
        <w:topLinePunct w:val="0"/>
        <w:bidi w:val="0"/>
        <w:textAlignment w:val="auto"/>
        <w:rPr>
          <w:rFonts w:hint="eastAsia" w:ascii="Times New Roman" w:hAnsi="Times New Roman" w:eastAsia="仿宋" w:cs="Times New Roman"/>
        </w:rPr>
      </w:pPr>
      <w:r>
        <w:rPr>
          <w:rFonts w:hint="eastAsia" w:ascii="Times New Roman" w:hAnsi="Times New Roman" w:eastAsia="仿宋" w:cs="Times New Roman"/>
        </w:rPr>
        <w:t>图</w:t>
      </w:r>
      <w:r>
        <w:rPr>
          <w:rFonts w:hint="eastAsia" w:ascii="Times New Roman" w:hAnsi="Times New Roman" w:eastAsia="仿宋" w:cs="Times New Roman"/>
          <w:lang w:val="en-US" w:eastAsia="zh-CN"/>
        </w:rPr>
        <w:t>2</w:t>
      </w:r>
      <w:r>
        <w:rPr>
          <w:rFonts w:hint="eastAsia" w:ascii="Times New Roman" w:hAnsi="Times New Roman" w:eastAsia="仿宋" w:cs="Times New Roman"/>
        </w:rPr>
        <w:t>-</w:t>
      </w:r>
      <w:r>
        <w:rPr>
          <w:rFonts w:hint="eastAsia" w:ascii="Times New Roman" w:hAnsi="Times New Roman" w:eastAsia="仿宋" w:cs="Times New Roman"/>
          <w:lang w:val="en-US" w:eastAsia="zh-CN"/>
        </w:rPr>
        <w:t>1 花溪区</w:t>
      </w:r>
      <w:r>
        <w:rPr>
          <w:rFonts w:hint="eastAsia" w:ascii="Times New Roman" w:hAnsi="Times New Roman" w:eastAsia="仿宋" w:cs="Times New Roman"/>
        </w:rPr>
        <w:t>集中式饮用</w:t>
      </w:r>
      <w:r>
        <w:rPr>
          <w:rFonts w:hint="eastAsia" w:ascii="Times New Roman" w:hAnsi="Times New Roman" w:eastAsia="仿宋" w:cs="Times New Roman"/>
          <w:lang w:val="en-US" w:eastAsia="zh-CN"/>
        </w:rPr>
        <w:t>水</w:t>
      </w:r>
      <w:r>
        <w:rPr>
          <w:rFonts w:hint="eastAsia" w:ascii="Times New Roman" w:hAnsi="Times New Roman" w:eastAsia="仿宋" w:cs="Times New Roman"/>
        </w:rPr>
        <w:t>水源地突发环境事件应急预案组织结构图</w:t>
      </w:r>
    </w:p>
    <w:p w14:paraId="437BC3D5">
      <w:pPr>
        <w:pStyle w:val="5"/>
        <w:pageBreakBefore w:val="0"/>
        <w:kinsoku/>
        <w:wordWrap/>
        <w:overflowPunct/>
        <w:topLinePunct w:val="0"/>
        <w:bidi w:val="0"/>
        <w:spacing w:beforeLines="0" w:afterLines="0"/>
        <w:textAlignment w:val="auto"/>
        <w:rPr>
          <w:rFonts w:hint="default"/>
          <w:lang w:val="en-US" w:eastAsia="zh-CN"/>
        </w:rPr>
      </w:pPr>
      <w:bookmarkStart w:id="13" w:name="_Toc25718"/>
      <w:r>
        <w:rPr>
          <w:rFonts w:hint="eastAsia"/>
          <w:lang w:val="en-US" w:eastAsia="zh-CN"/>
        </w:rPr>
        <w:t>2</w:t>
      </w:r>
      <w:r>
        <w:rPr>
          <w:rFonts w:hint="default"/>
          <w:lang w:val="en-US" w:eastAsia="zh-CN"/>
        </w:rPr>
        <w:t>.2 应急组织机构成员名单</w:t>
      </w:r>
      <w:bookmarkEnd w:id="13"/>
    </w:p>
    <w:p w14:paraId="4CAEF7FE">
      <w:pPr>
        <w:pageBreakBefore w:val="0"/>
        <w:kinsoku/>
        <w:wordWrap/>
        <w:overflowPunct/>
        <w:topLinePunct w:val="0"/>
        <w:bidi w:val="0"/>
        <w:textAlignment w:val="auto"/>
        <w:rPr>
          <w:rFonts w:hint="default"/>
          <w:lang w:val="en-US" w:eastAsia="zh-CN"/>
        </w:rPr>
      </w:pPr>
      <w:r>
        <w:rPr>
          <w:rFonts w:hint="eastAsia"/>
          <w:lang w:val="en-US" w:eastAsia="zh-CN"/>
        </w:rPr>
        <w:t>花溪区</w:t>
      </w:r>
      <w:r>
        <w:rPr>
          <w:rFonts w:hint="default"/>
          <w:lang w:val="en-US" w:eastAsia="zh-CN"/>
        </w:rPr>
        <w:t>集中式饮用水水源地应急组织机构成员以</w:t>
      </w:r>
      <w:r>
        <w:rPr>
          <w:rFonts w:hint="eastAsia"/>
          <w:lang w:val="en-US" w:eastAsia="zh-CN"/>
        </w:rPr>
        <w:t>花溪区</w:t>
      </w:r>
      <w:r>
        <w:rPr>
          <w:rFonts w:hint="default"/>
          <w:lang w:val="en-US" w:eastAsia="zh-CN"/>
        </w:rPr>
        <w:t>相关职能部门为主，应急组织机构成员单位及牵头人员如下表所示：</w:t>
      </w:r>
    </w:p>
    <w:p w14:paraId="14546550">
      <w:pPr>
        <w:pStyle w:val="21"/>
        <w:pageBreakBefore w:val="0"/>
        <w:kinsoku/>
        <w:wordWrap/>
        <w:overflowPunct/>
        <w:topLinePunct w:val="0"/>
        <w:bidi w:val="0"/>
        <w:textAlignment w:val="auto"/>
        <w:rPr>
          <w:rFonts w:hint="eastAsia"/>
        </w:rPr>
      </w:pPr>
      <w:r>
        <w:rPr>
          <w:rFonts w:hint="eastAsia"/>
        </w:rPr>
        <w:t>表</w:t>
      </w:r>
      <w:r>
        <w:rPr>
          <w:rFonts w:hint="eastAsia"/>
          <w:lang w:val="en-US" w:eastAsia="zh-CN"/>
        </w:rPr>
        <w:t>2-1 花溪区</w:t>
      </w:r>
      <w:r>
        <w:rPr>
          <w:rFonts w:hint="eastAsia"/>
        </w:rPr>
        <w:t>集中式饮用水水源地应急组织人员联系方式</w:t>
      </w:r>
    </w:p>
    <w:tbl>
      <w:tblPr>
        <w:tblStyle w:val="15"/>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4"/>
        <w:gridCol w:w="1234"/>
        <w:gridCol w:w="3185"/>
        <w:gridCol w:w="2253"/>
      </w:tblGrid>
      <w:tr w14:paraId="7E29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8" w:type="pct"/>
            <w:vAlign w:val="center"/>
          </w:tcPr>
          <w:p w14:paraId="45C7AD1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1360" w:type="pct"/>
            <w:gridSpan w:val="2"/>
            <w:vAlign w:val="center"/>
          </w:tcPr>
          <w:p w14:paraId="0470D78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14:paraId="3D572CD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14:paraId="287D837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14:paraId="528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47FBB84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14:paraId="228C64E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14:paraId="2F3C5B6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14:paraId="0905E60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14:paraId="0690072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14:paraId="4AEB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C1D257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22B9F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14:paraId="22F25DD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14:paraId="5D87645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14:paraId="48F87F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14:paraId="0A16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6D3925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144C33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14:paraId="02E15D1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1869" w:type="pct"/>
            <w:vAlign w:val="center"/>
          </w:tcPr>
          <w:p w14:paraId="5672E3B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285CBBC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515B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E6C676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14:paraId="5B50EE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14:paraId="076ABA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14:paraId="4FA70DE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3C0039F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1204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1FCBED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BD7990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F1CE34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14:paraId="14AB092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3099316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14:paraId="6E67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2B86D1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14:paraId="112D7FC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14:paraId="231FAC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4F2B627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5ABAE1D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1E0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F7F95F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0D8E3D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CE9A5F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4D5C55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77F56DE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749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9AFFE8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944B97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472EC9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196A9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0449F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39DB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8CC062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A3562C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8D82F7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4BAFAFA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4F6619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4B4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A276B1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81E152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FEB838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0598312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14:paraId="210F9C2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6E1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55790F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50F33B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732C29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7D2ED1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14:paraId="24708BE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6CDE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77644B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FA4A1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0972BB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CE54B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14:paraId="17C2C09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14:paraId="4EA4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070834C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14:paraId="03F6B6E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14:paraId="541ED4C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22C295C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579AE4C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14:paraId="002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F0E741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DEDB3B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09E022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56CEBAA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01E7B90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14:paraId="0AB5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93A330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83F627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81B15D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326FCE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14:paraId="04F7255B">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主任</w:t>
            </w:r>
          </w:p>
        </w:tc>
      </w:tr>
      <w:tr w14:paraId="5CD3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E5ACB9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14:paraId="502F711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14:paraId="5455B2A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6774083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14:paraId="6E879BA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14:paraId="661E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15D7F9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D6A239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62A07C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14:paraId="66C29C6E">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人民医院</w:t>
            </w:r>
          </w:p>
        </w:tc>
      </w:tr>
      <w:tr w14:paraId="7071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BD439F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14:paraId="6F7AE2F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14:paraId="5154AF5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677613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2CE5B72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3895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18D2B0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15476A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0FC23A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2333E77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14:paraId="5914D89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5C10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5384FD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54CE2B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430866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497C84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295FF92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B61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A30732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741961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902EED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2932C18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14:paraId="1822911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8A4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21CCD3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FC7989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D3865B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8115E3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14:paraId="4966626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DAD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5DDDD7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14:paraId="27FB8A3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14:paraId="654F23C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7C56860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AD228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08F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0D46D4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879A78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193BF6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CC0D1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14:paraId="17B408D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90B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2EF751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9E92C5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30E53A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47DEE2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14:paraId="3FA69B4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14:paraId="67E1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47A3029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14:paraId="1295F2B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14:paraId="25C5E3F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31E822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14:paraId="3411E94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副局长</w:t>
            </w:r>
          </w:p>
        </w:tc>
      </w:tr>
      <w:tr w14:paraId="4877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17446E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8E32B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7B420B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14:paraId="7E4615F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694494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5758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7415E3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8D67A4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B67368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14:paraId="45F30E1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eastAsia="仿宋" w:cs="Times New Roman"/>
                <w:sz w:val="24"/>
                <w:szCs w:val="24"/>
                <w:lang w:val="en-US" w:eastAsia="zh-CN"/>
              </w:rPr>
              <w:t>分管领导</w:t>
            </w:r>
          </w:p>
        </w:tc>
      </w:tr>
      <w:tr w14:paraId="21D6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39432A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14:paraId="4DCC104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14:paraId="7E4AFAA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D26977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14:paraId="468205B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副部长</w:t>
            </w:r>
          </w:p>
        </w:tc>
      </w:tr>
      <w:tr w14:paraId="5AC6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4847CD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C50028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886AFE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7C5C5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14:paraId="1D4551E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主任</w:t>
            </w:r>
          </w:p>
        </w:tc>
      </w:tr>
      <w:tr w14:paraId="4EC5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1E697A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42A325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01D06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64BFC2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34E06A5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kern w:val="0"/>
                <w:sz w:val="24"/>
                <w:szCs w:val="24"/>
                <w:lang w:eastAsia="zh-CN"/>
              </w:rPr>
            </w:pPr>
            <w:r>
              <w:rPr>
                <w:rFonts w:hint="eastAsia" w:eastAsia="仿宋" w:cs="Times New Roman"/>
                <w:sz w:val="24"/>
                <w:szCs w:val="24"/>
                <w:lang w:val="en-US" w:eastAsia="zh-CN"/>
              </w:rPr>
              <w:t>副局长</w:t>
            </w:r>
          </w:p>
        </w:tc>
      </w:tr>
      <w:tr w14:paraId="37A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6B1FD8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14:paraId="1AA38F5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14:paraId="0CA562F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2C86A0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14:paraId="03C4AAD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eastAsia" w:eastAsia="仿宋" w:cs="Times New Roman"/>
                <w:sz w:val="24"/>
                <w:szCs w:val="24"/>
                <w:lang w:val="en-US" w:eastAsia="zh-CN"/>
              </w:rPr>
              <w:t>大</w:t>
            </w:r>
            <w:r>
              <w:rPr>
                <w:rFonts w:hint="default" w:ascii="Times New Roman" w:hAnsi="Times New Roman" w:eastAsia="仿宋" w:cs="Times New Roman"/>
                <w:sz w:val="24"/>
                <w:szCs w:val="24"/>
              </w:rPr>
              <w:t>队长</w:t>
            </w:r>
          </w:p>
        </w:tc>
      </w:tr>
      <w:tr w14:paraId="4F36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708C65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624796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38532E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63BA70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6897429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14:paraId="1126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69DB6B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14:paraId="7E6F45B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14:paraId="19C1806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14:paraId="0E8E015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3096CA8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14:paraId="1E07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37E296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5EADA1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3914" w:type="pct"/>
            <w:gridSpan w:val="3"/>
            <w:vAlign w:val="center"/>
          </w:tcPr>
          <w:p w14:paraId="71A3478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14:paraId="11F6523C">
      <w:pPr>
        <w:pStyle w:val="21"/>
        <w:pageBreakBefore w:val="0"/>
        <w:kinsoku/>
        <w:wordWrap/>
        <w:overflowPunct/>
        <w:topLinePunct w:val="0"/>
        <w:bidi w:val="0"/>
        <w:jc w:val="both"/>
        <w:textAlignment w:val="auto"/>
        <w:rPr>
          <w:rFonts w:hint="eastAsia"/>
          <w:b w:val="0"/>
          <w:bCs/>
          <w:lang w:val="en-US" w:eastAsia="zh-CN"/>
        </w:rPr>
      </w:pPr>
      <w:r>
        <w:rPr>
          <w:rFonts w:hint="eastAsia"/>
          <w:b w:val="0"/>
          <w:bCs/>
          <w:lang w:val="en-US" w:eastAsia="zh-CN"/>
        </w:rPr>
        <w:t>注：相关专家信息见附件1 环境应急专家通讯录。</w:t>
      </w:r>
    </w:p>
    <w:p w14:paraId="298321FF">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4" w:name="_Toc13714"/>
      <w:r>
        <w:rPr>
          <w:rFonts w:hint="eastAsia"/>
          <w:lang w:val="en-US" w:eastAsia="zh-CN"/>
        </w:rPr>
        <w:t>2</w:t>
      </w:r>
      <w:r>
        <w:rPr>
          <w:rFonts w:hint="default"/>
          <w:lang w:val="en-US" w:eastAsia="zh-CN"/>
        </w:rPr>
        <w:t>.3 应急组织机构职责</w:t>
      </w:r>
      <w:bookmarkEnd w:id="14"/>
    </w:p>
    <w:p w14:paraId="4B18A16F">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（1）指挥部职责</w:t>
      </w:r>
    </w:p>
    <w:p w14:paraId="644D788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b w:val="0"/>
          <w:bCs/>
          <w:lang w:val="en-US" w:eastAsia="zh-CN"/>
        </w:rPr>
        <w:t>应急指挥部贯彻执行中央和地方政府有关部门关于环</w:t>
      </w:r>
      <w:r>
        <w:rPr>
          <w:rFonts w:hint="default" w:ascii="Times New Roman" w:hAnsi="Times New Roman" w:eastAsia="仿宋" w:cs="Times New Roman"/>
          <w:b w:val="0"/>
          <w:bCs/>
          <w:lang w:val="en-US" w:eastAsia="zh-CN"/>
        </w:rPr>
        <w:t xml:space="preserve">境突发事件的预防和应急处置工作的方针、政策，认真落实国务院、贵州省和贵阳市有关环境污染应急工作指示和要求，并具备以下职责： </w:t>
      </w:r>
    </w:p>
    <w:p w14:paraId="0C34BAB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①建立和完善环境应急预警机制，组织编制和修订突发环境事件应急预案；</w:t>
      </w:r>
    </w:p>
    <w:p w14:paraId="62524B1D">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②部署全区环境应急工作的公众宣传和教育，统一发布环境预警信息，指导突发环境事件应急信息的发布；</w:t>
      </w:r>
    </w:p>
    <w:p w14:paraId="51EE8ED5">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③平时负责事故应急的日常准备协调工作，监督检查各相关部门事故应急的准备工作落实情况。</w:t>
      </w:r>
    </w:p>
    <w:p w14:paraId="2CF14A8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④根据报警信息和现场情况初步判断环境事件等级，决定启动突发环境事件的应急预案，负责指挥突发环境事件的应急处置；</w:t>
      </w:r>
    </w:p>
    <w:p w14:paraId="595053F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⑤负责事故应急行动期间发布命令、批示，负责应急救援行动的总体协调。</w:t>
      </w:r>
    </w:p>
    <w:p w14:paraId="3B06BBD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⑥按照有关规定和程序向贵阳市生态环境局和贵阳市人民政府报告有关突发环境事件以及应急处理情况。</w:t>
      </w:r>
    </w:p>
    <w:p w14:paraId="644AA145">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（2）应急办公室职责</w:t>
      </w:r>
    </w:p>
    <w:p w14:paraId="3C97904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①负责处理日常工作，负责与区人民政府联系，并协调联络区饮用水源应急指挥部各成员单位开展日常工作；</w:t>
      </w:r>
    </w:p>
    <w:p w14:paraId="3535004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②负责做好有关应急物资的储备、管理和维护；</w:t>
      </w:r>
    </w:p>
    <w:p w14:paraId="201E4FE4">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③受理饮用水源地环境污染投诉，对饮用水源地进行监测，收集汇总信息；</w:t>
      </w:r>
    </w:p>
    <w:p w14:paraId="2A9539E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④遇到涉及饮用水源地突发环境事件时，及时了解情况，判定事件等级，向区饮用水源应急指挥部报告，并提出启动应急预案和处理建议；</w:t>
      </w:r>
    </w:p>
    <w:p w14:paraId="7524634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⑤根据现场情况在水务局协助下拟定应急水源调度方案，确保饮用水安全；</w:t>
      </w:r>
    </w:p>
    <w:p w14:paraId="72A8AD1D">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⑥按照区饮用水源应急指挥部下达的命令和指示，组织协调、落实全区涉及饮用水源地突发环境事件应急工作。</w:t>
      </w:r>
    </w:p>
    <w:p w14:paraId="06D3ABD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（3）应急救援小组</w:t>
      </w:r>
    </w:p>
    <w:p w14:paraId="4B80591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根据突发事故应急响应与处置工作的需要，设立九个专业工作小组，分别是应急处置组、警戒疏散组、应急监测组、后勤保障组、医疗救援组、事后调查组、新闻宣传组、社会维稳组、专家咨询组。各小组在应急救援领导小组组长的统一领导下，根据事故性质、严重程度、应急响应与处置要求，履行相应的职责。各组组成单位及职责分别如下：</w:t>
      </w:r>
    </w:p>
    <w:p w14:paraId="00272A7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1）应急处置组</w:t>
      </w:r>
    </w:p>
    <w:p w14:paraId="7A44615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 xml:space="preserve">贵阳市生态环境局花溪分局 </w:t>
      </w:r>
    </w:p>
    <w:p w14:paraId="36EA61F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rPr>
        <w:t>花溪区应急管理局、贵阳市公安局花溪分局、花溪区水务局、</w:t>
      </w:r>
      <w:r>
        <w:rPr>
          <w:rFonts w:hint="eastAsia" w:cs="Times New Roman"/>
          <w:b w:val="0"/>
          <w:bCs/>
          <w:lang w:val="en-US" w:eastAsia="zh-CN"/>
        </w:rPr>
        <w:t>花溪区综合行政执法局、</w:t>
      </w:r>
      <w:r>
        <w:rPr>
          <w:rFonts w:hint="default" w:ascii="Times New Roman" w:hAnsi="Times New Roman" w:eastAsia="仿宋" w:cs="Times New Roman"/>
          <w:b w:val="0"/>
          <w:bCs/>
        </w:rPr>
        <w:t>花溪区气象局、花溪区消防大队</w:t>
      </w:r>
    </w:p>
    <w:p w14:paraId="28F2346A">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主要工作职责：制定处置工作方案，并组织实施，根据预警级别落实应急管理措施；完成现场应急指挥部交办的其他事项。</w:t>
      </w:r>
    </w:p>
    <w:p w14:paraId="5B83B15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2）应急监测组</w:t>
      </w:r>
    </w:p>
    <w:p w14:paraId="21F167D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贵阳市第二片区环境监测站</w:t>
      </w:r>
    </w:p>
    <w:p w14:paraId="3AA5296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贵阳市第二片区环境监测站</w:t>
      </w:r>
    </w:p>
    <w:p w14:paraId="589B2C8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主要职责：组织突发环境事件应急监测，及时向区突发环境事件应急指挥部报告环境事件的应急监测结果等情况。</w:t>
      </w:r>
    </w:p>
    <w:p w14:paraId="1DA6B7E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3）医疗救援组</w:t>
      </w:r>
    </w:p>
    <w:p w14:paraId="0568EE6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花溪区卫生健康局</w:t>
      </w:r>
    </w:p>
    <w:p w14:paraId="0F0462A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w:t>
      </w:r>
      <w:r>
        <w:rPr>
          <w:rFonts w:hint="eastAsia" w:cs="Times New Roman"/>
          <w:b w:val="0"/>
          <w:bCs/>
          <w:lang w:val="en-US" w:eastAsia="zh-CN"/>
        </w:rPr>
        <w:t>人民医院</w:t>
      </w:r>
    </w:p>
    <w:p w14:paraId="268852F4">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主要职责：组织有关医疗机构对伤员实施救治，对现场进行防疫处理等。</w:t>
      </w:r>
    </w:p>
    <w:p w14:paraId="58476AA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4）警戒疏散组</w:t>
      </w:r>
    </w:p>
    <w:p w14:paraId="41820F6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贵阳市公安局花溪分局</w:t>
      </w:r>
    </w:p>
    <w:p w14:paraId="5FF4070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花溪区人武部、花溪区交通局</w:t>
      </w:r>
    </w:p>
    <w:p w14:paraId="7AD00A5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迅速对事故灾难现场及周边地区和道路进行警戒、实行交通管制，维护事故灾难现场交通秩序，保障道路畅通；负责事故灾难现场群众的防护指导，引导群众有序撤离到安全区域，组织好特殊人群的疏散安置，维护安全区域内的稳定和治安等。</w:t>
      </w:r>
    </w:p>
    <w:p w14:paraId="1EBAE27C">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5）后勤保障组</w:t>
      </w:r>
    </w:p>
    <w:p w14:paraId="24591DA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花溪区应急管理局</w:t>
      </w:r>
    </w:p>
    <w:p w14:paraId="4D4486F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花溪区民政局、花溪区水务局、花溪区农业农村局、花溪区自然资源局</w:t>
      </w:r>
    </w:p>
    <w:p w14:paraId="59BD2E6C">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主要职责：落实应急物资、应急通信、交通运输、供电、供水、供气生活方面的保障措施。</w:t>
      </w:r>
    </w:p>
    <w:p w14:paraId="3EA4B2B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6）新闻宣传组</w:t>
      </w:r>
    </w:p>
    <w:p w14:paraId="620155C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花溪区委宣传部</w:t>
      </w:r>
    </w:p>
    <w:p w14:paraId="260EE4A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花溪区融媒体中心、贵阳市生态环境局花溪分局</w:t>
      </w:r>
    </w:p>
    <w:p w14:paraId="3B493C6F">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主要职责：统一组织有关新闻单位及时报道应急处置工作情况，做好舆论引导工作等。</w:t>
      </w:r>
    </w:p>
    <w:p w14:paraId="2E5354B6">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7）社会维稳组</w:t>
      </w:r>
    </w:p>
    <w:p w14:paraId="6E36940F">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花溪区信访局</w:t>
      </w:r>
    </w:p>
    <w:p w14:paraId="38106AFA">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贵阳市公安局花溪分局、属地乡镇人民政府、街道办</w:t>
      </w:r>
    </w:p>
    <w:p w14:paraId="1AA67A7D">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ascii="Times New Roman" w:hAnsi="Times New Roman" w:eastAsia="仿宋" w:cs="Times New Roman"/>
          <w:b w:val="0"/>
          <w:bCs/>
          <w:lang w:val="en-US" w:eastAsia="zh-CN"/>
        </w:rPr>
        <w:t>主要职责：负责对伤亡人员家属的接待、安抚和慰问工作及伤亡人员善后事宜，做好群众的思想稳定工作，维护社</w:t>
      </w:r>
      <w:r>
        <w:rPr>
          <w:rFonts w:hint="default"/>
          <w:b w:val="0"/>
          <w:bCs/>
          <w:lang w:val="en-US" w:eastAsia="zh-CN"/>
        </w:rPr>
        <w:t>会稳定，消除不稳定因素等。</w:t>
      </w:r>
    </w:p>
    <w:p w14:paraId="24A6FCE3">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eastAsia"/>
          <w:b/>
          <w:bCs w:val="0"/>
          <w:lang w:val="en-US" w:eastAsia="zh-CN"/>
        </w:rPr>
        <w:t>8）事后调查</w:t>
      </w:r>
      <w:r>
        <w:rPr>
          <w:rFonts w:hint="default"/>
          <w:b/>
          <w:bCs w:val="0"/>
          <w:lang w:val="en-US" w:eastAsia="zh-CN"/>
        </w:rPr>
        <w:t>组</w:t>
      </w:r>
    </w:p>
    <w:p w14:paraId="0E9B4826">
      <w:pPr>
        <w:pageBreakBefore w:val="0"/>
        <w:widowControl w:val="0"/>
        <w:kinsoku/>
        <w:wordWrap/>
        <w:overflowPunct/>
        <w:topLinePunct w:val="0"/>
        <w:autoSpaceDE/>
        <w:autoSpaceDN/>
        <w:bidi w:val="0"/>
        <w:adjustRightInd/>
        <w:snapToGrid/>
        <w:textAlignment w:val="auto"/>
        <w:rPr>
          <w:rFonts w:hint="eastAsia" w:eastAsia="仿宋"/>
          <w:b/>
          <w:bCs w:val="0"/>
          <w:lang w:val="en-US" w:eastAsia="zh-CN"/>
        </w:rPr>
      </w:pPr>
      <w:r>
        <w:rPr>
          <w:rFonts w:hint="default"/>
          <w:b/>
          <w:bCs w:val="0"/>
          <w:lang w:val="en-US" w:eastAsia="zh-CN"/>
        </w:rPr>
        <w:t>牵头单位：</w:t>
      </w:r>
      <w:r>
        <w:rPr>
          <w:rFonts w:hint="default" w:ascii="Times New Roman" w:hAnsi="Times New Roman" w:eastAsia="仿宋" w:cs="Times New Roman"/>
          <w:bCs/>
          <w:sz w:val="32"/>
          <w:szCs w:val="32"/>
        </w:rPr>
        <w:t>花溪区</w:t>
      </w:r>
      <w:r>
        <w:rPr>
          <w:rFonts w:hint="eastAsia" w:cs="Times New Roman"/>
          <w:bCs/>
          <w:sz w:val="32"/>
          <w:szCs w:val="32"/>
          <w:lang w:val="en-US" w:eastAsia="zh-CN"/>
        </w:rPr>
        <w:t>生态环境保护</w:t>
      </w:r>
      <w:r>
        <w:rPr>
          <w:rFonts w:hint="default" w:ascii="Times New Roman" w:hAnsi="Times New Roman" w:eastAsia="仿宋" w:cs="Times New Roman"/>
          <w:bCs/>
          <w:sz w:val="32"/>
          <w:szCs w:val="32"/>
        </w:rPr>
        <w:t>综合行政执法</w:t>
      </w:r>
      <w:r>
        <w:rPr>
          <w:rFonts w:hint="eastAsia" w:cs="Times New Roman"/>
          <w:bCs/>
          <w:sz w:val="32"/>
          <w:szCs w:val="32"/>
          <w:lang w:val="en-US" w:eastAsia="zh-CN"/>
        </w:rPr>
        <w:t>大队</w:t>
      </w:r>
    </w:p>
    <w:p w14:paraId="11CF13CC">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成员单位：</w:t>
      </w:r>
      <w:r>
        <w:rPr>
          <w:rFonts w:hint="default" w:ascii="Times New Roman" w:hAnsi="Times New Roman" w:eastAsia="仿宋" w:cs="Times New Roman"/>
          <w:sz w:val="32"/>
          <w:szCs w:val="32"/>
        </w:rPr>
        <w:t>贵阳市公安局花溪分局</w:t>
      </w:r>
    </w:p>
    <w:p w14:paraId="29D83F2E">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val="0"/>
          <w:bCs/>
          <w:lang w:val="en-US" w:eastAsia="zh-CN"/>
        </w:rPr>
        <w:t>主要职责：</w:t>
      </w:r>
      <w:r>
        <w:rPr>
          <w:rFonts w:hint="default" w:ascii="Times New Roman" w:hAnsi="Times New Roman" w:eastAsia="仿宋" w:cs="Times New Roman"/>
          <w:sz w:val="32"/>
          <w:szCs w:val="32"/>
        </w:rPr>
        <w:t>开展突发环境事件原因调查、应急效果评估以及损害调查评估等工作。</w:t>
      </w:r>
    </w:p>
    <w:p w14:paraId="1DE4523A">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9）</w:t>
      </w:r>
      <w:r>
        <w:rPr>
          <w:rFonts w:hint="eastAsia"/>
          <w:b/>
          <w:bCs w:val="0"/>
          <w:lang w:val="en-US" w:eastAsia="zh-CN"/>
        </w:rPr>
        <w:t>专家咨询组</w:t>
      </w:r>
    </w:p>
    <w:p w14:paraId="1EE5A25C">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bCs w:val="0"/>
          <w:lang w:val="en-US" w:eastAsia="zh-CN"/>
        </w:rPr>
        <w:t>牵头单位：</w:t>
      </w:r>
      <w:r>
        <w:rPr>
          <w:rFonts w:hint="default"/>
          <w:b w:val="0"/>
          <w:bCs/>
          <w:lang w:val="en-US" w:eastAsia="zh-CN"/>
        </w:rPr>
        <w:t>市生态环境局</w:t>
      </w:r>
      <w:r>
        <w:rPr>
          <w:rFonts w:hint="eastAsia"/>
          <w:b w:val="0"/>
          <w:bCs/>
          <w:lang w:val="en-US" w:eastAsia="zh-CN"/>
        </w:rPr>
        <w:t>花溪</w:t>
      </w:r>
      <w:r>
        <w:rPr>
          <w:rFonts w:hint="default"/>
          <w:b w:val="0"/>
          <w:bCs/>
          <w:lang w:val="en-US" w:eastAsia="zh-CN"/>
        </w:rPr>
        <w:t>分局</w:t>
      </w:r>
    </w:p>
    <w:p w14:paraId="70B5C203">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成员：</w:t>
      </w:r>
      <w:r>
        <w:rPr>
          <w:rFonts w:hint="default"/>
          <w:b w:val="0"/>
          <w:bCs/>
          <w:lang w:val="en-US" w:eastAsia="zh-CN"/>
        </w:rPr>
        <w:t>各专业领域有关专家</w:t>
      </w:r>
    </w:p>
    <w:p w14:paraId="4CF0DBB5">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val="0"/>
          <w:bCs/>
          <w:lang w:val="en-US" w:eastAsia="zh-CN"/>
        </w:rPr>
        <w:t>主要职责：负责组织专家对事件现状和发展趋势做出科学判断和预测，提出科学的应急处置措施和建议，参与制定应急监测及应急处置方案，对事件应急处置结果及产生的环境影响进行分析评估，为应急处置决策提供智力支持。</w:t>
      </w:r>
    </w:p>
    <w:p w14:paraId="5005E099">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（4）成员单位职责</w:t>
      </w:r>
    </w:p>
    <w:p w14:paraId="20D3EBEF">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val="0"/>
          <w:bCs/>
          <w:lang w:val="en-US" w:eastAsia="zh-CN"/>
        </w:rPr>
        <w:t>各成员单位要同时按照本预案规定的职责分工，做好突发环境事件预测、预警、报警、处置、终止、善后等环境的相应应急处置工作：</w:t>
      </w:r>
    </w:p>
    <w:p w14:paraId="0713D2DC">
      <w:pPr>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花溪区政府办公室：</w:t>
      </w:r>
      <w:r>
        <w:rPr>
          <w:rFonts w:hint="default" w:ascii="Times New Roman" w:hAnsi="Times New Roman" w:eastAsia="仿宋" w:cs="Times New Roman"/>
          <w:sz w:val="32"/>
          <w:szCs w:val="32"/>
        </w:rPr>
        <w:t>履行应急值守、信息汇总、综合协调职责，发挥运转枢纽作用，负责应急物资（经费）的调配和善后工作的安排。负责处理受影响群众上访、信访工作。</w:t>
      </w:r>
    </w:p>
    <w:p w14:paraId="779464F6">
      <w:pPr>
        <w:pageBreakBefore w:val="0"/>
        <w:widowControl w:val="0"/>
        <w:kinsoku/>
        <w:wordWrap/>
        <w:overflowPunct/>
        <w:topLinePunct w:val="0"/>
        <w:autoSpaceDE/>
        <w:autoSpaceDN/>
        <w:bidi w:val="0"/>
        <w:adjustRightInd/>
        <w:snapToGrid/>
        <w:ind w:firstLine="482"/>
        <w:textAlignment w:val="auto"/>
        <w:rPr>
          <w:b/>
        </w:rPr>
      </w:pPr>
    </w:p>
    <w:p w14:paraId="1EF2BEB9">
      <w:pPr>
        <w:pageBreakBefore w:val="0"/>
        <w:widowControl w:val="0"/>
        <w:kinsoku/>
        <w:wordWrap/>
        <w:overflowPunct/>
        <w:topLinePunct w:val="0"/>
        <w:autoSpaceDE/>
        <w:autoSpaceDN/>
        <w:bidi w:val="0"/>
        <w:adjustRightInd/>
        <w:snapToGrid/>
        <w:ind w:firstLine="482"/>
        <w:textAlignment w:val="auto"/>
        <w:rPr>
          <w:bCs/>
        </w:rPr>
      </w:pPr>
      <w:r>
        <w:rPr>
          <w:b/>
        </w:rPr>
        <w:t>花溪区应急</w:t>
      </w:r>
      <w:r>
        <w:rPr>
          <w:rFonts w:hint="eastAsia"/>
          <w:b/>
        </w:rPr>
        <w:t>管理</w:t>
      </w:r>
      <w:r>
        <w:rPr>
          <w:b/>
        </w:rPr>
        <w:t>局</w:t>
      </w:r>
      <w:r>
        <w:rPr>
          <w:bCs/>
        </w:rPr>
        <w:t>：组织编制应急体系建设、安全生产和综合防灾减灾规划；负责信息传输和共享，建立监测预警和灾情报告制度；指导突发环境事件处置工作；负责应急管理、宣传教育和培训工作。</w:t>
      </w:r>
    </w:p>
    <w:p w14:paraId="476AC834">
      <w:pPr>
        <w:pageBreakBefore w:val="0"/>
        <w:widowControl w:val="0"/>
        <w:kinsoku/>
        <w:wordWrap/>
        <w:overflowPunct/>
        <w:topLinePunct w:val="0"/>
        <w:autoSpaceDE/>
        <w:autoSpaceDN/>
        <w:bidi w:val="0"/>
        <w:adjustRightInd/>
        <w:snapToGrid/>
        <w:ind w:firstLine="482"/>
        <w:textAlignment w:val="auto"/>
        <w:rPr>
          <w:b/>
        </w:rPr>
      </w:pPr>
      <w:r>
        <w:rPr>
          <w:b/>
        </w:rPr>
        <w:t>花溪区水务局：</w:t>
      </w:r>
      <w:r>
        <w:rPr>
          <w:bCs/>
        </w:rPr>
        <w:t>负责污染区流域、水源流量控制与监测。</w:t>
      </w:r>
    </w:p>
    <w:p w14:paraId="5D992F1E">
      <w:pPr>
        <w:pageBreakBefore w:val="0"/>
        <w:widowControl w:val="0"/>
        <w:kinsoku/>
        <w:wordWrap/>
        <w:overflowPunct/>
        <w:topLinePunct w:val="0"/>
        <w:autoSpaceDE/>
        <w:autoSpaceDN/>
        <w:bidi w:val="0"/>
        <w:adjustRightInd/>
        <w:snapToGrid/>
        <w:ind w:firstLine="482"/>
        <w:textAlignment w:val="auto"/>
        <w:rPr>
          <w:b/>
        </w:rPr>
      </w:pPr>
      <w:r>
        <w:rPr>
          <w:b/>
        </w:rPr>
        <w:t>花溪区气象局：</w:t>
      </w:r>
      <w:r>
        <w:rPr>
          <w:bCs/>
        </w:rPr>
        <w:t>及时、准确提供发生突发环境事件区域的气象情报资料。</w:t>
      </w:r>
    </w:p>
    <w:p w14:paraId="2FF741B8">
      <w:pPr>
        <w:pageBreakBefore w:val="0"/>
        <w:kinsoku/>
        <w:wordWrap/>
        <w:overflowPunct/>
        <w:topLinePunct w:val="0"/>
        <w:bidi w:val="0"/>
        <w:textAlignment w:val="auto"/>
        <w:rPr>
          <w:bCs/>
        </w:rPr>
      </w:pPr>
      <w:r>
        <w:rPr>
          <w:b/>
        </w:rPr>
        <w:t>花溪区消防大队：</w:t>
      </w:r>
      <w:r>
        <w:rPr>
          <w:bCs/>
        </w:rPr>
        <w:t>负责危险化学品环境的污染源控制、污染源转移和污染源洗消工作。</w:t>
      </w:r>
    </w:p>
    <w:p w14:paraId="75DF006E">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花溪区综合行政执法局：</w:t>
      </w:r>
      <w:r>
        <w:rPr>
          <w:rFonts w:hint="default" w:ascii="Times New Roman" w:hAnsi="Times New Roman" w:eastAsia="仿宋" w:cs="Times New Roman"/>
          <w:b w:val="0"/>
          <w:bCs/>
          <w:sz w:val="32"/>
          <w:szCs w:val="32"/>
          <w:lang w:val="en-US" w:eastAsia="zh-CN"/>
        </w:rPr>
        <w:t>参与对发生的环境事件的应急救援，配合开展相关应急处置活动。</w:t>
      </w:r>
    </w:p>
    <w:p w14:paraId="7E3E5CCB">
      <w:pPr>
        <w:pageBreakBefore w:val="0"/>
        <w:widowControl w:val="0"/>
        <w:kinsoku/>
        <w:wordWrap/>
        <w:overflowPunct/>
        <w:topLinePunct w:val="0"/>
        <w:autoSpaceDE/>
        <w:autoSpaceDN/>
        <w:bidi w:val="0"/>
        <w:adjustRightInd/>
        <w:snapToGrid/>
        <w:ind w:firstLine="482"/>
        <w:textAlignment w:val="auto"/>
        <w:rPr>
          <w:b/>
        </w:rPr>
      </w:pPr>
      <w:r>
        <w:rPr>
          <w:b/>
        </w:rPr>
        <w:t>花溪区卫生健康局、花溪区疾控中心：</w:t>
      </w:r>
      <w:r>
        <w:rPr>
          <w:bCs/>
        </w:rPr>
        <w:t>当发生由于医疗机构或者其他环境污染事件可能导致环境受病原体污染时，负责污染源的监测及控制；负责污染疏散区域人员的专业救治和卫生疾病控制工作。</w:t>
      </w:r>
    </w:p>
    <w:p w14:paraId="748D951E">
      <w:pPr>
        <w:pageBreakBefore w:val="0"/>
        <w:widowControl w:val="0"/>
        <w:kinsoku/>
        <w:wordWrap/>
        <w:overflowPunct/>
        <w:topLinePunct w:val="0"/>
        <w:autoSpaceDE/>
        <w:autoSpaceDN/>
        <w:bidi w:val="0"/>
        <w:adjustRightInd/>
        <w:snapToGrid/>
        <w:ind w:firstLine="482"/>
        <w:textAlignment w:val="auto"/>
        <w:rPr>
          <w:b/>
        </w:rPr>
      </w:pPr>
      <w:r>
        <w:rPr>
          <w:b/>
        </w:rPr>
        <w:t>贵阳市公安局花溪分局、花溪区</w:t>
      </w:r>
      <w:r>
        <w:rPr>
          <w:rFonts w:hint="eastAsia"/>
          <w:b/>
          <w:lang w:val="en-US" w:eastAsia="zh-CN"/>
        </w:rPr>
        <w:t>交通局</w:t>
      </w:r>
      <w:r>
        <w:rPr>
          <w:b/>
        </w:rPr>
        <w:t>：</w:t>
      </w:r>
      <w:r>
        <w:t>对发生的群体性事件及时协调有关地方和部门妥善处置。负责应急救援的交通保障工作，适时进行交通管制；对重要目标、危险区域实施治安警戒，维护社会稳定和治安秩序；协助、会同相关单位做好群众疏散工作，做好网络舆情监管。负责对事件灾难现场及周边地区和道路进行警戒、实行交通管制，维护事故灾难现场交通秩序，保障道路畅通。</w:t>
      </w:r>
    </w:p>
    <w:p w14:paraId="203BAA95">
      <w:pPr>
        <w:pageBreakBefore w:val="0"/>
        <w:widowControl w:val="0"/>
        <w:kinsoku/>
        <w:wordWrap/>
        <w:overflowPunct/>
        <w:topLinePunct w:val="0"/>
        <w:autoSpaceDE/>
        <w:autoSpaceDN/>
        <w:bidi w:val="0"/>
        <w:adjustRightInd/>
        <w:snapToGrid/>
        <w:ind w:firstLine="482"/>
        <w:textAlignment w:val="auto"/>
      </w:pPr>
      <w:r>
        <w:rPr>
          <w:b/>
        </w:rPr>
        <w:t>花溪区委宣传部、花溪区融媒体中心：</w:t>
      </w:r>
      <w:r>
        <w:t>协调区政府新闻发言人召开新闻发布会，及时发布突发事件进展情况及政府处置情况，向上级宣传部门上报信息，协调省市新闻媒体开展报道，正确引导社会舆论。</w:t>
      </w:r>
    </w:p>
    <w:p w14:paraId="628289EF">
      <w:pPr>
        <w:pageBreakBefore w:val="0"/>
        <w:widowControl w:val="0"/>
        <w:kinsoku/>
        <w:wordWrap/>
        <w:overflowPunct/>
        <w:topLinePunct w:val="0"/>
        <w:autoSpaceDE/>
        <w:autoSpaceDN/>
        <w:bidi w:val="0"/>
        <w:adjustRightInd/>
        <w:snapToGrid/>
        <w:ind w:firstLine="482"/>
        <w:textAlignment w:val="auto"/>
      </w:pPr>
      <w:r>
        <w:rPr>
          <w:b/>
        </w:rPr>
        <w:t>贵阳市生态环境局花溪分局：</w:t>
      </w:r>
      <w:r>
        <w:t>设立突发环境事件应急处置常设工作机构，收集和处理环境事件信息，负责环境事件日常监测与预警，提出启动预案以及加强或撤销控制措施的建议和意见。组织协调相关应急处置工作，制定应急处置有关技术方案，负责现场调查、查处、采样、监测，参与善后的环境恢复等工作。及时向贵阳市生态环境局报告有关突发环境事件以及应急处置情况。</w:t>
      </w:r>
    </w:p>
    <w:p w14:paraId="36960CFD">
      <w:pPr>
        <w:pageBreakBefore w:val="0"/>
        <w:widowControl w:val="0"/>
        <w:kinsoku/>
        <w:wordWrap/>
        <w:overflowPunct/>
        <w:topLinePunct w:val="0"/>
        <w:autoSpaceDE/>
        <w:autoSpaceDN/>
        <w:bidi w:val="0"/>
        <w:adjustRightInd/>
        <w:snapToGrid/>
        <w:ind w:firstLine="482"/>
        <w:textAlignment w:val="auto"/>
      </w:pPr>
      <w:r>
        <w:rPr>
          <w:rFonts w:hint="default" w:ascii="Times New Roman" w:hAnsi="Times New Roman" w:eastAsia="仿宋" w:cs="Times New Roman"/>
          <w:b/>
          <w:sz w:val="32"/>
          <w:szCs w:val="32"/>
        </w:rPr>
        <w:t>花溪区</w:t>
      </w:r>
      <w:r>
        <w:rPr>
          <w:rFonts w:hint="eastAsia" w:eastAsia="仿宋" w:cs="Times New Roman"/>
          <w:b/>
          <w:sz w:val="32"/>
          <w:szCs w:val="32"/>
          <w:lang w:val="en-US" w:eastAsia="zh-CN"/>
        </w:rPr>
        <w:t>生态环境保护</w:t>
      </w:r>
      <w:r>
        <w:rPr>
          <w:rFonts w:hint="default" w:ascii="Times New Roman" w:hAnsi="Times New Roman" w:eastAsia="仿宋" w:cs="Times New Roman"/>
          <w:b/>
          <w:sz w:val="32"/>
          <w:szCs w:val="32"/>
        </w:rPr>
        <w:t>综合行政执法</w:t>
      </w:r>
      <w:r>
        <w:rPr>
          <w:rFonts w:hint="eastAsia" w:eastAsia="仿宋" w:cs="Times New Roman"/>
          <w:b/>
          <w:sz w:val="32"/>
          <w:szCs w:val="32"/>
          <w:lang w:val="en-US" w:eastAsia="zh-CN"/>
        </w:rPr>
        <w:t>大队</w:t>
      </w:r>
      <w:r>
        <w:rPr>
          <w:rFonts w:hint="default" w:ascii="Times New Roman" w:hAnsi="Times New Roman" w:eastAsia="仿宋" w:cs="Times New Roman"/>
          <w:b/>
          <w:sz w:val="32"/>
          <w:szCs w:val="32"/>
        </w:rPr>
        <w:t>：</w:t>
      </w:r>
      <w:r>
        <w:t>负责组织协调发生环境事件的工业企业污染源头进行控制处理，消除污染危害；协助环保、安全生产监督管理等部门对突发环境事件进行调查、处理和善后工作；组织协调生产企业应急物资、设备的调度。</w:t>
      </w:r>
    </w:p>
    <w:p w14:paraId="61FE9545">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lang w:val="en-US" w:eastAsia="zh-CN"/>
        </w:rPr>
        <w:t>区水务局：</w:t>
      </w:r>
      <w:r>
        <w:rPr>
          <w:rFonts w:hint="default"/>
          <w:b w:val="0"/>
          <w:bCs/>
          <w:lang w:val="en-US" w:eastAsia="zh-CN"/>
        </w:rPr>
        <w:t>配合参加饮用水源相关事故的调查和处置事宜。</w:t>
      </w:r>
    </w:p>
    <w:p w14:paraId="4DF819D3">
      <w:pPr>
        <w:pageBreakBefore w:val="0"/>
        <w:widowControl w:val="0"/>
        <w:kinsoku/>
        <w:wordWrap/>
        <w:overflowPunct/>
        <w:topLinePunct w:val="0"/>
        <w:autoSpaceDE/>
        <w:autoSpaceDN/>
        <w:bidi w:val="0"/>
        <w:adjustRightInd/>
        <w:snapToGrid/>
        <w:ind w:firstLine="482"/>
        <w:textAlignment w:val="auto"/>
      </w:pPr>
      <w:r>
        <w:rPr>
          <w:b/>
        </w:rPr>
        <w:t>花溪区民政局：</w:t>
      </w:r>
      <w:r>
        <w:t>负责安排突发环境事件应急物资储备和提出动用贵阳市应急物资储备建议。</w:t>
      </w:r>
    </w:p>
    <w:p w14:paraId="0F24DCF3">
      <w:pPr>
        <w:pageBreakBefore w:val="0"/>
        <w:widowControl w:val="0"/>
        <w:kinsoku/>
        <w:wordWrap/>
        <w:overflowPunct/>
        <w:topLinePunct w:val="0"/>
        <w:autoSpaceDE/>
        <w:autoSpaceDN/>
        <w:bidi w:val="0"/>
        <w:adjustRightInd/>
        <w:snapToGrid/>
        <w:ind w:firstLine="482"/>
        <w:textAlignment w:val="auto"/>
      </w:pPr>
      <w:r>
        <w:rPr>
          <w:b/>
        </w:rPr>
        <w:t>花溪区人民医院：</w:t>
      </w:r>
      <w:r>
        <w:t>负责组织、调度医疗卫生技术力量开展医疗救护、卫生防疫等卫生应急工作；对重大疫情实施紧急处理，做好环境事件人员死亡</w:t>
      </w:r>
      <w:r>
        <w:rPr>
          <w:rFonts w:hint="eastAsia"/>
        </w:rPr>
        <w:t>医疗</w:t>
      </w:r>
      <w:r>
        <w:t>鉴定工作。同时，派出相关人员参与应急监测。</w:t>
      </w:r>
    </w:p>
    <w:p w14:paraId="7CAE4F06">
      <w:pPr>
        <w:pageBreakBefore w:val="0"/>
        <w:widowControl w:val="0"/>
        <w:kinsoku/>
        <w:wordWrap/>
        <w:overflowPunct/>
        <w:topLinePunct w:val="0"/>
        <w:autoSpaceDE/>
        <w:autoSpaceDN/>
        <w:bidi w:val="0"/>
        <w:adjustRightInd/>
        <w:snapToGrid/>
        <w:ind w:firstLine="482"/>
        <w:textAlignment w:val="auto"/>
      </w:pPr>
      <w:r>
        <w:rPr>
          <w:rFonts w:hint="eastAsia"/>
          <w:b/>
        </w:rPr>
        <w:t>花溪区信访局：</w:t>
      </w:r>
      <w:r>
        <w:rPr>
          <w:rFonts w:hint="eastAsia"/>
        </w:rPr>
        <w:t>负责处理受影响群众上访、信访工作。</w:t>
      </w:r>
    </w:p>
    <w:p w14:paraId="2294C996">
      <w:pPr>
        <w:pageBreakBefore w:val="0"/>
        <w:widowControl w:val="0"/>
        <w:kinsoku/>
        <w:wordWrap/>
        <w:overflowPunct/>
        <w:topLinePunct w:val="0"/>
        <w:autoSpaceDE/>
        <w:autoSpaceDN/>
        <w:bidi w:val="0"/>
        <w:adjustRightInd/>
        <w:snapToGrid/>
        <w:ind w:firstLine="482"/>
        <w:textAlignment w:val="auto"/>
      </w:pPr>
      <w:r>
        <w:rPr>
          <w:rFonts w:hint="eastAsia"/>
          <w:b/>
        </w:rPr>
        <w:t>花溪区委宣传部：</w:t>
      </w:r>
      <w:r>
        <w:rPr>
          <w:rFonts w:hint="eastAsia"/>
        </w:rPr>
        <w:t>协调区政府新闻发言人召开新闻发布会或新闻通气会，及时发布突发事件进展情况及政府处置情况，正面引导舆论。</w:t>
      </w:r>
    </w:p>
    <w:p w14:paraId="748B02DA">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eastAsia"/>
          <w:b/>
          <w:lang w:val="en-US" w:eastAsia="zh-CN"/>
        </w:rPr>
        <w:t>花溪</w:t>
      </w:r>
      <w:r>
        <w:rPr>
          <w:rFonts w:hint="default"/>
          <w:b/>
          <w:lang w:val="en-US" w:eastAsia="zh-CN"/>
        </w:rPr>
        <w:t>区人武部：</w:t>
      </w:r>
      <w:r>
        <w:rPr>
          <w:rFonts w:hint="default"/>
          <w:b w:val="0"/>
          <w:bCs/>
          <w:lang w:val="en-US" w:eastAsia="zh-CN"/>
        </w:rPr>
        <w:t>参与一般、较大、重大、特大等环境事件的应急救援，协助控制和降低环境事件的危害。</w:t>
      </w:r>
    </w:p>
    <w:p w14:paraId="284D8197">
      <w:pPr>
        <w:pageBreakBefore w:val="0"/>
        <w:kinsoku/>
        <w:wordWrap/>
        <w:overflowPunct/>
        <w:topLinePunct w:val="0"/>
        <w:bidi w:val="0"/>
        <w:ind w:left="0" w:leftChars="0" w:firstLine="0" w:firstLineChars="0"/>
        <w:textAlignment w:val="auto"/>
        <w:rPr>
          <w:rFonts w:hint="default"/>
          <w:color w:val="auto"/>
          <w:highlight w:val="none"/>
          <w:lang w:val="en-US" w:eastAsia="zh-CN"/>
        </w:rPr>
      </w:pPr>
    </w:p>
    <w:p w14:paraId="39A111BA">
      <w:pPr>
        <w:pageBreakBefore w:val="0"/>
        <w:kinsoku/>
        <w:wordWrap/>
        <w:overflowPunct/>
        <w:topLinePunct w:val="0"/>
        <w:bidi w:val="0"/>
        <w:textAlignment w:val="auto"/>
        <w:rPr>
          <w:rFonts w:hint="default"/>
          <w:color w:val="auto"/>
          <w:highlight w:val="none"/>
          <w:lang w:val="en-US" w:eastAsia="zh-CN"/>
        </w:rPr>
      </w:pPr>
    </w:p>
    <w:p w14:paraId="1C9F66EB">
      <w:pPr>
        <w:pageBreakBefore w:val="0"/>
        <w:kinsoku/>
        <w:wordWrap/>
        <w:overflowPunct/>
        <w:topLinePunct w:val="0"/>
        <w:bidi w:val="0"/>
        <w:textAlignment w:val="auto"/>
        <w:rPr>
          <w:rFonts w:hint="default"/>
          <w:color w:val="auto"/>
          <w:highlight w:val="none"/>
          <w:lang w:val="en-US" w:eastAsia="zh-CN"/>
        </w:rPr>
      </w:pPr>
    </w:p>
    <w:p w14:paraId="0594856C">
      <w:pPr>
        <w:pageBreakBefore w:val="0"/>
        <w:kinsoku/>
        <w:wordWrap/>
        <w:overflowPunct/>
        <w:topLinePunct w:val="0"/>
        <w:bidi w:val="0"/>
        <w:textAlignment w:val="auto"/>
        <w:rPr>
          <w:rFonts w:hint="default"/>
          <w:color w:val="auto"/>
          <w:highlight w:val="none"/>
          <w:lang w:val="en-US" w:eastAsia="zh-CN"/>
        </w:rPr>
      </w:pPr>
    </w:p>
    <w:p w14:paraId="22B68998">
      <w:pPr>
        <w:pageBreakBefore w:val="0"/>
        <w:kinsoku/>
        <w:wordWrap/>
        <w:overflowPunct/>
        <w:topLinePunct w:val="0"/>
        <w:bidi w:val="0"/>
        <w:textAlignment w:val="auto"/>
        <w:rPr>
          <w:rFonts w:hint="default"/>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6E02D97A">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highlight w:val="none"/>
          <w:lang w:val="en-US" w:eastAsia="zh-CN"/>
        </w:rPr>
      </w:pPr>
      <w:bookmarkStart w:id="15" w:name="_Toc8151"/>
      <w:r>
        <w:rPr>
          <w:rFonts w:hint="default" w:ascii="Times New Roman" w:hAnsi="Times New Roman" w:cs="Times New Roman"/>
          <w:color w:val="auto"/>
          <w:highlight w:val="none"/>
          <w:lang w:val="en-US" w:eastAsia="zh-CN"/>
        </w:rPr>
        <w:t>3 预防预警机制</w:t>
      </w:r>
      <w:bookmarkEnd w:id="15"/>
    </w:p>
    <w:p w14:paraId="26056739">
      <w:pPr>
        <w:pStyle w:val="5"/>
        <w:pageBreakBefore w:val="0"/>
        <w:widowControl w:val="0"/>
        <w:kinsoku/>
        <w:wordWrap/>
        <w:overflowPunct/>
        <w:topLinePunct w:val="0"/>
        <w:autoSpaceDE/>
        <w:autoSpaceDN/>
        <w:bidi w:val="0"/>
        <w:adjustRightInd/>
        <w:snapToGrid/>
        <w:spacing w:beforeLines="0" w:afterLines="0"/>
        <w:textAlignment w:val="auto"/>
        <w:rPr>
          <w:rFonts w:hint="default"/>
          <w:color w:val="auto"/>
          <w:highlight w:val="none"/>
          <w:lang w:val="en-US" w:eastAsia="zh-CN"/>
        </w:rPr>
      </w:pPr>
      <w:bookmarkStart w:id="16" w:name="_Toc2287"/>
      <w:r>
        <w:rPr>
          <w:rFonts w:hint="eastAsia"/>
          <w:color w:val="auto"/>
          <w:highlight w:val="none"/>
          <w:lang w:val="en-US" w:eastAsia="zh-CN"/>
        </w:rPr>
        <w:t>3</w:t>
      </w:r>
      <w:r>
        <w:rPr>
          <w:rFonts w:hint="default"/>
          <w:color w:val="auto"/>
          <w:highlight w:val="none"/>
          <w:lang w:val="en-US" w:eastAsia="zh-CN"/>
        </w:rPr>
        <w:t>.1 事</w:t>
      </w:r>
      <w:r>
        <w:rPr>
          <w:rFonts w:hint="eastAsia"/>
          <w:color w:val="auto"/>
          <w:highlight w:val="none"/>
          <w:lang w:val="en-US" w:eastAsia="zh-CN"/>
        </w:rPr>
        <w:t>件</w:t>
      </w:r>
      <w:r>
        <w:rPr>
          <w:rFonts w:hint="default"/>
          <w:color w:val="auto"/>
          <w:highlight w:val="none"/>
          <w:lang w:val="en-US" w:eastAsia="zh-CN"/>
        </w:rPr>
        <w:t>分级</w:t>
      </w:r>
      <w:bookmarkEnd w:id="16"/>
    </w:p>
    <w:p w14:paraId="6D9E412E">
      <w:pPr>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color w:val="auto"/>
          <w:highlight w:val="none"/>
          <w:lang w:val="en-US" w:eastAsia="zh-CN"/>
        </w:rPr>
        <w:t>根据《贵州省饮用水源地突发环境事件应急预案》分级标准，本预案将平</w:t>
      </w:r>
      <w:r>
        <w:rPr>
          <w:rFonts w:hint="eastAsia"/>
          <w:color w:val="auto"/>
          <w:highlight w:val="none"/>
          <w:lang w:val="en-US" w:eastAsia="zh-CN"/>
        </w:rPr>
        <w:t>花溪区</w:t>
      </w:r>
      <w:r>
        <w:rPr>
          <w:rFonts w:hint="default"/>
          <w:color w:val="auto"/>
          <w:highlight w:val="none"/>
          <w:lang w:val="en-US" w:eastAsia="zh-CN"/>
        </w:rPr>
        <w:t>集中式饮用水水源地突发环境事件分为特别重大（Ⅰ级）、重大（Ⅱ级）、较大（Ⅲ级）和一般（Ⅳ级）四级，相应的预警信号分别为红色、橙色、黄色、蓝色。</w:t>
      </w:r>
    </w:p>
    <w:p w14:paraId="58A221D6">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7" w:name="_Toc21475"/>
      <w:r>
        <w:rPr>
          <w:rFonts w:hint="eastAsia"/>
          <w:lang w:val="en-US" w:eastAsia="zh-CN"/>
        </w:rPr>
        <w:t>3</w:t>
      </w:r>
      <w:r>
        <w:rPr>
          <w:rFonts w:hint="default"/>
          <w:lang w:val="en-US" w:eastAsia="zh-CN"/>
        </w:rPr>
        <w:t>.1.1 特别重大突发环境事件（Ⅰ级）</w:t>
      </w:r>
      <w:bookmarkEnd w:id="17"/>
    </w:p>
    <w:p w14:paraId="4D6857CA">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10人以上死亡，或100人以上中毒，或因饮用水源污染需疏散、转移群众5万人以上，或造成直接经济损失1亿元以上的环境事件；因饮用水源污染造成区域生态功能丧失或国家重点保护物种灭绝的环境事件；因饮用水源污染造成市级以上城市集中式饮用水水源地取水中断的环境事件。</w:t>
      </w:r>
    </w:p>
    <w:p w14:paraId="32BC9E0D">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8" w:name="_Toc9859"/>
      <w:r>
        <w:rPr>
          <w:rFonts w:hint="eastAsia"/>
          <w:lang w:val="en-US" w:eastAsia="zh-CN"/>
        </w:rPr>
        <w:t>3</w:t>
      </w:r>
      <w:r>
        <w:rPr>
          <w:rFonts w:hint="default"/>
          <w:lang w:val="en-US" w:eastAsia="zh-CN"/>
        </w:rPr>
        <w:t>.1.2 重大突发环境事件（Ⅱ级）</w:t>
      </w:r>
      <w:bookmarkEnd w:id="18"/>
    </w:p>
    <w:p w14:paraId="759B8CBA">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3人以上、10人以下死亡，或50人以上、100人以下中毒；或因饮用水源污染需疏散、转移群众1万人以上、5万人以下，或造成直接经济损失2000万元以上、1亿元以下的环境事件。因饮用水源污染造成区域生态功能部分丧失或国家重点保护野生动植物种群大批死亡的环境事件；因饮用水源污染造成</w:t>
      </w:r>
      <w:r>
        <w:rPr>
          <w:rFonts w:hint="eastAsia"/>
          <w:lang w:val="en-US" w:eastAsia="zh-CN"/>
        </w:rPr>
        <w:t>区</w:t>
      </w:r>
      <w:r>
        <w:rPr>
          <w:rFonts w:hint="default"/>
          <w:lang w:val="en-US" w:eastAsia="zh-CN"/>
        </w:rPr>
        <w:t>级城市集中式饮水水源地取水中断的环境事件。</w:t>
      </w:r>
    </w:p>
    <w:p w14:paraId="60237BEF">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9" w:name="_Toc412"/>
      <w:r>
        <w:rPr>
          <w:rFonts w:hint="eastAsia"/>
          <w:lang w:val="en-US" w:eastAsia="zh-CN"/>
        </w:rPr>
        <w:t>3</w:t>
      </w:r>
      <w:r>
        <w:rPr>
          <w:rFonts w:hint="default"/>
          <w:lang w:val="en-US" w:eastAsia="zh-CN"/>
        </w:rPr>
        <w:t>.1.3 较大突发环境事件（Ⅲ级）</w:t>
      </w:r>
      <w:bookmarkEnd w:id="19"/>
    </w:p>
    <w:p w14:paraId="3CF5AE35">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3人以下死亡，或10人以上、50人以下中毒的；或因饮用水源污染需疏散、转移群众5000人以上、1万人以下的，或造成直接经济损失500万元以上、2000万元以下的环境事件；因饮用水源污染造成国家重点保护的动植物物种受到破坏的环境事件。因饮用水源污染造成乡（镇）</w:t>
      </w:r>
      <w:r>
        <w:rPr>
          <w:rFonts w:hint="eastAsia"/>
          <w:lang w:val="en-US" w:eastAsia="zh-CN"/>
        </w:rPr>
        <w:t>集中式饮用水水源地</w:t>
      </w:r>
      <w:r>
        <w:rPr>
          <w:rFonts w:hint="default"/>
          <w:lang w:val="en-US" w:eastAsia="zh-CN"/>
        </w:rPr>
        <w:t>供水中断的环境事件。</w:t>
      </w:r>
    </w:p>
    <w:p w14:paraId="1B252D1B">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0" w:name="_Toc28434"/>
      <w:r>
        <w:rPr>
          <w:rFonts w:hint="eastAsia"/>
          <w:lang w:val="en-US" w:eastAsia="zh-CN"/>
        </w:rPr>
        <w:t>3</w:t>
      </w:r>
      <w:r>
        <w:rPr>
          <w:rFonts w:hint="default"/>
          <w:lang w:val="en-US" w:eastAsia="zh-CN"/>
        </w:rPr>
        <w:t>.1.4 一般突发环境事件（Ⅳ级）</w:t>
      </w:r>
      <w:bookmarkEnd w:id="20"/>
    </w:p>
    <w:p w14:paraId="29AAF073">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因饮用水源污染直接导致10人以下中毒的；因饮用水源污染造成直接经济损失500万元以下的；因环境污染造成村</w:t>
      </w:r>
      <w:r>
        <w:rPr>
          <w:rFonts w:hint="eastAsia"/>
          <w:lang w:val="en-US" w:eastAsia="zh-CN"/>
        </w:rPr>
        <w:t>集中式饮用水水源地</w:t>
      </w:r>
      <w:r>
        <w:rPr>
          <w:rFonts w:hint="default"/>
          <w:lang w:val="en-US" w:eastAsia="zh-CN"/>
        </w:rPr>
        <w:t>取水中断的。</w:t>
      </w:r>
    </w:p>
    <w:p w14:paraId="355637FE">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1" w:name="_Toc861"/>
      <w:r>
        <w:rPr>
          <w:rFonts w:hint="eastAsia"/>
          <w:lang w:val="en-US" w:eastAsia="zh-CN"/>
        </w:rPr>
        <w:t>3</w:t>
      </w:r>
      <w:r>
        <w:rPr>
          <w:rFonts w:hint="default"/>
          <w:lang w:val="en-US" w:eastAsia="zh-CN"/>
        </w:rPr>
        <w:t>.2 预防工作</w:t>
      </w:r>
      <w:bookmarkEnd w:id="21"/>
    </w:p>
    <w:p w14:paraId="103F73E9">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2" w:name="_Toc26023"/>
      <w:r>
        <w:rPr>
          <w:rFonts w:hint="eastAsia"/>
          <w:lang w:val="en-US" w:eastAsia="zh-CN"/>
        </w:rPr>
        <w:t>3</w:t>
      </w:r>
      <w:r>
        <w:rPr>
          <w:rFonts w:hint="default"/>
          <w:lang w:val="en-US" w:eastAsia="zh-CN"/>
        </w:rPr>
        <w:t>.2.1 建立事故预防系统</w:t>
      </w:r>
      <w:bookmarkEnd w:id="22"/>
    </w:p>
    <w:p w14:paraId="34EE18F7">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应急办公室强化饮用水源地的安全管理，定期进行安全检查和督察，及早发现并消除安全隐患，达到预防饮用水污染事件发生的效果。建立通畅的信息流通渠道，及时收集可能导致饮用水源污染的因素，及时通报，并督促立即整改到位。坚持“谁主管，谁负责”的原则，督促落实供水单位、主管人员安全防范责任制。</w:t>
      </w:r>
    </w:p>
    <w:p w14:paraId="3CD14E4F">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3" w:name="_Toc434"/>
      <w:r>
        <w:rPr>
          <w:rFonts w:hint="eastAsia"/>
          <w:lang w:val="en-US" w:eastAsia="zh-CN"/>
        </w:rPr>
        <w:t>3</w:t>
      </w:r>
      <w:r>
        <w:rPr>
          <w:rFonts w:hint="default"/>
          <w:lang w:val="en-US" w:eastAsia="zh-CN"/>
        </w:rPr>
        <w:t>.2.2 加强日常巡检</w:t>
      </w:r>
      <w:bookmarkEnd w:id="23"/>
    </w:p>
    <w:p w14:paraId="1A14005E">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强饮用水源地周边区域及补水区范围内存在的重点潜在环境污染风险源的监督和管理工作，对风险源的环保设施、生产、运输工艺设备运行状况进行定期巡检，检查其封闭性，安全性及正常使用情况，使使用、储存和输送过程都在正常情况下进行，防止易燃易爆及有毒有害废物的泄漏。</w:t>
      </w:r>
    </w:p>
    <w:p w14:paraId="3DB9B84C">
      <w:pPr>
        <w:pageBreakBefore w:val="0"/>
        <w:widowControl w:val="0"/>
        <w:kinsoku/>
        <w:wordWrap/>
        <w:overflowPunct/>
        <w:topLinePunct w:val="0"/>
        <w:autoSpaceDE/>
        <w:autoSpaceDN/>
        <w:bidi w:val="0"/>
        <w:adjustRightInd/>
        <w:snapToGrid/>
        <w:ind w:firstLine="0" w:firstLineChars="0"/>
        <w:jc w:val="left"/>
        <w:textAlignment w:val="auto"/>
        <w:outlineLvl w:val="1"/>
        <w:rPr>
          <w:b/>
          <w:color w:val="000000"/>
          <w:szCs w:val="28"/>
        </w:rPr>
      </w:pPr>
      <w:bookmarkStart w:id="24" w:name="_Toc17291"/>
      <w:bookmarkStart w:id="25" w:name="_Toc66717013"/>
      <w:bookmarkStart w:id="26" w:name="_Toc345405216"/>
      <w:r>
        <w:rPr>
          <w:rFonts w:hint="eastAsia"/>
          <w:b/>
          <w:color w:val="000000"/>
          <w:szCs w:val="28"/>
        </w:rPr>
        <w:t>3</w:t>
      </w:r>
      <w:r>
        <w:rPr>
          <w:b/>
          <w:color w:val="000000"/>
          <w:szCs w:val="28"/>
        </w:rPr>
        <w:t>.3 预警</w:t>
      </w:r>
      <w:bookmarkEnd w:id="24"/>
      <w:bookmarkEnd w:id="25"/>
      <w:bookmarkEnd w:id="26"/>
    </w:p>
    <w:p w14:paraId="24D729F7">
      <w:pPr>
        <w:pageBreakBefore w:val="0"/>
        <w:widowControl w:val="0"/>
        <w:kinsoku/>
        <w:wordWrap/>
        <w:overflowPunct/>
        <w:topLinePunct w:val="0"/>
        <w:autoSpaceDE/>
        <w:autoSpaceDN/>
        <w:bidi w:val="0"/>
        <w:adjustRightInd/>
        <w:snapToGrid/>
        <w:ind w:firstLine="0" w:firstLineChars="0"/>
        <w:jc w:val="left"/>
        <w:textAlignment w:val="auto"/>
        <w:outlineLvl w:val="2"/>
        <w:rPr>
          <w:b/>
          <w:color w:val="000000"/>
          <w:szCs w:val="24"/>
        </w:rPr>
      </w:pPr>
      <w:bookmarkStart w:id="27" w:name="_Toc66717014"/>
      <w:bookmarkStart w:id="28" w:name="_Toc24582"/>
      <w:r>
        <w:rPr>
          <w:rFonts w:hint="eastAsia"/>
          <w:b/>
          <w:color w:val="000000"/>
          <w:szCs w:val="24"/>
        </w:rPr>
        <w:t>3</w:t>
      </w:r>
      <w:r>
        <w:rPr>
          <w:b/>
          <w:color w:val="000000"/>
          <w:szCs w:val="24"/>
        </w:rPr>
        <w:t>.3.1 预警</w:t>
      </w:r>
      <w:r>
        <w:rPr>
          <w:rFonts w:hint="eastAsia"/>
          <w:b/>
          <w:color w:val="000000"/>
          <w:szCs w:val="24"/>
        </w:rPr>
        <w:t>启动条件</w:t>
      </w:r>
      <w:bookmarkEnd w:id="27"/>
      <w:bookmarkEnd w:id="28"/>
    </w:p>
    <w:p w14:paraId="431F693D">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根据饮用水源地突发环境事件发生的紧急程度、发展势态和可能造成的危害程度，预警分为一级、二级、三级和四级，分别用红色、橙色、黄色和蓝色标示，一级为最高预警级别。</w:t>
      </w:r>
    </w:p>
    <w:p w14:paraId="39D2BBF0">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四级（蓝色）预警：可能发生一般突发环境事件时，启动蓝色预警。</w:t>
      </w:r>
    </w:p>
    <w:p w14:paraId="7F60E3CA">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三级（黄色）预警：可能发生较大突发环境事件时，启动黄色预警。</w:t>
      </w:r>
    </w:p>
    <w:p w14:paraId="147043F8">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二级（橙色）预警：可能发生重大突发环境事件时，启动橙色预警。</w:t>
      </w:r>
    </w:p>
    <w:p w14:paraId="2C1E2EF9">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一级（红色）预警：可能发生特别重大突发环境事件时，启动红色预警。</w:t>
      </w:r>
    </w:p>
    <w:p w14:paraId="58AFC807">
      <w:pPr>
        <w:pageBreakBefore w:val="0"/>
        <w:widowControl w:val="0"/>
        <w:kinsoku/>
        <w:wordWrap/>
        <w:overflowPunct/>
        <w:topLinePunct w:val="0"/>
        <w:autoSpaceDE/>
        <w:autoSpaceDN/>
        <w:bidi w:val="0"/>
        <w:adjustRightInd/>
        <w:snapToGrid/>
        <w:ind w:firstLine="0" w:firstLineChars="0"/>
        <w:jc w:val="left"/>
        <w:textAlignment w:val="auto"/>
        <w:outlineLvl w:val="2"/>
        <w:rPr>
          <w:b/>
          <w:szCs w:val="24"/>
        </w:rPr>
      </w:pPr>
      <w:bookmarkStart w:id="29" w:name="_Toc66717015"/>
      <w:bookmarkStart w:id="30" w:name="_Toc14511"/>
      <w:r>
        <w:rPr>
          <w:b/>
          <w:szCs w:val="24"/>
        </w:rPr>
        <w:t>3.3.2 预警发布</w:t>
      </w:r>
      <w:bookmarkEnd w:id="29"/>
      <w:bookmarkEnd w:id="30"/>
    </w:p>
    <w:p w14:paraId="6562B891">
      <w:pPr>
        <w:pageBreakBefore w:val="0"/>
        <w:widowControl w:val="0"/>
        <w:kinsoku/>
        <w:wordWrap/>
        <w:overflowPunct/>
        <w:topLinePunct w:val="0"/>
        <w:autoSpaceDE/>
        <w:autoSpaceDN/>
        <w:bidi w:val="0"/>
        <w:adjustRightInd/>
        <w:snapToGrid/>
        <w:ind w:firstLine="480"/>
        <w:textAlignment w:val="auto"/>
        <w:rPr>
          <w:bCs/>
          <w:szCs w:val="24"/>
        </w:rPr>
      </w:pPr>
      <w:bookmarkStart w:id="31" w:name="_Hlk40716623"/>
      <w:r>
        <w:rPr>
          <w:bCs/>
          <w:szCs w:val="24"/>
        </w:rPr>
        <w:t>应急指挥部</w:t>
      </w:r>
      <w:bookmarkEnd w:id="31"/>
      <w:r>
        <w:rPr>
          <w:bCs/>
          <w:szCs w:val="24"/>
        </w:rPr>
        <w:t>根据事件信息进行跟踪收集和研判，并根据达到的预警级别条件发布相应的预警。预警的发布、解除均通过应急指挥部以书面形式予以公告。</w:t>
      </w:r>
    </w:p>
    <w:p w14:paraId="2DBC5495">
      <w:pPr>
        <w:pageBreakBefore w:val="0"/>
        <w:widowControl w:val="0"/>
        <w:kinsoku/>
        <w:wordWrap/>
        <w:overflowPunct/>
        <w:topLinePunct w:val="0"/>
        <w:autoSpaceDE/>
        <w:autoSpaceDN/>
        <w:bidi w:val="0"/>
        <w:adjustRightInd/>
        <w:snapToGrid/>
        <w:ind w:firstLine="480"/>
        <w:textAlignment w:val="auto"/>
        <w:rPr>
          <w:bCs/>
          <w:szCs w:val="24"/>
        </w:rPr>
      </w:pPr>
      <w:r>
        <w:rPr>
          <w:bCs/>
          <w:szCs w:val="24"/>
        </w:rPr>
        <w:t>预警信息发布后，可根据事态发展、采取措施的效果，适时调整预警级别并再次发布。应急办公室根据发布的预警通报，及时通报预警信息，指令各相关部门采取有效预防措施，防止或减少突发事件的发生</w:t>
      </w:r>
    </w:p>
    <w:p w14:paraId="0F4C2AF6">
      <w:pPr>
        <w:pageBreakBefore w:val="0"/>
        <w:widowControl w:val="0"/>
        <w:kinsoku/>
        <w:wordWrap/>
        <w:overflowPunct/>
        <w:topLinePunct w:val="0"/>
        <w:autoSpaceDE/>
        <w:autoSpaceDN/>
        <w:bidi w:val="0"/>
        <w:adjustRightInd/>
        <w:snapToGrid/>
        <w:ind w:firstLine="480"/>
        <w:textAlignment w:val="auto"/>
        <w:rPr>
          <w:bCs/>
          <w:szCs w:val="24"/>
        </w:rPr>
      </w:pPr>
      <w:r>
        <w:rPr>
          <w:bCs/>
          <w:szCs w:val="24"/>
        </w:rPr>
        <w:t>按照突发事件的严重性、紧急程度和可能波及的范围，对突发环境事件的预警进行分级。根据事态的发展情况和采取措施的效果，预警可以升级、降级或解除。</w:t>
      </w:r>
    </w:p>
    <w:p w14:paraId="6D44E43E">
      <w:pPr>
        <w:pageBreakBefore w:val="0"/>
        <w:widowControl w:val="0"/>
        <w:kinsoku/>
        <w:wordWrap/>
        <w:overflowPunct/>
        <w:topLinePunct w:val="0"/>
        <w:autoSpaceDE/>
        <w:autoSpaceDN/>
        <w:bidi w:val="0"/>
        <w:adjustRightInd/>
        <w:snapToGrid/>
        <w:ind w:firstLine="480"/>
        <w:textAlignment w:val="auto"/>
        <w:rPr>
          <w:bCs/>
          <w:szCs w:val="24"/>
        </w:rPr>
      </w:pPr>
      <w:r>
        <w:rPr>
          <w:bCs/>
          <w:szCs w:val="24"/>
        </w:rPr>
        <w:t>饮用水源地突发事件预警分为四个级别，其预警级别及发布程序为：</w:t>
      </w:r>
    </w:p>
    <w:p w14:paraId="6C5E0313">
      <w:pPr>
        <w:pageBreakBefore w:val="0"/>
        <w:widowControl w:val="0"/>
        <w:kinsoku/>
        <w:wordWrap/>
        <w:overflowPunct/>
        <w:topLinePunct w:val="0"/>
        <w:autoSpaceDE/>
        <w:autoSpaceDN/>
        <w:bidi w:val="0"/>
        <w:adjustRightInd/>
        <w:snapToGrid/>
        <w:ind w:firstLine="480"/>
        <w:textAlignment w:val="auto"/>
        <w:rPr>
          <w:bCs/>
          <w:szCs w:val="24"/>
        </w:rPr>
      </w:pPr>
      <w:r>
        <w:rPr>
          <w:rFonts w:hint="eastAsia" w:ascii="宋体" w:hAnsi="宋体" w:cs="宋体"/>
          <w:bCs/>
          <w:szCs w:val="24"/>
        </w:rPr>
        <w:t>①</w:t>
      </w:r>
      <w:r>
        <w:rPr>
          <w:bCs/>
          <w:szCs w:val="24"/>
        </w:rPr>
        <w:t>一般（Ⅳ</w:t>
      </w:r>
      <w:r>
        <w:rPr>
          <w:rFonts w:hint="eastAsia"/>
          <w:bCs/>
          <w:szCs w:val="24"/>
        </w:rPr>
        <w:t>级</w:t>
      </w:r>
      <w:r>
        <w:rPr>
          <w:bCs/>
          <w:szCs w:val="24"/>
        </w:rPr>
        <w:t>、蓝色）由</w:t>
      </w:r>
      <w:r>
        <w:rPr>
          <w:rFonts w:hint="eastAsia"/>
          <w:bCs/>
          <w:szCs w:val="24"/>
          <w:lang w:val="en-US" w:eastAsia="zh-CN"/>
        </w:rPr>
        <w:t>花溪</w:t>
      </w:r>
      <w:r>
        <w:t>区饮用水源地突发</w:t>
      </w:r>
      <w:r>
        <w:rPr>
          <w:rFonts w:hint="eastAsia"/>
        </w:rPr>
        <w:t>环境</w:t>
      </w:r>
      <w:r>
        <w:t>事件应急指挥部</w:t>
      </w:r>
      <w:r>
        <w:rPr>
          <w:bCs/>
          <w:szCs w:val="24"/>
        </w:rPr>
        <w:t>发布预警；</w:t>
      </w:r>
    </w:p>
    <w:p w14:paraId="3C1C771F">
      <w:pPr>
        <w:pageBreakBefore w:val="0"/>
        <w:widowControl w:val="0"/>
        <w:kinsoku/>
        <w:wordWrap/>
        <w:overflowPunct/>
        <w:topLinePunct w:val="0"/>
        <w:autoSpaceDE/>
        <w:autoSpaceDN/>
        <w:bidi w:val="0"/>
        <w:adjustRightInd/>
        <w:snapToGrid/>
        <w:ind w:firstLine="480"/>
        <w:textAlignment w:val="auto"/>
        <w:rPr>
          <w:rFonts w:hint="eastAsia"/>
          <w:bCs/>
          <w:szCs w:val="24"/>
        </w:rPr>
      </w:pPr>
      <w:r>
        <w:rPr>
          <w:rFonts w:hint="eastAsia" w:ascii="宋体" w:hAnsi="宋体" w:cs="宋体"/>
          <w:bCs/>
          <w:szCs w:val="24"/>
        </w:rPr>
        <w:t>②</w:t>
      </w:r>
      <w:r>
        <w:rPr>
          <w:bCs/>
          <w:szCs w:val="24"/>
        </w:rPr>
        <w:t>较大（Ⅲ级、黄色）由</w:t>
      </w:r>
      <w:r>
        <w:rPr>
          <w:rFonts w:hint="eastAsia"/>
          <w:bCs/>
          <w:szCs w:val="24"/>
          <w:lang w:val="en-US" w:eastAsia="zh-CN"/>
        </w:rPr>
        <w:t>花溪</w:t>
      </w:r>
      <w:r>
        <w:t>区饮用水源地突发</w:t>
      </w:r>
      <w:r>
        <w:rPr>
          <w:rFonts w:hint="eastAsia"/>
        </w:rPr>
        <w:t>环境</w:t>
      </w:r>
      <w:r>
        <w:t>事件应急指挥部</w:t>
      </w:r>
      <w:r>
        <w:rPr>
          <w:bCs/>
          <w:szCs w:val="24"/>
        </w:rPr>
        <w:t>报经贵阳市人民政府批准后发布</w:t>
      </w:r>
      <w:r>
        <w:rPr>
          <w:rFonts w:hint="eastAsia"/>
          <w:bCs/>
          <w:szCs w:val="24"/>
        </w:rPr>
        <w:t>；</w:t>
      </w:r>
    </w:p>
    <w:p w14:paraId="53D8E6D7">
      <w:pPr>
        <w:pageBreakBefore w:val="0"/>
        <w:widowControl w:val="0"/>
        <w:kinsoku/>
        <w:wordWrap/>
        <w:overflowPunct/>
        <w:topLinePunct w:val="0"/>
        <w:autoSpaceDE/>
        <w:autoSpaceDN/>
        <w:bidi w:val="0"/>
        <w:adjustRightInd/>
        <w:snapToGrid/>
        <w:ind w:firstLine="480"/>
        <w:textAlignment w:val="auto"/>
        <w:rPr>
          <w:bCs/>
          <w:szCs w:val="24"/>
        </w:rPr>
      </w:pPr>
      <w:r>
        <w:rPr>
          <w:rFonts w:hint="eastAsia" w:ascii="宋体" w:hAnsi="宋体" w:cs="宋体"/>
          <w:bCs/>
          <w:szCs w:val="24"/>
        </w:rPr>
        <w:t>③</w:t>
      </w:r>
      <w:r>
        <w:rPr>
          <w:bCs/>
          <w:szCs w:val="24"/>
        </w:rPr>
        <w:t>重大（Ⅱ级、橙色）橙色预警信号由省级预警预测主管部门报省人民政府批准发布。</w:t>
      </w:r>
    </w:p>
    <w:p w14:paraId="4E80E904">
      <w:pPr>
        <w:pageBreakBefore w:val="0"/>
        <w:widowControl w:val="0"/>
        <w:kinsoku/>
        <w:wordWrap/>
        <w:overflowPunct/>
        <w:topLinePunct w:val="0"/>
        <w:autoSpaceDE/>
        <w:autoSpaceDN/>
        <w:bidi w:val="0"/>
        <w:adjustRightInd/>
        <w:snapToGrid/>
        <w:ind w:firstLine="480"/>
        <w:textAlignment w:val="auto"/>
        <w:rPr>
          <w:bCs/>
          <w:szCs w:val="24"/>
        </w:rPr>
      </w:pPr>
      <w:r>
        <w:rPr>
          <w:rFonts w:hint="eastAsia" w:ascii="宋体" w:hAnsi="宋体" w:cs="宋体"/>
          <w:bCs/>
          <w:szCs w:val="24"/>
        </w:rPr>
        <w:t>④</w:t>
      </w:r>
      <w:r>
        <w:rPr>
          <w:bCs/>
          <w:szCs w:val="24"/>
        </w:rPr>
        <w:t>特别重大（Ⅰ级、红色）由省级预警预测主管部门报省人民政府批准发布。</w:t>
      </w:r>
    </w:p>
    <w:p w14:paraId="3A8946BC">
      <w:pPr>
        <w:pageBreakBefore w:val="0"/>
        <w:widowControl w:val="0"/>
        <w:kinsoku/>
        <w:wordWrap/>
        <w:overflowPunct/>
        <w:topLinePunct w:val="0"/>
        <w:autoSpaceDE/>
        <w:autoSpaceDN/>
        <w:bidi w:val="0"/>
        <w:adjustRightInd/>
        <w:snapToGrid/>
        <w:ind w:firstLine="0" w:firstLineChars="0"/>
        <w:jc w:val="left"/>
        <w:textAlignment w:val="auto"/>
        <w:outlineLvl w:val="2"/>
        <w:rPr>
          <w:b/>
          <w:szCs w:val="24"/>
        </w:rPr>
      </w:pPr>
      <w:bookmarkStart w:id="32" w:name="_Toc66717016"/>
      <w:bookmarkStart w:id="33" w:name="_Toc26583"/>
      <w:r>
        <w:rPr>
          <w:b/>
          <w:szCs w:val="24"/>
        </w:rPr>
        <w:t>3.3.3 预警措施</w:t>
      </w:r>
      <w:bookmarkEnd w:id="32"/>
      <w:bookmarkEnd w:id="33"/>
    </w:p>
    <w:p w14:paraId="727DAC95">
      <w:pPr>
        <w:pageBreakBefore w:val="0"/>
        <w:widowControl w:val="0"/>
        <w:kinsoku/>
        <w:wordWrap/>
        <w:overflowPunct/>
        <w:topLinePunct w:val="0"/>
        <w:autoSpaceDE/>
        <w:autoSpaceDN/>
        <w:bidi w:val="0"/>
        <w:adjustRightInd/>
        <w:snapToGrid/>
        <w:ind w:firstLine="480"/>
        <w:textAlignment w:val="auto"/>
        <w:rPr>
          <w:szCs w:val="24"/>
        </w:rPr>
      </w:pPr>
      <w:r>
        <w:rPr>
          <w:szCs w:val="24"/>
        </w:rPr>
        <w:t>发布预警信息发布时，应急办公室立即通知应急指挥部中的有关单位和人员做好应急准备，进入待命状态，必要时到达现场开展相关工作。当发布黄色及以上预警信息时，现场应急指挥部的总指挥应当到达现场，组织开展应急响应工作。预警行动包含但不限于以下内容。</w:t>
      </w:r>
    </w:p>
    <w:p w14:paraId="45DA36A6">
      <w:pPr>
        <w:pageBreakBefore w:val="0"/>
        <w:widowControl w:val="0"/>
        <w:kinsoku/>
        <w:wordWrap/>
        <w:overflowPunct/>
        <w:topLinePunct w:val="0"/>
        <w:autoSpaceDE/>
        <w:autoSpaceDN/>
        <w:bidi w:val="0"/>
        <w:adjustRightInd/>
        <w:snapToGrid/>
        <w:ind w:firstLine="480"/>
        <w:textAlignment w:val="auto"/>
        <w:rPr>
          <w:szCs w:val="24"/>
        </w:rPr>
      </w:pPr>
      <w:r>
        <w:rPr>
          <w:szCs w:val="24"/>
        </w:rPr>
        <w:t>（1）立即启动应急预案。</w:t>
      </w:r>
    </w:p>
    <w:p w14:paraId="7AAEB684">
      <w:pPr>
        <w:pageBreakBefore w:val="0"/>
        <w:widowControl w:val="0"/>
        <w:kinsoku/>
        <w:wordWrap/>
        <w:overflowPunct/>
        <w:topLinePunct w:val="0"/>
        <w:autoSpaceDE/>
        <w:autoSpaceDN/>
        <w:bidi w:val="0"/>
        <w:adjustRightInd/>
        <w:snapToGrid/>
        <w:ind w:firstLine="480"/>
        <w:textAlignment w:val="auto"/>
        <w:rPr>
          <w:szCs w:val="24"/>
        </w:rPr>
      </w:pPr>
      <w:r>
        <w:rPr>
          <w:szCs w:val="24"/>
        </w:rPr>
        <w:t>（2）发布预警公告。</w:t>
      </w:r>
    </w:p>
    <w:p w14:paraId="70866DFA">
      <w:pPr>
        <w:pageBreakBefore w:val="0"/>
        <w:widowControl w:val="0"/>
        <w:kinsoku/>
        <w:wordWrap/>
        <w:overflowPunct/>
        <w:topLinePunct w:val="0"/>
        <w:autoSpaceDE/>
        <w:autoSpaceDN/>
        <w:bidi w:val="0"/>
        <w:adjustRightInd/>
        <w:snapToGrid/>
        <w:ind w:firstLine="480"/>
        <w:textAlignment w:val="auto"/>
        <w:rPr>
          <w:szCs w:val="24"/>
        </w:rPr>
      </w:pPr>
      <w:r>
        <w:rPr>
          <w:szCs w:val="24"/>
        </w:rPr>
        <w:t>（3）转移、撤离或者疏散可能受到危害的人员，并进行妥善安置。</w:t>
      </w:r>
    </w:p>
    <w:p w14:paraId="4509A1CD">
      <w:pPr>
        <w:pageBreakBefore w:val="0"/>
        <w:widowControl w:val="0"/>
        <w:kinsoku/>
        <w:wordWrap/>
        <w:overflowPunct/>
        <w:topLinePunct w:val="0"/>
        <w:autoSpaceDE/>
        <w:autoSpaceDN/>
        <w:bidi w:val="0"/>
        <w:adjustRightInd/>
        <w:snapToGrid/>
        <w:ind w:firstLine="480"/>
        <w:textAlignment w:val="auto"/>
        <w:rPr>
          <w:szCs w:val="24"/>
        </w:rPr>
      </w:pPr>
      <w:r>
        <w:rPr>
          <w:szCs w:val="24"/>
        </w:rPr>
        <w:t>（4）指令各应急救援成员进入应急状态，</w:t>
      </w:r>
      <w:r>
        <w:rPr>
          <w:rFonts w:hint="eastAsia"/>
          <w:szCs w:val="24"/>
        </w:rPr>
        <w:t>生态环境</w:t>
      </w:r>
      <w:r>
        <w:rPr>
          <w:szCs w:val="24"/>
        </w:rPr>
        <w:t>部门立即开展应急监测，随时掌握并报告事态进展情况。</w:t>
      </w:r>
    </w:p>
    <w:p w14:paraId="0C9544F9">
      <w:pPr>
        <w:pageBreakBefore w:val="0"/>
        <w:widowControl w:val="0"/>
        <w:kinsoku/>
        <w:wordWrap/>
        <w:overflowPunct/>
        <w:topLinePunct w:val="0"/>
        <w:autoSpaceDE/>
        <w:autoSpaceDN/>
        <w:bidi w:val="0"/>
        <w:adjustRightInd/>
        <w:snapToGrid/>
        <w:ind w:firstLine="480"/>
        <w:textAlignment w:val="auto"/>
        <w:rPr>
          <w:szCs w:val="24"/>
        </w:rPr>
      </w:pPr>
      <w:r>
        <w:rPr>
          <w:szCs w:val="24"/>
        </w:rPr>
        <w:t>（5）针对突发事故可能造成的危害，封闭、隔离或者限制使用有关场所，中止可能导致危害扩大的行为和活动。</w:t>
      </w:r>
    </w:p>
    <w:p w14:paraId="10532D27">
      <w:pPr>
        <w:pageBreakBefore w:val="0"/>
        <w:widowControl w:val="0"/>
        <w:kinsoku/>
        <w:wordWrap/>
        <w:overflowPunct/>
        <w:topLinePunct w:val="0"/>
        <w:autoSpaceDE/>
        <w:autoSpaceDN/>
        <w:bidi w:val="0"/>
        <w:adjustRightInd/>
        <w:snapToGrid/>
        <w:textAlignment w:val="auto"/>
        <w:rPr>
          <w:rFonts w:hint="default"/>
          <w:lang w:val="en-US" w:eastAsia="zh-CN"/>
        </w:rPr>
      </w:pPr>
      <w:r>
        <w:rPr>
          <w:szCs w:val="24"/>
        </w:rPr>
        <w:t>（6）调集环境应急所需物资和设备，确保应急保障工作。</w:t>
      </w:r>
    </w:p>
    <w:p w14:paraId="62BB8BAA">
      <w:pPr>
        <w:pageBreakBefore w:val="0"/>
        <w:kinsoku/>
        <w:wordWrap/>
        <w:overflowPunct/>
        <w:topLinePunct w:val="0"/>
        <w:bidi w:val="0"/>
        <w:textAlignment w:val="auto"/>
        <w:rPr>
          <w:rFonts w:hint="default"/>
          <w:lang w:val="en-US" w:eastAsia="zh-CN"/>
        </w:rPr>
      </w:pPr>
    </w:p>
    <w:p w14:paraId="7E14BFFC">
      <w:pPr>
        <w:pageBreakBefore w:val="0"/>
        <w:kinsoku/>
        <w:wordWrap/>
        <w:overflowPunct/>
        <w:topLinePunct w:val="0"/>
        <w:bidi w:val="0"/>
        <w:textAlignment w:val="auto"/>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1F1A3957">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bookmarkStart w:id="34" w:name="_Toc9386"/>
      <w:bookmarkStart w:id="35" w:name="_Toc16376"/>
      <w:r>
        <w:rPr>
          <w:rFonts w:hint="default" w:ascii="Times New Roman" w:hAnsi="Times New Roman" w:cs="Times New Roman"/>
          <w:lang w:val="en-US" w:eastAsia="zh-CN"/>
        </w:rPr>
        <w:t>4</w:t>
      </w:r>
      <w:r>
        <w:rPr>
          <w:rFonts w:hint="default" w:ascii="Times New Roman" w:hAnsi="Times New Roman" w:cs="Times New Roman"/>
        </w:rPr>
        <w:t xml:space="preserve"> 应急响应</w:t>
      </w:r>
      <w:bookmarkEnd w:id="34"/>
      <w:bookmarkEnd w:id="35"/>
    </w:p>
    <w:p w14:paraId="1ED5A4FC">
      <w:pPr>
        <w:pageBreakBefore w:val="0"/>
        <w:widowControl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cs="Times New Roman"/>
          <w:lang w:val="en-US" w:eastAsia="zh-CN"/>
        </w:rPr>
      </w:pPr>
      <w:bookmarkStart w:id="36" w:name="_Toc50473906"/>
      <w:bookmarkStart w:id="37" w:name="_Toc28222"/>
      <w:bookmarkStart w:id="38" w:name="_Toc66717018"/>
      <w:r>
        <w:rPr>
          <w:rFonts w:hint="default" w:ascii="Times New Roman" w:hAnsi="Times New Roman" w:cs="Times New Roman"/>
          <w:b/>
          <w:szCs w:val="24"/>
        </w:rPr>
        <w:t>4.1 应急响应程序</w:t>
      </w:r>
      <w:bookmarkEnd w:id="36"/>
      <w:bookmarkEnd w:id="37"/>
      <w:bookmarkEnd w:id="38"/>
    </w:p>
    <w:p w14:paraId="53C69AA7">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Times New Roman" w:hAnsi="Times New Roman" w:cs="Times New Roman"/>
          <w:lang w:val="en-US" w:eastAsia="zh-CN"/>
        </w:rPr>
        <w:t>集中式饮用水水源地突发环境事件应急响应包括信息收集和研判、预警、信息报告与通报、事态研判、应急监测、污染源排查与处</w:t>
      </w:r>
      <w:r>
        <w:rPr>
          <w:rFonts w:hint="default"/>
          <w:lang w:val="en-US" w:eastAsia="zh-CN"/>
        </w:rPr>
        <w:t>置、应急处置、物资调集及应急设施启用、舆情监测与信息发布、响应终止等工作内容，应急响应程序流程见下图：</w:t>
      </w:r>
    </w:p>
    <w:p w14:paraId="5B2C5930">
      <w:pPr>
        <w:pStyle w:val="10"/>
        <w:pageBreakBefore w:val="0"/>
        <w:kinsoku/>
        <w:wordWrap/>
        <w:overflowPunct/>
        <w:topLinePunct w:val="0"/>
        <w:bidi w:val="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drawing>
          <wp:inline distT="0" distB="0" distL="114300" distR="114300">
            <wp:extent cx="4787900" cy="5803265"/>
            <wp:effectExtent l="0" t="0" r="12700" b="6985"/>
            <wp:docPr id="11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11"/>
                    <pic:cNvPicPr>
                      <a:picLocks noChangeAspect="1"/>
                    </pic:cNvPicPr>
                  </pic:nvPicPr>
                  <pic:blipFill>
                    <a:blip r:embed="rId8"/>
                    <a:stretch>
                      <a:fillRect/>
                    </a:stretch>
                  </pic:blipFill>
                  <pic:spPr>
                    <a:xfrm>
                      <a:off x="0" y="0"/>
                      <a:ext cx="4787900" cy="5803265"/>
                    </a:xfrm>
                    <a:prstGeom prst="rect">
                      <a:avLst/>
                    </a:prstGeom>
                    <a:noFill/>
                    <a:ln>
                      <a:noFill/>
                    </a:ln>
                  </pic:spPr>
                </pic:pic>
              </a:graphicData>
            </a:graphic>
          </wp:inline>
        </w:drawing>
      </w:r>
    </w:p>
    <w:p w14:paraId="37324084">
      <w:pPr>
        <w:pStyle w:val="21"/>
        <w:pageBreakBefore w:val="0"/>
        <w:kinsoku/>
        <w:wordWrap/>
        <w:overflowPunct/>
        <w:topLinePunct w:val="0"/>
        <w:bidi w:val="0"/>
        <w:textAlignment w:val="auto"/>
        <w:rPr>
          <w:rFonts w:hint="default" w:ascii="Times New Roman" w:hAnsi="Times New Roman" w:eastAsia="仿宋" w:cs="Times New Roman"/>
        </w:rPr>
      </w:pPr>
      <w:r>
        <w:rPr>
          <w:rFonts w:hint="default" w:ascii="Times New Roman" w:hAnsi="Times New Roman" w:eastAsia="仿宋" w:cs="Times New Roman"/>
        </w:rPr>
        <w:t>图</w:t>
      </w:r>
      <w:r>
        <w:rPr>
          <w:rFonts w:hint="default" w:ascii="Times New Roman" w:hAnsi="Times New Roman" w:eastAsia="仿宋" w:cs="Times New Roman"/>
          <w:lang w:val="en-US" w:eastAsia="zh-CN"/>
        </w:rPr>
        <w:t>4</w:t>
      </w:r>
      <w:r>
        <w:rPr>
          <w:rFonts w:hint="default" w:ascii="Times New Roman" w:hAnsi="Times New Roman" w:eastAsia="仿宋" w:cs="Times New Roman"/>
        </w:rPr>
        <w:t>-1</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饮用水源地突发环境事件应急响应流程图</w:t>
      </w:r>
    </w:p>
    <w:p w14:paraId="743E3300">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39" w:name="_Toc50473907"/>
      <w:bookmarkStart w:id="40" w:name="_Toc66717019"/>
      <w:bookmarkStart w:id="41" w:name="_Toc13446"/>
      <w:bookmarkStart w:id="42" w:name="_Toc22967"/>
      <w:r>
        <w:rPr>
          <w:rFonts w:hint="default" w:ascii="Times New Roman" w:hAnsi="Times New Roman" w:cs="Times New Roman"/>
          <w:b/>
          <w:szCs w:val="24"/>
        </w:rPr>
        <w:t>4.</w:t>
      </w:r>
      <w:r>
        <w:rPr>
          <w:rFonts w:hint="default" w:ascii="Times New Roman" w:hAnsi="Times New Roman" w:cs="Times New Roman"/>
          <w:b/>
          <w:szCs w:val="24"/>
          <w:lang w:val="en-US" w:eastAsia="zh-CN"/>
        </w:rPr>
        <w:t>2</w:t>
      </w:r>
      <w:r>
        <w:rPr>
          <w:rFonts w:hint="default" w:ascii="Times New Roman" w:hAnsi="Times New Roman" w:cs="Times New Roman"/>
          <w:b/>
          <w:szCs w:val="24"/>
        </w:rPr>
        <w:t xml:space="preserve"> 信息报告与通报</w:t>
      </w:r>
      <w:bookmarkEnd w:id="39"/>
      <w:bookmarkEnd w:id="40"/>
      <w:bookmarkEnd w:id="41"/>
    </w:p>
    <w:p w14:paraId="513AC622">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43" w:name="_Toc66717020"/>
      <w:bookmarkStart w:id="44" w:name="_Toc20247"/>
      <w:r>
        <w:rPr>
          <w:rFonts w:hint="default" w:ascii="Times New Roman" w:hAnsi="Times New Roman" w:cs="Times New Roman"/>
          <w:b/>
          <w:szCs w:val="24"/>
        </w:rPr>
        <w:t>4.2.1 信息报告程序</w:t>
      </w:r>
      <w:bookmarkEnd w:id="43"/>
      <w:bookmarkEnd w:id="44"/>
    </w:p>
    <w:p w14:paraId="551A57E2">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（1）发现已经造成或可能造成水源地污染的有关人员和责任单位，应按照有关规定立即向</w:t>
      </w:r>
      <w:r>
        <w:rPr>
          <w:rFonts w:hint="default" w:ascii="Times New Roman" w:hAnsi="Times New Roman" w:cs="Times New Roman"/>
          <w:kern w:val="0"/>
          <w:szCs w:val="24"/>
          <w:lang w:val="en-US" w:eastAsia="zh-CN"/>
        </w:rPr>
        <w:t>事发地乡镇</w:t>
      </w:r>
      <w:r>
        <w:rPr>
          <w:rFonts w:hint="default" w:ascii="Times New Roman" w:hAnsi="Times New Roman" w:cs="Times New Roman"/>
          <w:kern w:val="0"/>
          <w:szCs w:val="24"/>
        </w:rPr>
        <w:t>人民政府以及市生态环境局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分局报告。</w:t>
      </w:r>
    </w:p>
    <w:p w14:paraId="3DC2AAC6">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分局在发现或得知水源地突发环境事件信息后，应立即进行核实，了解有关情况，经过核实后，第一时间向</w:t>
      </w:r>
      <w:bookmarkStart w:id="45" w:name="_Hlk64537177"/>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w:t>
      </w:r>
      <w:bookmarkEnd w:id="45"/>
      <w:r>
        <w:rPr>
          <w:rFonts w:hint="default" w:ascii="Times New Roman" w:hAnsi="Times New Roman" w:cs="Times New Roman"/>
          <w:kern w:val="0"/>
          <w:szCs w:val="24"/>
        </w:rPr>
        <w:t>报告。</w:t>
      </w:r>
    </w:p>
    <w:p w14:paraId="157621C1">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（3）</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区饮用水源地突发环境事件应急指挥部先于市生态环境局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分局获悉水源地突发环境事件信息的，要求市生态环境局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分局核实并报告相应信息。</w:t>
      </w:r>
    </w:p>
    <w:p w14:paraId="455E4068">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（4）特殊情况下，若遇到敏感事件或发生在特殊时期，或可能演化为重大、特别重大突发环境事件的信息，有关责任单位和部门应立即向</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区饮用水源地突发环境事件应急指挥部报告。</w:t>
      </w:r>
    </w:p>
    <w:p w14:paraId="6E029BD1">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46" w:name="_Toc66717021"/>
      <w:bookmarkStart w:id="47" w:name="_Toc29661"/>
      <w:r>
        <w:rPr>
          <w:rFonts w:hint="default" w:ascii="Times New Roman" w:hAnsi="Times New Roman" w:cs="Times New Roman"/>
          <w:b/>
          <w:szCs w:val="24"/>
        </w:rPr>
        <w:t>4.2.2 信息通报程序</w:t>
      </w:r>
      <w:bookmarkEnd w:id="46"/>
      <w:bookmarkEnd w:id="47"/>
    </w:p>
    <w:p w14:paraId="198526AA">
      <w:pPr>
        <w:pageBreakBefore w:val="0"/>
        <w:widowControl/>
        <w:kinsoku/>
        <w:wordWrap/>
        <w:overflowPunct/>
        <w:topLinePunct w:val="0"/>
        <w:bidi w:val="0"/>
        <w:adjustRightInd/>
        <w:ind w:firstLine="480"/>
        <w:jc w:val="both"/>
        <w:textAlignment w:val="auto"/>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对经核实的水源地突发环境事件，接报的部门应向</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w:t>
      </w:r>
      <w:r>
        <w:rPr>
          <w:rFonts w:hint="default" w:ascii="Times New Roman" w:hAnsi="Times New Roman" w:cs="Times New Roman"/>
          <w:color w:val="000000"/>
          <w:kern w:val="0"/>
          <w:szCs w:val="24"/>
        </w:rPr>
        <w:t>和有关部门通报，通报的部门应包括生态环境、住房城乡建设、水务、卫生等行政部门，根据水源地突发环境事件的类型和情景，还应通报消防（遇火灾爆炸）、交通（遇水上运输事故）、公安（遇火灾爆炸、道路运输事故）、应急管理、农业（遇大面积死鱼）等部门。水源地突发环境事件已经或可能影响相邻行政区域的，事件发生地人民政府及有关部门应及时通报相邻区域同级人民政府及有关部门。</w:t>
      </w:r>
    </w:p>
    <w:p w14:paraId="24CA207A">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48" w:name="_Toc66717022"/>
      <w:bookmarkStart w:id="49" w:name="_Toc12812"/>
      <w:r>
        <w:rPr>
          <w:rFonts w:hint="default" w:ascii="Times New Roman" w:hAnsi="Times New Roman" w:cs="Times New Roman"/>
          <w:b/>
          <w:szCs w:val="24"/>
        </w:rPr>
        <w:t>4.2.3 突发环境事件报告方式与内容</w:t>
      </w:r>
      <w:bookmarkEnd w:id="48"/>
      <w:bookmarkEnd w:id="49"/>
    </w:p>
    <w:p w14:paraId="417834D7">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（1）突发环境事件的报告分为初报、续报和处理结果报告三类。初报从发现事件后立即上报；续报在查清有关基本情况后随时上报；处理结果报告在事件处理完毕后上报。</w:t>
      </w:r>
    </w:p>
    <w:p w14:paraId="5A994208">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初报可用电话直接报告，主要内容包括：环境事故的类型、发生时间、地点、污染源、主要污染物质、人员受害情况、事件潜在的危害程度、转化方式趋向等初步情况。</w:t>
      </w:r>
    </w:p>
    <w:p w14:paraId="2AB7F37B">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续报可通过网络或书面报告，在初报的基础上报告有关确切数据，事件发生的原因、过程、进展情况及采取的应急措施等基本情况。</w:t>
      </w:r>
    </w:p>
    <w:p w14:paraId="46C30FB5">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处理结果报告采用书面报告，处理结果报告在初报和续报的基础上，报告处理事件的措施、过程和结果，事件潜在或间接的危害、社会影响、处理后的遗留问题，参加处理工作的有关部门和工作内容。</w:t>
      </w:r>
    </w:p>
    <w:p w14:paraId="710EEEB0">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（2）事件报告内容</w:t>
      </w:r>
    </w:p>
    <w:p w14:paraId="023A9A4F">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事件发生后，</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w:t>
      </w:r>
      <w:r>
        <w:rPr>
          <w:rFonts w:hint="default" w:ascii="Times New Roman" w:hAnsi="Times New Roman" w:cs="Times New Roman"/>
          <w:szCs w:val="24"/>
        </w:rPr>
        <w:t>立即向上级部门报告事件情况，并在24小时内填写事件紧急报告，内容包括：</w:t>
      </w:r>
    </w:p>
    <w:p w14:paraId="4D4B2603">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①事件发生的时间、地点、排放污染物类型、数量及潜在危害程度；</w:t>
      </w:r>
    </w:p>
    <w:p w14:paraId="1347D7F7">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②造成污染事件的单位（人为因素引起时）类型、经营规模；</w:t>
      </w:r>
    </w:p>
    <w:p w14:paraId="2F764517">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③事件的简要经过、遇险人数、直接经济损失的初步估计；</w:t>
      </w:r>
    </w:p>
    <w:p w14:paraId="67F6AA16">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④事件原因、性质的初步判断；</w:t>
      </w:r>
    </w:p>
    <w:p w14:paraId="25CD332C">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⑤事件抢救处理的情况和采取的措施，并附示意图；</w:t>
      </w:r>
    </w:p>
    <w:p w14:paraId="3701D578">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⑥需要有关部门单位协助事件抢险和处理的有关事宜；</w:t>
      </w:r>
    </w:p>
    <w:p w14:paraId="185A9B59">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⑦事件报告单位、签发人和报告时间。</w:t>
      </w:r>
    </w:p>
    <w:p w14:paraId="44FA4989">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50" w:name="_Toc50473908"/>
      <w:bookmarkStart w:id="51" w:name="_Toc66717023"/>
      <w:bookmarkStart w:id="52" w:name="_Toc5160"/>
      <w:r>
        <w:rPr>
          <w:rFonts w:hint="default" w:ascii="Times New Roman" w:hAnsi="Times New Roman" w:cs="Times New Roman"/>
          <w:b/>
          <w:szCs w:val="24"/>
        </w:rPr>
        <w:t>4.3 事态研判</w:t>
      </w:r>
      <w:bookmarkEnd w:id="50"/>
      <w:bookmarkEnd w:id="51"/>
      <w:bookmarkEnd w:id="52"/>
    </w:p>
    <w:p w14:paraId="05514DBA">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发布预警后，由</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人民政府迅速组建参加应急指挥的各个工作组，跟踪开展事态研判。事态研判包括但不限于以下内容：事故点下游沿河水利设施工程情况、判断污染物进入河流的数量及种类性质、事故点下游水系分布（包括清洁水情况）、距离水源地取水口的距离和可能对水源地造成的危害，以及备用水源地情况。事态研判的结果，应作为制定和动态调整应急响应有关方案、实施应急监测、污染源排查与处置和应急处置的重要基础。</w:t>
      </w:r>
    </w:p>
    <w:p w14:paraId="068B4E33">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53" w:name="_Toc50473909"/>
      <w:bookmarkStart w:id="54" w:name="_Toc29004"/>
      <w:bookmarkStart w:id="55" w:name="_Toc66717024"/>
      <w:r>
        <w:rPr>
          <w:rFonts w:hint="default" w:ascii="Times New Roman" w:hAnsi="Times New Roman" w:cs="Times New Roman"/>
          <w:b/>
          <w:szCs w:val="24"/>
        </w:rPr>
        <w:t>4.4 应急监测</w:t>
      </w:r>
      <w:bookmarkEnd w:id="53"/>
      <w:bookmarkEnd w:id="54"/>
      <w:bookmarkEnd w:id="55"/>
    </w:p>
    <w:p w14:paraId="44C53B92">
      <w:pPr>
        <w:pageBreakBefore w:val="0"/>
        <w:widowControl/>
        <w:kinsoku/>
        <w:wordWrap/>
        <w:overflowPunct/>
        <w:topLinePunct w:val="0"/>
        <w:bidi w:val="0"/>
        <w:adjustRightInd/>
        <w:ind w:firstLine="480"/>
        <w:jc w:val="both"/>
        <w:textAlignment w:val="auto"/>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应急监测主要由市生态环境局</w:t>
      </w:r>
      <w:r>
        <w:rPr>
          <w:rFonts w:hint="default" w:ascii="Times New Roman" w:hAnsi="Times New Roman" w:cs="Times New Roman"/>
          <w:color w:val="000000"/>
          <w:kern w:val="0"/>
          <w:szCs w:val="24"/>
          <w:lang w:eastAsia="zh-CN"/>
        </w:rPr>
        <w:t>花溪</w:t>
      </w:r>
      <w:r>
        <w:rPr>
          <w:rFonts w:hint="default" w:ascii="Times New Roman" w:hAnsi="Times New Roman" w:cs="Times New Roman"/>
          <w:color w:val="000000"/>
          <w:kern w:val="0"/>
          <w:szCs w:val="24"/>
        </w:rPr>
        <w:t>分局承担，应急监测工作的具体方案根据事故发生的地点、事故等级、当时的天气状况以及周边环境敏感点的分布等情况进行确定，在第一时间对突发环境事件进行环境应急监测，掌握第一手监测资料，在自身不具备监测能力的情况下，及时报请上级部门，请求上级部门的支援。</w:t>
      </w:r>
    </w:p>
    <w:p w14:paraId="439A9DD5">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56" w:name="_Toc331457283"/>
      <w:bookmarkStart w:id="57" w:name="_Toc345330213"/>
      <w:bookmarkStart w:id="58" w:name="_Toc804"/>
      <w:bookmarkStart w:id="59" w:name="_Toc66717025"/>
      <w:r>
        <w:rPr>
          <w:rFonts w:hint="default" w:ascii="Times New Roman" w:hAnsi="Times New Roman" w:cs="Times New Roman"/>
          <w:b/>
          <w:szCs w:val="24"/>
        </w:rPr>
        <w:t>4.4.1 监测</w:t>
      </w:r>
      <w:bookmarkEnd w:id="56"/>
      <w:r>
        <w:rPr>
          <w:rFonts w:hint="default" w:ascii="Times New Roman" w:hAnsi="Times New Roman" w:cs="Times New Roman"/>
          <w:b/>
          <w:szCs w:val="24"/>
        </w:rPr>
        <w:t>布点原则</w:t>
      </w:r>
      <w:bookmarkEnd w:id="57"/>
      <w:bookmarkEnd w:id="58"/>
      <w:bookmarkEnd w:id="59"/>
    </w:p>
    <w:p w14:paraId="759B6AC7">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依据《突发环境事件应急监测技术规范》（HJ589-20</w:t>
      </w:r>
      <w:r>
        <w:rPr>
          <w:rFonts w:hint="eastAsia" w:ascii="Times New Roman" w:hAnsi="Times New Roman" w:cs="Times New Roman"/>
          <w:kern w:val="0"/>
          <w:szCs w:val="24"/>
          <w:lang w:val="en-US" w:eastAsia="zh-CN"/>
        </w:rPr>
        <w:t>21</w:t>
      </w:r>
      <w:r>
        <w:rPr>
          <w:rFonts w:hint="default" w:ascii="Times New Roman" w:hAnsi="Times New Roman" w:cs="Times New Roman"/>
          <w:kern w:val="0"/>
          <w:szCs w:val="24"/>
        </w:rPr>
        <w:t>）的相关规定对突发环境污染事故现场进行布点监测。</w:t>
      </w:r>
    </w:p>
    <w:p w14:paraId="00580E41">
      <w:pPr>
        <w:pageBreakBefore w:val="0"/>
        <w:widowControl/>
        <w:kinsoku/>
        <w:wordWrap/>
        <w:overflowPunct/>
        <w:topLinePunct w:val="0"/>
        <w:bidi w:val="0"/>
        <w:adjustRightInd/>
        <w:ind w:firstLine="482"/>
        <w:jc w:val="both"/>
        <w:textAlignment w:val="auto"/>
        <w:rPr>
          <w:rFonts w:hint="default" w:ascii="Times New Roman" w:hAnsi="Times New Roman" w:cs="Times New Roman"/>
          <w:b/>
          <w:kern w:val="0"/>
          <w:szCs w:val="24"/>
        </w:rPr>
      </w:pPr>
      <w:r>
        <w:rPr>
          <w:rFonts w:hint="default" w:ascii="Times New Roman" w:hAnsi="Times New Roman" w:cs="Times New Roman"/>
          <w:b/>
          <w:kern w:val="0"/>
          <w:szCs w:val="24"/>
        </w:rPr>
        <w:t>监测布点：</w:t>
      </w:r>
      <w:r>
        <w:rPr>
          <w:rFonts w:hint="default" w:ascii="Times New Roman" w:hAnsi="Times New Roman" w:cs="Times New Roman"/>
          <w:kern w:val="0"/>
          <w:szCs w:val="24"/>
        </w:rPr>
        <w:t>对江河的监测应在事故发生地及其下游布点，同时在事故发生地上游一定距离布设对照断面（点）；如江河水流的流速很小或基本静止，可根据污染物的特性在不同水层采样；在事故影响区域内饮用水取水口和农灌区取水口处必须设置采样断面（点）。</w:t>
      </w:r>
    </w:p>
    <w:p w14:paraId="0D94013F">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对湖（库）的采样点布设应以事故发生地为中心，按水流方向在一定间隔的扇形或圆形布点，并根据污染物的特性在不同水层采样，同时根据水流流向，在其上游适当距离布设对照断面（点）；必要时，在湖（库）出水口和饮用水取水口处设置采样断面（点）。</w:t>
      </w:r>
    </w:p>
    <w:p w14:paraId="7339076F">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地下水型水源应急监测应以事故地点为中心，根据本地区地下水流向，采用网格法或辐射法布设监测井，同时在地下水主要补给来源，垂直于地下水流的上方向设置对照监测井。在以地下水为饮用水源的取水处必须设置采样点。</w:t>
      </w:r>
    </w:p>
    <w:p w14:paraId="3DEDEEDD">
      <w:pPr>
        <w:pageBreakBefore w:val="0"/>
        <w:kinsoku/>
        <w:wordWrap/>
        <w:overflowPunct/>
        <w:topLinePunct w:val="0"/>
        <w:autoSpaceDE w:val="0"/>
        <w:autoSpaceDN w:val="0"/>
        <w:bidi w:val="0"/>
        <w:adjustRightInd/>
        <w:ind w:firstLine="482"/>
        <w:jc w:val="both"/>
        <w:textAlignment w:val="auto"/>
        <w:rPr>
          <w:rFonts w:hint="default" w:ascii="Times New Roman" w:hAnsi="Times New Roman" w:cs="Times New Roman"/>
          <w:b/>
          <w:color w:val="000000"/>
          <w:kern w:val="0"/>
          <w:szCs w:val="24"/>
        </w:rPr>
      </w:pPr>
      <w:r>
        <w:rPr>
          <w:rFonts w:hint="default" w:ascii="Times New Roman" w:hAnsi="Times New Roman" w:cs="Times New Roman"/>
          <w:b/>
          <w:color w:val="000000"/>
          <w:kern w:val="0"/>
          <w:szCs w:val="24"/>
        </w:rPr>
        <w:t>监测因子：</w:t>
      </w:r>
      <w:r>
        <w:rPr>
          <w:rFonts w:hint="default" w:ascii="Times New Roman" w:hAnsi="Times New Roman" w:cs="Times New Roman"/>
          <w:color w:val="000000"/>
          <w:kern w:val="0"/>
          <w:szCs w:val="24"/>
        </w:rPr>
        <w:t>地表水常规监测指标为《地表水环境质量标准》（GB3838）表1基本项目和表2补充项目共28项指标（COD除外，河流型水源不评价总氮）；湖泊、水库型饮用水水源应补充叶绿素a和透明度2项指标。全指标监测应为《地表水环境质量标准》（GB3838）中表1的基本项目（COD除外）、表2的补充项目和表3的特定项目。</w:t>
      </w:r>
    </w:p>
    <w:p w14:paraId="05684A0F">
      <w:pPr>
        <w:pageBreakBefore w:val="0"/>
        <w:kinsoku/>
        <w:wordWrap/>
        <w:overflowPunct/>
        <w:topLinePunct w:val="0"/>
        <w:autoSpaceDE w:val="0"/>
        <w:autoSpaceDN w:val="0"/>
        <w:bidi w:val="0"/>
        <w:adjustRightInd/>
        <w:ind w:firstLine="480"/>
        <w:jc w:val="both"/>
        <w:textAlignment w:val="auto"/>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地下水常规监测指标为《地下水质量标准》（GB/T14848）中pH值、总硬度、硫酸盐、氯化物、高锰酸盐、氨氮、氟化物、总大肠菌群、挥发酚、硝酸盐氮、亚硝酸盐氮、铁、锰、铜、锌、阴离子合成洗涤剂、氰化物、汞、砷、硒、镉、六价铬和铅等23项指标。全指标监测应为《地下水质量标准》（GB/T 14848）中的所有项目。水性地方病或天然背景值（如苦咸水、高氟、高砷）较高的地区，应增加反映特征化学组分的监测项目。同时，还应根据地下水补给径流区的工矿等污染源 特征，增加特征污染物监测项目。</w:t>
      </w:r>
    </w:p>
    <w:p w14:paraId="180D27CC">
      <w:pPr>
        <w:pageBreakBefore w:val="0"/>
        <w:widowControl/>
        <w:kinsoku/>
        <w:wordWrap/>
        <w:overflowPunct/>
        <w:topLinePunct w:val="0"/>
        <w:bidi w:val="0"/>
        <w:adjustRightInd/>
        <w:ind w:firstLine="482"/>
        <w:jc w:val="both"/>
        <w:textAlignment w:val="auto"/>
        <w:rPr>
          <w:rFonts w:hint="default" w:ascii="Times New Roman" w:hAnsi="Times New Roman" w:cs="Times New Roman"/>
          <w:color w:val="000000"/>
          <w:kern w:val="0"/>
          <w:szCs w:val="24"/>
        </w:rPr>
      </w:pPr>
      <w:r>
        <w:rPr>
          <w:rFonts w:hint="default" w:ascii="Times New Roman" w:hAnsi="Times New Roman" w:cs="Times New Roman"/>
          <w:b/>
          <w:color w:val="000000"/>
          <w:kern w:val="0"/>
          <w:szCs w:val="24"/>
        </w:rPr>
        <w:t>监测时间及频率：</w:t>
      </w:r>
      <w:r>
        <w:rPr>
          <w:rFonts w:hint="default" w:ascii="Times New Roman" w:hAnsi="Times New Roman" w:cs="Times New Roman"/>
          <w:color w:val="000000"/>
          <w:kern w:val="0"/>
          <w:szCs w:val="24"/>
        </w:rPr>
        <w:t>事故发生后连续取样，监测水质变化情况，直到恢复正常。在有突发性水源环境污染事件或水质较差时（如枯水期、冰封期、水文地质情况发生重大变化）应适当增加监测指标与频次，待摸清污染物变化规律后可减少采样频次（具体的监测时间和监测频次根据专家组技术意见结合事件现场情况确定）。</w:t>
      </w:r>
    </w:p>
    <w:p w14:paraId="7A722DE0">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60" w:name="_Toc30399"/>
      <w:bookmarkStart w:id="61" w:name="_Toc331457284"/>
      <w:bookmarkStart w:id="62" w:name="_Toc66717026"/>
      <w:bookmarkStart w:id="63" w:name="_Toc345330214"/>
      <w:r>
        <w:rPr>
          <w:rFonts w:hint="default" w:ascii="Times New Roman" w:hAnsi="Times New Roman" w:cs="Times New Roman"/>
          <w:b/>
          <w:szCs w:val="24"/>
        </w:rPr>
        <w:t>4.4.2 监测方法</w:t>
      </w:r>
      <w:bookmarkEnd w:id="60"/>
      <w:bookmarkEnd w:id="61"/>
      <w:bookmarkEnd w:id="62"/>
      <w:bookmarkEnd w:id="63"/>
    </w:p>
    <w:p w14:paraId="2D2997D0">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为迅速查明突发环境事件污染物的种类（或名称）、污染程度和范围以及污染发展趋势，在已有调查资料的基础上，充分利用现场快速监测方法和实验室现有的分析方法进行鉴别、确认。</w:t>
      </w:r>
    </w:p>
    <w:p w14:paraId="7C1A8DFF">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（1）为快速测定突发环境事件污染物，可采用如下快速监测方法：</w:t>
      </w:r>
    </w:p>
    <w:p w14:paraId="11CE54E8">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①检测试纸、快速检测管和便携式监测仪器等监测方法。</w:t>
      </w:r>
    </w:p>
    <w:p w14:paraId="2CB95C3E">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②现有的水质自动监测站和污染源在线监测系统等在用的监测方法。</w:t>
      </w:r>
    </w:p>
    <w:p w14:paraId="71486CEF">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③现行实验室分析方法。</w:t>
      </w:r>
    </w:p>
    <w:p w14:paraId="0535391A">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（2）从速送实验室进行确认、鉴别，实验室的选取优先采用国家环境保护标准或行业标准。</w:t>
      </w:r>
    </w:p>
    <w:p w14:paraId="453E8D82">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（3）当上述分析方法不能满足要求时，可根据各地具体情况和仪器设备条件，选用其他适宜的方法如ISO、美国EPA、日本JIS等国外分析方法。</w:t>
      </w:r>
    </w:p>
    <w:p w14:paraId="3737E1AA">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64" w:name="_Toc66717027"/>
      <w:bookmarkStart w:id="65" w:name="_Toc29111"/>
      <w:r>
        <w:rPr>
          <w:rFonts w:hint="default" w:ascii="Times New Roman" w:hAnsi="Times New Roman" w:cs="Times New Roman"/>
          <w:b/>
          <w:szCs w:val="24"/>
        </w:rPr>
        <w:t>4.4.3 应急监测管理制度</w:t>
      </w:r>
      <w:bookmarkEnd w:id="64"/>
      <w:bookmarkEnd w:id="65"/>
    </w:p>
    <w:p w14:paraId="1E0F16CE">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（1）环境污染事件发生时，应急指挥部及时对现场环境污染物浓度进行监测。</w:t>
      </w:r>
    </w:p>
    <w:p w14:paraId="2592D308">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进入突发环境事件现场的应急监测人员，注意自身的安全防护，对事故现场不熟悉、不能确认现场安全或不按规定佩戴必需的防护设备（如防护服、防毒呼吸器等）、未经现场指挥或警戒人员许可，不进入事故现场进行采样监测。</w:t>
      </w:r>
    </w:p>
    <w:p w14:paraId="7E54C7DB">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（3）监测人员随时保持通讯设备开机状态，到达各监测点后立即向监测组组长报告监测点的气味、风向、空气受到的影响等基本情况，之后每半小时报告监测结果和人员安全状况。</w:t>
      </w:r>
    </w:p>
    <w:p w14:paraId="6AD0B9E0">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（4）应急指挥部根据监测结果，综合分析突发性环境污染事故污染变化趋势，并通过专家咨询和讨论的方式，预测并报告突发环境事件的发展情况和污染物的变化情况，作为突发环境事件应急决策的依据。</w:t>
      </w:r>
    </w:p>
    <w:p w14:paraId="62C705DE">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66" w:name="_Toc19430"/>
      <w:bookmarkStart w:id="67" w:name="_Toc50473910"/>
      <w:bookmarkStart w:id="68" w:name="_Toc66717028"/>
      <w:r>
        <w:rPr>
          <w:rFonts w:hint="default" w:ascii="Times New Roman" w:hAnsi="Times New Roman" w:cs="Times New Roman"/>
          <w:b/>
          <w:szCs w:val="24"/>
        </w:rPr>
        <w:t>4.5 信息发布</w:t>
      </w:r>
      <w:bookmarkEnd w:id="66"/>
      <w:bookmarkEnd w:id="67"/>
      <w:bookmarkEnd w:id="68"/>
    </w:p>
    <w:p w14:paraId="164B5155">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突发环境事件发生后，由应急指挥部负责事故和应急救援信息的发布工作，做到及时发布准确、权威的信息，正确引导社会舆论。</w:t>
      </w:r>
    </w:p>
    <w:p w14:paraId="505385FE">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69" w:name="_Toc66717029"/>
      <w:bookmarkStart w:id="70" w:name="_Toc14021"/>
      <w:bookmarkStart w:id="71" w:name="_Toc50473911"/>
      <w:r>
        <w:rPr>
          <w:rFonts w:hint="default" w:ascii="Times New Roman" w:hAnsi="Times New Roman" w:cs="Times New Roman"/>
          <w:b/>
          <w:szCs w:val="24"/>
        </w:rPr>
        <w:t>4.6 安全防护</w:t>
      </w:r>
      <w:bookmarkEnd w:id="69"/>
      <w:bookmarkEnd w:id="70"/>
      <w:bookmarkEnd w:id="71"/>
    </w:p>
    <w:p w14:paraId="4942FC15">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72" w:name="_Toc66717030"/>
      <w:bookmarkStart w:id="73" w:name="_Toc14805"/>
      <w:r>
        <w:rPr>
          <w:rFonts w:hint="default" w:ascii="Times New Roman" w:hAnsi="Times New Roman" w:cs="Times New Roman"/>
          <w:b/>
          <w:szCs w:val="24"/>
        </w:rPr>
        <w:t>4.6.1 应急人员的安全防护</w:t>
      </w:r>
      <w:bookmarkEnd w:id="72"/>
      <w:bookmarkEnd w:id="73"/>
    </w:p>
    <w:p w14:paraId="1C654A46">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现场处置人员根据环境事故的特点，配备相应的专业防护装备，采取安全防护措施，严格执行应急人员出入事发现场程序。</w:t>
      </w:r>
    </w:p>
    <w:p w14:paraId="63522777">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74" w:name="_Toc5580"/>
      <w:bookmarkStart w:id="75" w:name="_Toc66717031"/>
      <w:r>
        <w:rPr>
          <w:rFonts w:hint="default" w:ascii="Times New Roman" w:hAnsi="Times New Roman" w:cs="Times New Roman"/>
          <w:b/>
          <w:szCs w:val="24"/>
        </w:rPr>
        <w:t>4.6.2受灾群众的安全防护</w:t>
      </w:r>
      <w:bookmarkEnd w:id="74"/>
      <w:bookmarkEnd w:id="75"/>
    </w:p>
    <w:p w14:paraId="3FA522CB">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应急办公室负责组织群众的安全防护工作，主要工作内容如下：</w:t>
      </w:r>
    </w:p>
    <w:p w14:paraId="036FC753">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（1）根据突发环境事件的性质、特点，告知群众应采取的安全防护措施；</w:t>
      </w:r>
    </w:p>
    <w:p w14:paraId="3AFFAA64">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（2）根据事发时当地的气象、地理环境、人员密集度等，确定群众疏散的方式，指定有关部门组织群众安全疏散撤离；</w:t>
      </w:r>
    </w:p>
    <w:p w14:paraId="2E7B9770">
      <w:pPr>
        <w:keepNext/>
        <w:keepLines/>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 w:cs="Times New Roman"/>
          <w:b w:val="0"/>
          <w:kern w:val="0"/>
          <w:sz w:val="32"/>
          <w:szCs w:val="24"/>
          <w:lang w:val="en-US" w:eastAsia="zh-CN" w:bidi="ar-SA"/>
        </w:rPr>
      </w:pPr>
      <w:r>
        <w:rPr>
          <w:rFonts w:hint="default" w:ascii="Times New Roman" w:hAnsi="Times New Roman" w:eastAsia="仿宋" w:cs="Times New Roman"/>
          <w:b w:val="0"/>
          <w:kern w:val="0"/>
          <w:sz w:val="32"/>
          <w:szCs w:val="24"/>
          <w:lang w:val="en-US" w:eastAsia="zh-CN" w:bidi="ar-SA"/>
        </w:rPr>
        <w:t>（3）在事发地安全边界以外，设立紧急避难场所。</w:t>
      </w:r>
    </w:p>
    <w:p w14:paraId="738790A0">
      <w:pPr>
        <w:pStyle w:val="10"/>
        <w:rPr>
          <w:rFonts w:hint="default" w:ascii="Times New Roman" w:hAnsi="Times New Roman" w:eastAsia="仿宋" w:cs="Times New Roman"/>
          <w:b w:val="0"/>
          <w:kern w:val="0"/>
          <w:sz w:val="32"/>
          <w:szCs w:val="24"/>
          <w:lang w:val="en-US" w:eastAsia="zh-CN" w:bidi="ar-SA"/>
        </w:rPr>
      </w:pPr>
    </w:p>
    <w:p w14:paraId="5B5AB24C">
      <w:pPr>
        <w:pStyle w:val="10"/>
        <w:rPr>
          <w:rFonts w:hint="default" w:ascii="Times New Roman" w:hAnsi="Times New Roman" w:eastAsia="仿宋" w:cs="Times New Roman"/>
          <w:b w:val="0"/>
          <w:kern w:val="0"/>
          <w:sz w:val="32"/>
          <w:szCs w:val="24"/>
          <w:lang w:val="en-US" w:eastAsia="zh-CN" w:bidi="ar-SA"/>
        </w:rPr>
      </w:pPr>
    </w:p>
    <w:p w14:paraId="2166908B">
      <w:pPr>
        <w:pStyle w:val="10"/>
        <w:rPr>
          <w:rFonts w:ascii="Times New Roman" w:hAnsi="Times New Roman" w:eastAsia="仿宋" w:cs="Times New Roman"/>
          <w:b w:val="0"/>
          <w:kern w:val="0"/>
          <w:sz w:val="32"/>
          <w:szCs w:val="24"/>
          <w:lang w:val="en-US" w:eastAsia="zh-CN" w:bidi="ar-SA"/>
        </w:rPr>
      </w:pPr>
    </w:p>
    <w:p w14:paraId="161A6050">
      <w:pPr>
        <w:pStyle w:val="10"/>
        <w:rPr>
          <w:rFonts w:ascii="Times New Roman" w:hAnsi="Times New Roman" w:eastAsia="仿宋" w:cs="Times New Roman"/>
          <w:b w:val="0"/>
          <w:kern w:val="0"/>
          <w:sz w:val="32"/>
          <w:szCs w:val="24"/>
          <w:lang w:val="en-US" w:eastAsia="zh-CN" w:bidi="ar-SA"/>
        </w:rPr>
      </w:pPr>
    </w:p>
    <w:p w14:paraId="4A510FD8">
      <w:pPr>
        <w:pStyle w:val="10"/>
        <w:rPr>
          <w:rFonts w:ascii="Times New Roman" w:hAnsi="Times New Roman" w:eastAsia="仿宋" w:cs="Times New Roman"/>
          <w:b w:val="0"/>
          <w:kern w:val="0"/>
          <w:sz w:val="32"/>
          <w:szCs w:val="24"/>
          <w:lang w:val="en-US" w:eastAsia="zh-CN" w:bidi="ar-SA"/>
        </w:rPr>
      </w:pPr>
    </w:p>
    <w:p w14:paraId="3FFE4E47">
      <w:pPr>
        <w:pStyle w:val="10"/>
        <w:rPr>
          <w:rFonts w:ascii="Times New Roman" w:hAnsi="Times New Roman" w:eastAsia="仿宋" w:cs="Times New Roman"/>
          <w:b w:val="0"/>
          <w:kern w:val="0"/>
          <w:sz w:val="32"/>
          <w:szCs w:val="24"/>
          <w:lang w:val="en-US" w:eastAsia="zh-CN" w:bidi="ar-SA"/>
        </w:rPr>
      </w:pPr>
    </w:p>
    <w:p w14:paraId="6F82FA70">
      <w:pPr>
        <w:pStyle w:val="10"/>
        <w:rPr>
          <w:rFonts w:ascii="Times New Roman" w:hAnsi="Times New Roman" w:eastAsia="仿宋" w:cs="Times New Roman"/>
          <w:b w:val="0"/>
          <w:kern w:val="0"/>
          <w:sz w:val="32"/>
          <w:szCs w:val="24"/>
          <w:lang w:val="en-US" w:eastAsia="zh-CN" w:bidi="ar-SA"/>
        </w:rPr>
      </w:pPr>
    </w:p>
    <w:p w14:paraId="653183E2">
      <w:pPr>
        <w:pStyle w:val="10"/>
        <w:rPr>
          <w:rFonts w:ascii="Times New Roman" w:hAnsi="Times New Roman" w:eastAsia="仿宋" w:cs="Times New Roman"/>
          <w:b w:val="0"/>
          <w:kern w:val="0"/>
          <w:sz w:val="32"/>
          <w:szCs w:val="24"/>
          <w:lang w:val="en-US" w:eastAsia="zh-CN" w:bidi="ar-SA"/>
        </w:rPr>
      </w:pPr>
    </w:p>
    <w:p w14:paraId="1CA6CB14">
      <w:pPr>
        <w:pStyle w:val="10"/>
        <w:rPr>
          <w:rFonts w:ascii="Times New Roman" w:hAnsi="Times New Roman" w:eastAsia="仿宋" w:cs="Times New Roman"/>
          <w:b w:val="0"/>
          <w:kern w:val="0"/>
          <w:sz w:val="32"/>
          <w:szCs w:val="24"/>
          <w:lang w:val="en-US" w:eastAsia="zh-CN" w:bidi="ar-SA"/>
        </w:rPr>
      </w:pPr>
    </w:p>
    <w:p w14:paraId="05531F04">
      <w:pPr>
        <w:pStyle w:val="10"/>
        <w:rPr>
          <w:rFonts w:ascii="Times New Roman" w:hAnsi="Times New Roman" w:eastAsia="仿宋" w:cs="Times New Roman"/>
          <w:b w:val="0"/>
          <w:kern w:val="0"/>
          <w:sz w:val="32"/>
          <w:szCs w:val="24"/>
          <w:lang w:val="en-US" w:eastAsia="zh-CN" w:bidi="ar-SA"/>
        </w:rPr>
      </w:pPr>
    </w:p>
    <w:p w14:paraId="446A9F86">
      <w:pPr>
        <w:pStyle w:val="10"/>
        <w:rPr>
          <w:rFonts w:ascii="Times New Roman" w:hAnsi="Times New Roman" w:eastAsia="仿宋" w:cs="Times New Roman"/>
          <w:b w:val="0"/>
          <w:kern w:val="0"/>
          <w:sz w:val="32"/>
          <w:szCs w:val="24"/>
          <w:lang w:val="en-US" w:eastAsia="zh-CN" w:bidi="ar-SA"/>
        </w:rPr>
      </w:pPr>
    </w:p>
    <w:p w14:paraId="0C0E61C9">
      <w:pPr>
        <w:pStyle w:val="10"/>
        <w:rPr>
          <w:rFonts w:ascii="Times New Roman" w:hAnsi="Times New Roman" w:eastAsia="仿宋" w:cs="Times New Roman"/>
          <w:b w:val="0"/>
          <w:kern w:val="0"/>
          <w:sz w:val="32"/>
          <w:szCs w:val="24"/>
          <w:lang w:val="en-US" w:eastAsia="zh-CN" w:bidi="ar-SA"/>
        </w:rPr>
      </w:pPr>
    </w:p>
    <w:p w14:paraId="41B1D6CC">
      <w:pPr>
        <w:pStyle w:val="10"/>
        <w:rPr>
          <w:rFonts w:ascii="Times New Roman" w:hAnsi="Times New Roman" w:eastAsia="仿宋" w:cs="Times New Roman"/>
          <w:b w:val="0"/>
          <w:kern w:val="0"/>
          <w:sz w:val="32"/>
          <w:szCs w:val="24"/>
          <w:lang w:val="en-US" w:eastAsia="zh-CN" w:bidi="ar-SA"/>
        </w:rPr>
      </w:pPr>
    </w:p>
    <w:p w14:paraId="60C1DEE3">
      <w:pPr>
        <w:pStyle w:val="10"/>
        <w:rPr>
          <w:rFonts w:ascii="Times New Roman" w:hAnsi="Times New Roman" w:eastAsia="仿宋" w:cs="Times New Roman"/>
          <w:b w:val="0"/>
          <w:kern w:val="0"/>
          <w:sz w:val="32"/>
          <w:szCs w:val="24"/>
          <w:lang w:val="en-US" w:eastAsia="zh-CN" w:bidi="ar-SA"/>
        </w:rPr>
      </w:pPr>
    </w:p>
    <w:p w14:paraId="2826022B">
      <w:pPr>
        <w:pStyle w:val="10"/>
        <w:rPr>
          <w:rFonts w:ascii="Times New Roman" w:hAnsi="Times New Roman" w:eastAsia="仿宋" w:cs="Times New Roman"/>
          <w:b w:val="0"/>
          <w:kern w:val="0"/>
          <w:sz w:val="32"/>
          <w:szCs w:val="24"/>
          <w:lang w:val="en-US" w:eastAsia="zh-CN" w:bidi="ar-SA"/>
        </w:rPr>
      </w:pPr>
    </w:p>
    <w:p w14:paraId="0AAA2051">
      <w:pPr>
        <w:pStyle w:val="10"/>
        <w:rPr>
          <w:rFonts w:ascii="Times New Roman" w:hAnsi="Times New Roman" w:eastAsia="仿宋" w:cs="Times New Roman"/>
          <w:b w:val="0"/>
          <w:kern w:val="0"/>
          <w:sz w:val="32"/>
          <w:szCs w:val="24"/>
          <w:lang w:val="en-US" w:eastAsia="zh-CN" w:bidi="ar-SA"/>
        </w:rPr>
      </w:pPr>
    </w:p>
    <w:p w14:paraId="6FD49B75">
      <w:pPr>
        <w:pStyle w:val="10"/>
        <w:rPr>
          <w:rFonts w:ascii="Times New Roman" w:hAnsi="Times New Roman" w:eastAsia="仿宋" w:cs="Times New Roman"/>
          <w:b w:val="0"/>
          <w:kern w:val="0"/>
          <w:sz w:val="32"/>
          <w:szCs w:val="24"/>
          <w:lang w:val="en-US" w:eastAsia="zh-CN" w:bidi="ar-SA"/>
        </w:rPr>
      </w:pPr>
    </w:p>
    <w:p w14:paraId="4EE32B24">
      <w:pPr>
        <w:pStyle w:val="10"/>
        <w:rPr>
          <w:rFonts w:hint="eastAsia" w:ascii="Times New Roman" w:hAnsi="Times New Roman" w:eastAsia="仿宋" w:cs="Times New Roman"/>
          <w:b w:val="0"/>
          <w:kern w:val="0"/>
          <w:sz w:val="32"/>
          <w:szCs w:val="24"/>
          <w:lang w:val="en-US" w:eastAsia="zh-CN" w:bidi="ar-SA"/>
        </w:rPr>
      </w:pPr>
    </w:p>
    <w:bookmarkEnd w:id="42"/>
    <w:p w14:paraId="6663FA7C">
      <w:pPr>
        <w:keepNext w:val="0"/>
        <w:keepLines w:val="0"/>
        <w:pageBreakBefore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76" w:name="_Toc66717032"/>
      <w:bookmarkStart w:id="77" w:name="_Toc488"/>
      <w:r>
        <w:rPr>
          <w:rFonts w:hint="default" w:ascii="Times New Roman" w:hAnsi="Times New Roman" w:eastAsia="仿宋" w:cs="Times New Roman"/>
          <w:b/>
          <w:sz w:val="32"/>
          <w:szCs w:val="32"/>
        </w:rPr>
        <w:t>5 应急措施</w:t>
      </w:r>
      <w:bookmarkEnd w:id="76"/>
      <w:bookmarkEnd w:id="77"/>
    </w:p>
    <w:p w14:paraId="2A0119BD">
      <w:pPr>
        <w:keepNext w:val="0"/>
        <w:keepLines w:val="0"/>
        <w:pageBreakBefore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eastAsia="仿宋" w:cs="Times New Roman"/>
          <w:b/>
          <w:szCs w:val="24"/>
        </w:rPr>
      </w:pPr>
      <w:bookmarkStart w:id="78" w:name="_Toc345405220"/>
      <w:bookmarkStart w:id="79" w:name="_Toc50473913"/>
      <w:bookmarkStart w:id="80" w:name="_Toc66717033"/>
      <w:bookmarkStart w:id="81" w:name="_Toc28481"/>
      <w:r>
        <w:rPr>
          <w:rFonts w:hint="default" w:ascii="Times New Roman" w:hAnsi="Times New Roman" w:eastAsia="仿宋" w:cs="Times New Roman"/>
          <w:b/>
          <w:szCs w:val="24"/>
        </w:rPr>
        <w:t>5.1</w:t>
      </w:r>
      <w:bookmarkEnd w:id="78"/>
      <w:r>
        <w:rPr>
          <w:rFonts w:hint="default" w:ascii="Times New Roman" w:hAnsi="Times New Roman" w:eastAsia="仿宋" w:cs="Times New Roman"/>
          <w:b/>
          <w:szCs w:val="24"/>
        </w:rPr>
        <w:t>应急处置措施</w:t>
      </w:r>
      <w:bookmarkEnd w:id="79"/>
      <w:bookmarkEnd w:id="80"/>
      <w:bookmarkEnd w:id="81"/>
    </w:p>
    <w:p w14:paraId="56C2F169">
      <w:pPr>
        <w:keepNext w:val="0"/>
        <w:keepLines w:val="0"/>
        <w:pageBreakBefore w:val="0"/>
        <w:tabs>
          <w:tab w:val="left" w:pos="735"/>
        </w:tabs>
        <w:kinsoku/>
        <w:wordWrap/>
        <w:overflowPunct/>
        <w:topLinePunct w:val="0"/>
        <w:autoSpaceDE/>
        <w:autoSpaceDN/>
        <w:bidi w:val="0"/>
        <w:adjustRightInd/>
        <w:snapToGrid/>
        <w:ind w:firstLine="482"/>
        <w:textAlignment w:val="auto"/>
        <w:rPr>
          <w:rFonts w:hint="default" w:ascii="Times New Roman" w:hAnsi="Times New Roman" w:eastAsia="仿宋" w:cs="Times New Roman"/>
          <w:b/>
          <w:bCs/>
          <w:szCs w:val="24"/>
        </w:rPr>
      </w:pPr>
      <w:r>
        <w:rPr>
          <w:rFonts w:hint="default" w:ascii="Times New Roman" w:hAnsi="Times New Roman" w:eastAsia="仿宋" w:cs="Times New Roman"/>
          <w:b/>
          <w:bCs/>
          <w:szCs w:val="24"/>
        </w:rPr>
        <w:t>1.先期处置</w:t>
      </w:r>
    </w:p>
    <w:p w14:paraId="173AA4B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水源地突发环境事件发生后，属地饮用水源管理处立即启动本单位突发环境事件应急预案，迅速开展以下先期处置工作：</w:t>
      </w:r>
    </w:p>
    <w:p w14:paraId="14653885">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①尽快查找污染源或泄漏源，通过依法封堵、收集、转移等措施，切断污染源或泄漏源，标明危险区域，封锁危险场所，并采取其他防止危害扩大的必要措施；</w:t>
      </w:r>
    </w:p>
    <w:p w14:paraId="14ED463D">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②立即启动应急收集系统，保障对污染物或泄漏物的集中收集，防止污染或泄漏进一步扩散；</w:t>
      </w:r>
    </w:p>
    <w:p w14:paraId="3B8EAEBA">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③立即向上级主管部门报告，及时通报可能受到危害的单位和居民；</w:t>
      </w:r>
    </w:p>
    <w:p w14:paraId="282DF688">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④服从上级部门发布的决定、命令，积极配合政府组织人员参加应急救援和处置工作。</w:t>
      </w:r>
    </w:p>
    <w:p w14:paraId="10AAD6BD">
      <w:pPr>
        <w:keepNext w:val="0"/>
        <w:keepLines w:val="0"/>
        <w:pageBreakBefore w:val="0"/>
        <w:tabs>
          <w:tab w:val="left" w:pos="735"/>
        </w:tabs>
        <w:kinsoku/>
        <w:wordWrap/>
        <w:overflowPunct/>
        <w:topLinePunct w:val="0"/>
        <w:autoSpaceDE/>
        <w:autoSpaceDN/>
        <w:bidi w:val="0"/>
        <w:adjustRightInd/>
        <w:snapToGrid/>
        <w:ind w:firstLine="482"/>
        <w:textAlignment w:val="auto"/>
        <w:rPr>
          <w:rFonts w:hint="default" w:ascii="Times New Roman" w:hAnsi="Times New Roman" w:eastAsia="仿宋" w:cs="Times New Roman"/>
          <w:b/>
          <w:bCs/>
          <w:szCs w:val="24"/>
        </w:rPr>
      </w:pPr>
      <w:bookmarkStart w:id="82" w:name="_Hlk33536835"/>
      <w:r>
        <w:rPr>
          <w:rFonts w:hint="default" w:ascii="Times New Roman" w:hAnsi="Times New Roman" w:eastAsia="仿宋" w:cs="Times New Roman"/>
          <w:b/>
          <w:bCs/>
          <w:szCs w:val="24"/>
        </w:rPr>
        <w:t xml:space="preserve">2.现场处置 </w:t>
      </w:r>
    </w:p>
    <w:bookmarkEnd w:id="82"/>
    <w:p w14:paraId="7A17FDB1">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事件发生后，启动本预案，应急指挥部调派应急救援小组赶赴现场，成立现场应急指挥部，开展应急处置。根据污染物的性质、突发事件类型、事件可控性、严重程度、影响范围，现场应急指挥部实施如下措施：</w:t>
      </w:r>
    </w:p>
    <w:p w14:paraId="60E9B951">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①指挥部会同责任单位或责任人，收集事发现场的第一手资料，进行现场踏勘。根据突发环境事件性质、影响范围、应急人力与物力等情况，组织专家组制订科学的现场应急处置方案；</w:t>
      </w:r>
    </w:p>
    <w:p w14:paraId="385FAD2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②若为</w:t>
      </w:r>
      <w:r>
        <w:rPr>
          <w:rFonts w:hint="default" w:ascii="Times New Roman" w:hAnsi="Times New Roman" w:eastAsia="仿宋" w:cs="Times New Roman"/>
          <w:szCs w:val="24"/>
          <w:lang w:eastAsia="zh-CN"/>
        </w:rPr>
        <w:t>花溪</w:t>
      </w:r>
      <w:r>
        <w:rPr>
          <w:rFonts w:hint="default" w:ascii="Times New Roman" w:hAnsi="Times New Roman" w:eastAsia="仿宋" w:cs="Times New Roman"/>
          <w:szCs w:val="24"/>
        </w:rPr>
        <w:t>区内企业发生突发环境事件则启动该企业的突发环境事件应急预案，</w:t>
      </w:r>
      <w:r>
        <w:rPr>
          <w:rFonts w:hint="default" w:ascii="Times New Roman" w:hAnsi="Times New Roman" w:eastAsia="仿宋" w:cs="Times New Roman"/>
          <w:szCs w:val="24"/>
          <w:lang w:eastAsia="zh-CN"/>
        </w:rPr>
        <w:t>花溪</w:t>
      </w:r>
      <w:r>
        <w:rPr>
          <w:rFonts w:hint="default" w:ascii="Times New Roman" w:hAnsi="Times New Roman" w:eastAsia="仿宋" w:cs="Times New Roman"/>
          <w:szCs w:val="24"/>
        </w:rPr>
        <w:t>区管理部门负责督促、协调、组织等。</w:t>
      </w:r>
    </w:p>
    <w:p w14:paraId="17580C9B">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③当饮用水水源已受到污染时，应急处置组立即启动水源地防控措施，采取停止供水、隔离污水、治理污染、调水稀释等方法尽快消除污染威胁；通知相关居民停止取水、用水；当饮用水供水中断后，后勤保障组协调供水部门通过多渠道组织提供安全饮用水，并加大宣传和引导力度，避免引起群众恐慌心理。</w:t>
      </w:r>
    </w:p>
    <w:p w14:paraId="60739A04">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④应急处置组根据应急处置方案，迅速消除、控制或者安全转移污染源，及时控制污染物继续外排或泄漏，切断污染物进入水源的途径；减少危害程度和范围，并同时对供水管网进行消毒处理；</w:t>
      </w:r>
    </w:p>
    <w:p w14:paraId="1F7C4D32">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⑤当发生供水应急状态时，紧急切断部分管路，实行区域间歇性供水；</w:t>
      </w:r>
    </w:p>
    <w:p w14:paraId="3B2D4CAB">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⑥划定现场污染警戒区、隔离区和交通管制区，并设置警示标志；</w:t>
      </w:r>
    </w:p>
    <w:p w14:paraId="3FC51DB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⑦组织专家分析事件的发展趋势，提出应急处置方案的调整和优化建议。</w:t>
      </w:r>
    </w:p>
    <w:p w14:paraId="7D0E87A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⑧水体内污染物治理、总量或浓度削减：根据应急专家组等意见，制定综合处置方案，经现场应急指挥部确认后实施。一般采取隔离、吸附、打捞、扰动等物理方法，氧化、沉淀等化学方法，利用湿地生物群消解等生物方法和上游调水等稀释方法，可以采取一种或多种方式，力争短时间内削减污染物浓度。现场应急指挥部可根据需要，对水源地汇水区域内的污染物排放企业实施停产、减产、限产等措施，削减水域污染物总量或浓度。</w:t>
      </w:r>
    </w:p>
    <w:p w14:paraId="15890B96">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⑨应急工程设施拦截污染水体：饮用水源地为地下水型饮用水，但根据现场情况，若因周围区域地表水污染后导致的地下水源污染，应急处置组可考虑在受污染的河道内启用或修建拦截坝、节制闸等工程设施拦截污染水体；通过导流渠将未受污染水体导流至污染水体下游，通过分流沟将污染水体分流至水源保护区外进行收集处置；利用前置库、缓冲池等工程设施，降低污染水体的污染物浓度，为应急处置争取时间。</w:t>
      </w:r>
    </w:p>
    <w:p w14:paraId="515DA177">
      <w:pPr>
        <w:keepNext w:val="0"/>
        <w:keepLines w:val="0"/>
        <w:pageBreakBefore w:val="0"/>
        <w:tabs>
          <w:tab w:val="left" w:pos="735"/>
        </w:tabs>
        <w:kinsoku/>
        <w:wordWrap/>
        <w:overflowPunct/>
        <w:topLinePunct w:val="0"/>
        <w:autoSpaceDE/>
        <w:autoSpaceDN/>
        <w:bidi w:val="0"/>
        <w:adjustRightInd/>
        <w:snapToGrid/>
        <w:ind w:firstLine="482"/>
        <w:textAlignment w:val="auto"/>
        <w:rPr>
          <w:rFonts w:hint="default" w:ascii="Times New Roman" w:hAnsi="Times New Roman" w:eastAsia="仿宋" w:cs="Times New Roman"/>
          <w:b/>
          <w:bCs/>
          <w:szCs w:val="24"/>
        </w:rPr>
      </w:pPr>
      <w:r>
        <w:rPr>
          <w:rFonts w:hint="default" w:ascii="Times New Roman" w:hAnsi="Times New Roman" w:eastAsia="仿宋" w:cs="Times New Roman"/>
          <w:b/>
          <w:bCs/>
          <w:szCs w:val="24"/>
        </w:rPr>
        <w:t xml:space="preserve">3.供水安全保障 </w:t>
      </w:r>
    </w:p>
    <w:p w14:paraId="23609E48">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建立向供水单位通报应急监测信息制度，并在启动预警时第一时间通知供水单位，供水单位应根据污染物的种类、浓度、可能影响取水口的时间，及时采取深度处理、低压供水或启动备用水源等应急措施，并加强污染物监测，待水质满足取水要求时恢复取水和供水。若无法采用备用应急水源时，应使用应急供水车等设施保障居民用水。</w:t>
      </w:r>
    </w:p>
    <w:p w14:paraId="6AAF9AF8">
      <w:pPr>
        <w:keepNext w:val="0"/>
        <w:keepLines w:val="0"/>
        <w:pageBreakBefore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eastAsia="仿宋" w:cs="Times New Roman"/>
          <w:b/>
          <w:szCs w:val="24"/>
        </w:rPr>
      </w:pPr>
      <w:bookmarkStart w:id="83" w:name="_Toc66717034"/>
      <w:bookmarkStart w:id="84" w:name="_Toc50473915"/>
      <w:bookmarkStart w:id="85" w:name="_Toc15643"/>
      <w:r>
        <w:rPr>
          <w:rFonts w:hint="default" w:ascii="Times New Roman" w:hAnsi="Times New Roman" w:eastAsia="仿宋" w:cs="Times New Roman"/>
          <w:b/>
          <w:szCs w:val="24"/>
        </w:rPr>
        <w:t>5.2应急监测</w:t>
      </w:r>
      <w:bookmarkEnd w:id="83"/>
      <w:bookmarkEnd w:id="84"/>
      <w:bookmarkEnd w:id="85"/>
    </w:p>
    <w:p w14:paraId="4695D176">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发布预警后，应急监测部门应按照现场应急指挥部命令，根据现场实际情况制定监测方案、设置监测点位（断面）、确定监测频次、组织开展监测、形成监测报告，第一时间向现场应急指挥部报告监测结果和污染浓度变化态势图，并安排人员对突发环境事件监测情况进行全过程记录。事件处置中期，应根据事态发展，如上游来水量、应急处置措施效果等情况，适时调整监测点位（断面）和监测频次。事件处置末期，应按照现场应急指挥部命令，停止应急监测，并向现场应急指挥部提交应急监测总结报告。</w:t>
      </w:r>
    </w:p>
    <w:p w14:paraId="3289CA65">
      <w:pPr>
        <w:keepNext w:val="0"/>
        <w:keepLines w:val="0"/>
        <w:pageBreakBefore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eastAsia="仿宋" w:cs="Times New Roman"/>
          <w:b/>
          <w:szCs w:val="24"/>
        </w:rPr>
      </w:pPr>
      <w:bookmarkStart w:id="86" w:name="_Toc66717035"/>
      <w:bookmarkStart w:id="87" w:name="_Toc50473916"/>
      <w:bookmarkStart w:id="88" w:name="_Toc20747"/>
      <w:bookmarkStart w:id="89" w:name="_Toc345405226"/>
      <w:r>
        <w:rPr>
          <w:rFonts w:hint="default" w:ascii="Times New Roman" w:hAnsi="Times New Roman" w:eastAsia="仿宋" w:cs="Times New Roman"/>
          <w:b/>
          <w:szCs w:val="24"/>
        </w:rPr>
        <w:t>5.3环境污染事件应急物资储备</w:t>
      </w:r>
      <w:bookmarkEnd w:id="86"/>
      <w:bookmarkEnd w:id="87"/>
      <w:bookmarkEnd w:id="88"/>
      <w:bookmarkEnd w:id="89"/>
    </w:p>
    <w:p w14:paraId="0C8136F3">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建立饮用水源地突发环境事件应急物资库，补充完善应急物资，根据现有物资储备情况，还需储备完善的应急物资、装备和设施包括以下内容：</w:t>
      </w:r>
    </w:p>
    <w:p w14:paraId="322D06B6">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（1）对水体内污染物进行打捞和拦截的物资、装备和设施，如救援打捞设备、油毡、围油栏、筑坝材料、溢出控制装备等。</w:t>
      </w:r>
    </w:p>
    <w:p w14:paraId="594062E4">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（2）控制和消除污染物的物资、装备和设施，如中和剂、灭火剂、解毒剂、吸收剂等。</w:t>
      </w:r>
    </w:p>
    <w:p w14:paraId="5BCA66A6">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（3）移除和拦截移动源的装备和设施，如吊车、临时围堰、导流槽、应急池等。</w:t>
      </w:r>
    </w:p>
    <w:p w14:paraId="6549E328">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（4）雨水口垃圾清运和拦截的装备和设施，如格栅、清运车、临时设置的导流槽等。</w:t>
      </w:r>
    </w:p>
    <w:p w14:paraId="393B0AE7">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（5）对污染物进行拦截、导流、分流及降解的应急工程设施，如拦截坝、节制闸、导流渠、分流沟、前置库等。</w:t>
      </w:r>
    </w:p>
    <w:p w14:paraId="050BA6DA">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根据资料提供，</w:t>
      </w:r>
      <w:r>
        <w:rPr>
          <w:rFonts w:hint="default" w:ascii="Times New Roman" w:hAnsi="Times New Roman" w:eastAsia="仿宋" w:cs="Times New Roman"/>
          <w:kern w:val="0"/>
          <w:szCs w:val="24"/>
          <w:lang w:eastAsia="zh-CN"/>
        </w:rPr>
        <w:t>花溪</w:t>
      </w:r>
      <w:r>
        <w:rPr>
          <w:rFonts w:hint="default" w:ascii="Times New Roman" w:hAnsi="Times New Roman" w:eastAsia="仿宋" w:cs="Times New Roman"/>
          <w:kern w:val="0"/>
          <w:szCs w:val="24"/>
        </w:rPr>
        <w:t>区人民政府针对饮用水源地配备了一些物资，分别存放在贵阳油库及区武装部处，具体的储备名录见表5-1所示：</w:t>
      </w:r>
    </w:p>
    <w:p w14:paraId="51998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 xml:space="preserve">表5-1 </w:t>
      </w:r>
      <w:r>
        <w:rPr>
          <w:rFonts w:hint="default" w:ascii="Times New Roman" w:hAnsi="Times New Roman" w:eastAsia="仿宋" w:cs="Times New Roman"/>
          <w:b/>
          <w:kern w:val="0"/>
          <w:sz w:val="24"/>
          <w:szCs w:val="24"/>
          <w:lang w:eastAsia="zh-CN"/>
        </w:rPr>
        <w:t>花溪</w:t>
      </w:r>
      <w:r>
        <w:rPr>
          <w:rFonts w:hint="default" w:ascii="Times New Roman" w:hAnsi="Times New Roman" w:eastAsia="仿宋" w:cs="Times New Roman"/>
          <w:b/>
          <w:kern w:val="0"/>
          <w:sz w:val="24"/>
          <w:szCs w:val="24"/>
        </w:rPr>
        <w:t>区内饮用水源地应急物资储备清单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539"/>
        <w:gridCol w:w="730"/>
        <w:gridCol w:w="1032"/>
        <w:gridCol w:w="1936"/>
        <w:gridCol w:w="1443"/>
      </w:tblGrid>
      <w:tr w14:paraId="191F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21E549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序号</w:t>
            </w:r>
          </w:p>
        </w:tc>
        <w:tc>
          <w:tcPr>
            <w:tcW w:w="1489" w:type="pct"/>
            <w:tcBorders>
              <w:tl2br w:val="nil"/>
              <w:tr2bl w:val="nil"/>
            </w:tcBorders>
            <w:noWrap w:val="0"/>
            <w:vAlign w:val="center"/>
          </w:tcPr>
          <w:p w14:paraId="7953D4D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名称</w:t>
            </w:r>
          </w:p>
        </w:tc>
        <w:tc>
          <w:tcPr>
            <w:tcW w:w="428" w:type="pct"/>
            <w:tcBorders>
              <w:tl2br w:val="nil"/>
              <w:tr2bl w:val="nil"/>
            </w:tcBorders>
            <w:noWrap w:val="0"/>
            <w:vAlign w:val="center"/>
          </w:tcPr>
          <w:p w14:paraId="46AB146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数量</w:t>
            </w:r>
          </w:p>
        </w:tc>
        <w:tc>
          <w:tcPr>
            <w:tcW w:w="605" w:type="pct"/>
            <w:tcBorders>
              <w:tl2br w:val="nil"/>
              <w:tr2bl w:val="nil"/>
            </w:tcBorders>
            <w:noWrap w:val="0"/>
            <w:vAlign w:val="center"/>
          </w:tcPr>
          <w:p w14:paraId="0A39166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单位</w:t>
            </w:r>
          </w:p>
        </w:tc>
        <w:tc>
          <w:tcPr>
            <w:tcW w:w="1135" w:type="pct"/>
            <w:tcBorders>
              <w:tl2br w:val="nil"/>
              <w:tr2bl w:val="nil"/>
            </w:tcBorders>
            <w:noWrap w:val="0"/>
            <w:vAlign w:val="center"/>
          </w:tcPr>
          <w:p w14:paraId="40C2A8A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功能</w:t>
            </w:r>
          </w:p>
        </w:tc>
        <w:tc>
          <w:tcPr>
            <w:tcW w:w="846" w:type="pct"/>
            <w:tcBorders>
              <w:tl2br w:val="nil"/>
              <w:tr2bl w:val="nil"/>
            </w:tcBorders>
            <w:noWrap w:val="0"/>
            <w:vAlign w:val="center"/>
          </w:tcPr>
          <w:p w14:paraId="7EF413C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存放地点</w:t>
            </w:r>
          </w:p>
        </w:tc>
      </w:tr>
      <w:tr w14:paraId="1A37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05F6F90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w:t>
            </w:r>
          </w:p>
        </w:tc>
        <w:tc>
          <w:tcPr>
            <w:tcW w:w="1489" w:type="pct"/>
            <w:tcBorders>
              <w:tl2br w:val="nil"/>
              <w:tr2bl w:val="nil"/>
            </w:tcBorders>
            <w:noWrap w:val="0"/>
            <w:vAlign w:val="center"/>
          </w:tcPr>
          <w:p w14:paraId="33B20C4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塑胶手套</w:t>
            </w:r>
          </w:p>
        </w:tc>
        <w:tc>
          <w:tcPr>
            <w:tcW w:w="428" w:type="pct"/>
            <w:tcBorders>
              <w:tl2br w:val="nil"/>
              <w:tr2bl w:val="nil"/>
            </w:tcBorders>
            <w:noWrap w:val="0"/>
            <w:vAlign w:val="center"/>
          </w:tcPr>
          <w:p w14:paraId="500ED9B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30</w:t>
            </w:r>
          </w:p>
        </w:tc>
        <w:tc>
          <w:tcPr>
            <w:tcW w:w="605" w:type="pct"/>
            <w:tcBorders>
              <w:tl2br w:val="nil"/>
              <w:tr2bl w:val="nil"/>
            </w:tcBorders>
            <w:noWrap w:val="0"/>
            <w:vAlign w:val="center"/>
          </w:tcPr>
          <w:p w14:paraId="39AA198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副</w:t>
            </w:r>
          </w:p>
        </w:tc>
        <w:tc>
          <w:tcPr>
            <w:tcW w:w="1135" w:type="pct"/>
            <w:vMerge w:val="restart"/>
            <w:tcBorders>
              <w:tl2br w:val="nil"/>
              <w:tr2bl w:val="nil"/>
            </w:tcBorders>
            <w:noWrap w:val="0"/>
            <w:vAlign w:val="center"/>
          </w:tcPr>
          <w:p w14:paraId="4A4BEA6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身体防护</w:t>
            </w:r>
          </w:p>
        </w:tc>
        <w:tc>
          <w:tcPr>
            <w:tcW w:w="846" w:type="pct"/>
            <w:vMerge w:val="restart"/>
            <w:tcBorders>
              <w:tl2br w:val="nil"/>
              <w:tr2bl w:val="nil"/>
            </w:tcBorders>
            <w:noWrap w:val="0"/>
            <w:vAlign w:val="center"/>
          </w:tcPr>
          <w:p w14:paraId="2BD1C44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应急物资库</w:t>
            </w:r>
          </w:p>
        </w:tc>
      </w:tr>
      <w:tr w14:paraId="16B4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682CF80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1489" w:type="pct"/>
            <w:tcBorders>
              <w:tl2br w:val="nil"/>
              <w:tr2bl w:val="nil"/>
            </w:tcBorders>
            <w:noWrap w:val="0"/>
            <w:vAlign w:val="center"/>
          </w:tcPr>
          <w:p w14:paraId="13E9FA8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雨 衣</w:t>
            </w:r>
          </w:p>
        </w:tc>
        <w:tc>
          <w:tcPr>
            <w:tcW w:w="428" w:type="pct"/>
            <w:tcBorders>
              <w:tl2br w:val="nil"/>
              <w:tr2bl w:val="nil"/>
            </w:tcBorders>
            <w:noWrap w:val="0"/>
            <w:vAlign w:val="center"/>
          </w:tcPr>
          <w:p w14:paraId="27202D8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605" w:type="pct"/>
            <w:tcBorders>
              <w:tl2br w:val="nil"/>
              <w:tr2bl w:val="nil"/>
            </w:tcBorders>
            <w:noWrap w:val="0"/>
            <w:vAlign w:val="center"/>
          </w:tcPr>
          <w:p w14:paraId="4FCE380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件</w:t>
            </w:r>
          </w:p>
        </w:tc>
        <w:tc>
          <w:tcPr>
            <w:tcW w:w="1135" w:type="pct"/>
            <w:vMerge w:val="continue"/>
            <w:tcBorders>
              <w:tl2br w:val="nil"/>
              <w:tr2bl w:val="nil"/>
            </w:tcBorders>
            <w:noWrap w:val="0"/>
            <w:vAlign w:val="center"/>
          </w:tcPr>
          <w:p w14:paraId="36131D2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6B8EE26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7AB2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F53084A">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w:t>
            </w:r>
          </w:p>
        </w:tc>
        <w:tc>
          <w:tcPr>
            <w:tcW w:w="1489" w:type="pct"/>
            <w:tcBorders>
              <w:tl2br w:val="nil"/>
              <w:tr2bl w:val="nil"/>
            </w:tcBorders>
            <w:noWrap w:val="0"/>
            <w:vAlign w:val="center"/>
          </w:tcPr>
          <w:p w14:paraId="03B68F1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救生衣</w:t>
            </w:r>
          </w:p>
        </w:tc>
        <w:tc>
          <w:tcPr>
            <w:tcW w:w="428" w:type="pct"/>
            <w:tcBorders>
              <w:tl2br w:val="nil"/>
              <w:tr2bl w:val="nil"/>
            </w:tcBorders>
            <w:noWrap w:val="0"/>
            <w:vAlign w:val="center"/>
          </w:tcPr>
          <w:p w14:paraId="4DFAA12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605" w:type="pct"/>
            <w:tcBorders>
              <w:tl2br w:val="nil"/>
              <w:tr2bl w:val="nil"/>
            </w:tcBorders>
            <w:noWrap w:val="0"/>
            <w:vAlign w:val="center"/>
          </w:tcPr>
          <w:p w14:paraId="704407F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件</w:t>
            </w:r>
          </w:p>
        </w:tc>
        <w:tc>
          <w:tcPr>
            <w:tcW w:w="1135" w:type="pct"/>
            <w:vMerge w:val="continue"/>
            <w:tcBorders>
              <w:tl2br w:val="nil"/>
              <w:tr2bl w:val="nil"/>
            </w:tcBorders>
            <w:noWrap w:val="0"/>
            <w:vAlign w:val="center"/>
          </w:tcPr>
          <w:p w14:paraId="415B663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6CD70D8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1D49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8B7D1F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4</w:t>
            </w:r>
          </w:p>
        </w:tc>
        <w:tc>
          <w:tcPr>
            <w:tcW w:w="1489" w:type="pct"/>
            <w:tcBorders>
              <w:tl2br w:val="nil"/>
              <w:tr2bl w:val="nil"/>
            </w:tcBorders>
            <w:noWrap w:val="0"/>
            <w:vAlign w:val="center"/>
          </w:tcPr>
          <w:p w14:paraId="7BD8542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雨 鞋</w:t>
            </w:r>
          </w:p>
        </w:tc>
        <w:tc>
          <w:tcPr>
            <w:tcW w:w="428" w:type="pct"/>
            <w:tcBorders>
              <w:tl2br w:val="nil"/>
              <w:tr2bl w:val="nil"/>
            </w:tcBorders>
            <w:noWrap w:val="0"/>
            <w:vAlign w:val="center"/>
          </w:tcPr>
          <w:p w14:paraId="6565A9C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605" w:type="pct"/>
            <w:tcBorders>
              <w:tl2br w:val="nil"/>
              <w:tr2bl w:val="nil"/>
            </w:tcBorders>
            <w:noWrap w:val="0"/>
            <w:vAlign w:val="center"/>
          </w:tcPr>
          <w:p w14:paraId="1D1293A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双</w:t>
            </w:r>
          </w:p>
        </w:tc>
        <w:tc>
          <w:tcPr>
            <w:tcW w:w="1135" w:type="pct"/>
            <w:vMerge w:val="continue"/>
            <w:tcBorders>
              <w:tl2br w:val="nil"/>
              <w:tr2bl w:val="nil"/>
            </w:tcBorders>
            <w:noWrap w:val="0"/>
            <w:vAlign w:val="center"/>
          </w:tcPr>
          <w:p w14:paraId="5FA1F76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5B59989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6ACF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453241D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1489" w:type="pct"/>
            <w:tcBorders>
              <w:tl2br w:val="nil"/>
              <w:tr2bl w:val="nil"/>
            </w:tcBorders>
            <w:noWrap w:val="0"/>
            <w:vAlign w:val="center"/>
          </w:tcPr>
          <w:p w14:paraId="34B8F77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口罩</w:t>
            </w:r>
          </w:p>
        </w:tc>
        <w:tc>
          <w:tcPr>
            <w:tcW w:w="428" w:type="pct"/>
            <w:tcBorders>
              <w:tl2br w:val="nil"/>
              <w:tr2bl w:val="nil"/>
            </w:tcBorders>
            <w:noWrap w:val="0"/>
            <w:vAlign w:val="center"/>
          </w:tcPr>
          <w:p w14:paraId="72660D4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30</w:t>
            </w:r>
          </w:p>
        </w:tc>
        <w:tc>
          <w:tcPr>
            <w:tcW w:w="605" w:type="pct"/>
            <w:tcBorders>
              <w:tl2br w:val="nil"/>
              <w:tr2bl w:val="nil"/>
            </w:tcBorders>
            <w:noWrap w:val="0"/>
            <w:vAlign w:val="center"/>
          </w:tcPr>
          <w:p w14:paraId="255FABB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副</w:t>
            </w:r>
          </w:p>
        </w:tc>
        <w:tc>
          <w:tcPr>
            <w:tcW w:w="1135" w:type="pct"/>
            <w:vMerge w:val="continue"/>
            <w:tcBorders>
              <w:tl2br w:val="nil"/>
              <w:tr2bl w:val="nil"/>
            </w:tcBorders>
            <w:noWrap w:val="0"/>
            <w:vAlign w:val="center"/>
          </w:tcPr>
          <w:p w14:paraId="094926B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08DCEA7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225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26ABA33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6</w:t>
            </w:r>
          </w:p>
        </w:tc>
        <w:tc>
          <w:tcPr>
            <w:tcW w:w="1489" w:type="pct"/>
            <w:tcBorders>
              <w:tl2br w:val="nil"/>
              <w:tr2bl w:val="nil"/>
            </w:tcBorders>
            <w:noWrap w:val="0"/>
            <w:vAlign w:val="center"/>
          </w:tcPr>
          <w:p w14:paraId="742E065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密眼渔网兜</w:t>
            </w:r>
          </w:p>
        </w:tc>
        <w:tc>
          <w:tcPr>
            <w:tcW w:w="428" w:type="pct"/>
            <w:tcBorders>
              <w:tl2br w:val="nil"/>
              <w:tr2bl w:val="nil"/>
            </w:tcBorders>
            <w:noWrap w:val="0"/>
            <w:vAlign w:val="center"/>
          </w:tcPr>
          <w:p w14:paraId="689B232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3961B51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个</w:t>
            </w:r>
          </w:p>
        </w:tc>
        <w:tc>
          <w:tcPr>
            <w:tcW w:w="1135" w:type="pct"/>
            <w:vMerge w:val="restart"/>
            <w:tcBorders>
              <w:tl2br w:val="nil"/>
              <w:tr2bl w:val="nil"/>
            </w:tcBorders>
            <w:noWrap w:val="0"/>
            <w:vAlign w:val="center"/>
          </w:tcPr>
          <w:p w14:paraId="6DEE293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打捞藻类、污染物等</w:t>
            </w:r>
          </w:p>
        </w:tc>
        <w:tc>
          <w:tcPr>
            <w:tcW w:w="846" w:type="pct"/>
            <w:vMerge w:val="continue"/>
            <w:tcBorders>
              <w:tl2br w:val="nil"/>
              <w:tr2bl w:val="nil"/>
            </w:tcBorders>
            <w:noWrap w:val="0"/>
            <w:vAlign w:val="center"/>
          </w:tcPr>
          <w:p w14:paraId="6E8087E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5951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FA621D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7</w:t>
            </w:r>
          </w:p>
        </w:tc>
        <w:tc>
          <w:tcPr>
            <w:tcW w:w="1489" w:type="pct"/>
            <w:tcBorders>
              <w:tl2br w:val="nil"/>
              <w:tr2bl w:val="nil"/>
            </w:tcBorders>
            <w:noWrap w:val="0"/>
            <w:vAlign w:val="center"/>
          </w:tcPr>
          <w:p w14:paraId="0B93DA8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船</w:t>
            </w:r>
          </w:p>
        </w:tc>
        <w:tc>
          <w:tcPr>
            <w:tcW w:w="428" w:type="pct"/>
            <w:tcBorders>
              <w:tl2br w:val="nil"/>
              <w:tr2bl w:val="nil"/>
            </w:tcBorders>
            <w:noWrap w:val="0"/>
            <w:vAlign w:val="center"/>
          </w:tcPr>
          <w:p w14:paraId="195D856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605" w:type="pct"/>
            <w:tcBorders>
              <w:tl2br w:val="nil"/>
              <w:tr2bl w:val="nil"/>
            </w:tcBorders>
            <w:noWrap w:val="0"/>
            <w:vAlign w:val="center"/>
          </w:tcPr>
          <w:p w14:paraId="2BF3CB0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艘</w:t>
            </w:r>
          </w:p>
        </w:tc>
        <w:tc>
          <w:tcPr>
            <w:tcW w:w="1135" w:type="pct"/>
            <w:vMerge w:val="continue"/>
            <w:tcBorders>
              <w:tl2br w:val="nil"/>
              <w:tr2bl w:val="nil"/>
            </w:tcBorders>
            <w:noWrap w:val="0"/>
            <w:vAlign w:val="center"/>
          </w:tcPr>
          <w:p w14:paraId="7564A16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7119228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2DDA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3E62AEB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8</w:t>
            </w:r>
          </w:p>
        </w:tc>
        <w:tc>
          <w:tcPr>
            <w:tcW w:w="1489" w:type="pct"/>
            <w:tcBorders>
              <w:tl2br w:val="nil"/>
              <w:tr2bl w:val="nil"/>
            </w:tcBorders>
            <w:noWrap w:val="0"/>
            <w:vAlign w:val="center"/>
          </w:tcPr>
          <w:p w14:paraId="653BF00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PVC围油栏（20m）</w:t>
            </w:r>
          </w:p>
        </w:tc>
        <w:tc>
          <w:tcPr>
            <w:tcW w:w="428" w:type="pct"/>
            <w:tcBorders>
              <w:tl2br w:val="nil"/>
              <w:tr2bl w:val="nil"/>
            </w:tcBorders>
            <w:noWrap w:val="0"/>
            <w:vAlign w:val="center"/>
          </w:tcPr>
          <w:p w14:paraId="00345D2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1D8068C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条</w:t>
            </w:r>
          </w:p>
        </w:tc>
        <w:tc>
          <w:tcPr>
            <w:tcW w:w="1135" w:type="pct"/>
            <w:tcBorders>
              <w:tl2br w:val="nil"/>
              <w:tr2bl w:val="nil"/>
            </w:tcBorders>
            <w:noWrap w:val="0"/>
            <w:vAlign w:val="center"/>
          </w:tcPr>
          <w:p w14:paraId="5AEF31E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围挡藻类、油类物质及污染物等</w:t>
            </w:r>
          </w:p>
        </w:tc>
        <w:tc>
          <w:tcPr>
            <w:tcW w:w="846" w:type="pct"/>
            <w:vMerge w:val="continue"/>
            <w:tcBorders>
              <w:tl2br w:val="nil"/>
              <w:tr2bl w:val="nil"/>
            </w:tcBorders>
            <w:noWrap w:val="0"/>
            <w:vAlign w:val="center"/>
          </w:tcPr>
          <w:p w14:paraId="14F20DC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3830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3DE9738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9</w:t>
            </w:r>
          </w:p>
        </w:tc>
        <w:tc>
          <w:tcPr>
            <w:tcW w:w="1489" w:type="pct"/>
            <w:tcBorders>
              <w:tl2br w:val="nil"/>
              <w:tr2bl w:val="nil"/>
            </w:tcBorders>
            <w:noWrap w:val="0"/>
            <w:vAlign w:val="center"/>
          </w:tcPr>
          <w:p w14:paraId="7CC0A28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吸油毡（40cm*50cm）</w:t>
            </w:r>
          </w:p>
        </w:tc>
        <w:tc>
          <w:tcPr>
            <w:tcW w:w="428" w:type="pct"/>
            <w:tcBorders>
              <w:tl2br w:val="nil"/>
              <w:tr2bl w:val="nil"/>
            </w:tcBorders>
            <w:noWrap w:val="0"/>
            <w:vAlign w:val="center"/>
          </w:tcPr>
          <w:p w14:paraId="30391BC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100</w:t>
            </w:r>
          </w:p>
        </w:tc>
        <w:tc>
          <w:tcPr>
            <w:tcW w:w="605" w:type="pct"/>
            <w:tcBorders>
              <w:tl2br w:val="nil"/>
              <w:tr2bl w:val="nil"/>
            </w:tcBorders>
            <w:noWrap w:val="0"/>
            <w:vAlign w:val="center"/>
          </w:tcPr>
          <w:p w14:paraId="2FB578D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片</w:t>
            </w:r>
          </w:p>
        </w:tc>
        <w:tc>
          <w:tcPr>
            <w:tcW w:w="1135" w:type="pct"/>
            <w:tcBorders>
              <w:tl2br w:val="nil"/>
              <w:tr2bl w:val="nil"/>
            </w:tcBorders>
            <w:noWrap w:val="0"/>
            <w:vAlign w:val="center"/>
          </w:tcPr>
          <w:p w14:paraId="61CF748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吸附油类物质</w:t>
            </w:r>
          </w:p>
        </w:tc>
        <w:tc>
          <w:tcPr>
            <w:tcW w:w="846" w:type="pct"/>
            <w:vMerge w:val="continue"/>
            <w:tcBorders>
              <w:tl2br w:val="nil"/>
              <w:tr2bl w:val="nil"/>
            </w:tcBorders>
            <w:noWrap w:val="0"/>
            <w:vAlign w:val="center"/>
          </w:tcPr>
          <w:p w14:paraId="3B6E812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1940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517A0F5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1489" w:type="pct"/>
            <w:tcBorders>
              <w:tl2br w:val="nil"/>
              <w:tr2bl w:val="nil"/>
            </w:tcBorders>
            <w:noWrap w:val="0"/>
            <w:vAlign w:val="center"/>
          </w:tcPr>
          <w:p w14:paraId="34C1F0C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粉末活性炭（25kg/袋）</w:t>
            </w:r>
          </w:p>
        </w:tc>
        <w:tc>
          <w:tcPr>
            <w:tcW w:w="428" w:type="pct"/>
            <w:tcBorders>
              <w:tl2br w:val="nil"/>
              <w:tr2bl w:val="nil"/>
            </w:tcBorders>
            <w:noWrap w:val="0"/>
            <w:vAlign w:val="center"/>
          </w:tcPr>
          <w:p w14:paraId="4489B99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75E2857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袋</w:t>
            </w:r>
          </w:p>
        </w:tc>
        <w:tc>
          <w:tcPr>
            <w:tcW w:w="1135" w:type="pct"/>
            <w:tcBorders>
              <w:tl2br w:val="nil"/>
              <w:tr2bl w:val="nil"/>
            </w:tcBorders>
            <w:noWrap w:val="0"/>
            <w:vAlign w:val="center"/>
          </w:tcPr>
          <w:p w14:paraId="4B60268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净化水质</w:t>
            </w:r>
          </w:p>
        </w:tc>
        <w:tc>
          <w:tcPr>
            <w:tcW w:w="846" w:type="pct"/>
            <w:vMerge w:val="continue"/>
            <w:tcBorders>
              <w:tl2br w:val="nil"/>
              <w:tr2bl w:val="nil"/>
            </w:tcBorders>
            <w:noWrap w:val="0"/>
            <w:vAlign w:val="center"/>
          </w:tcPr>
          <w:p w14:paraId="37C13C4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586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0F84D02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11</w:t>
            </w:r>
          </w:p>
        </w:tc>
        <w:tc>
          <w:tcPr>
            <w:tcW w:w="1489" w:type="pct"/>
            <w:tcBorders>
              <w:tl2br w:val="nil"/>
              <w:tr2bl w:val="nil"/>
            </w:tcBorders>
            <w:noWrap w:val="0"/>
            <w:vAlign w:val="center"/>
          </w:tcPr>
          <w:p w14:paraId="584BDD0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编织袋</w:t>
            </w:r>
          </w:p>
        </w:tc>
        <w:tc>
          <w:tcPr>
            <w:tcW w:w="428" w:type="pct"/>
            <w:tcBorders>
              <w:tl2br w:val="nil"/>
              <w:tr2bl w:val="nil"/>
            </w:tcBorders>
            <w:noWrap w:val="0"/>
            <w:vAlign w:val="center"/>
          </w:tcPr>
          <w:p w14:paraId="26F5158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100</w:t>
            </w:r>
          </w:p>
        </w:tc>
        <w:tc>
          <w:tcPr>
            <w:tcW w:w="605" w:type="pct"/>
            <w:tcBorders>
              <w:tl2br w:val="nil"/>
              <w:tr2bl w:val="nil"/>
            </w:tcBorders>
            <w:noWrap w:val="0"/>
            <w:vAlign w:val="center"/>
          </w:tcPr>
          <w:p w14:paraId="2F9085B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个</w:t>
            </w:r>
          </w:p>
        </w:tc>
        <w:tc>
          <w:tcPr>
            <w:tcW w:w="1135" w:type="pct"/>
            <w:vMerge w:val="restart"/>
            <w:tcBorders>
              <w:tl2br w:val="nil"/>
              <w:tr2bl w:val="nil"/>
            </w:tcBorders>
            <w:noWrap w:val="0"/>
            <w:vAlign w:val="center"/>
          </w:tcPr>
          <w:p w14:paraId="7C58020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应急抢险</w:t>
            </w:r>
          </w:p>
        </w:tc>
        <w:tc>
          <w:tcPr>
            <w:tcW w:w="846" w:type="pct"/>
            <w:vMerge w:val="continue"/>
            <w:tcBorders>
              <w:tl2br w:val="nil"/>
              <w:tr2bl w:val="nil"/>
            </w:tcBorders>
            <w:noWrap w:val="0"/>
            <w:vAlign w:val="center"/>
          </w:tcPr>
          <w:p w14:paraId="2828C3E4">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63E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2BA446B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12</w:t>
            </w:r>
          </w:p>
        </w:tc>
        <w:tc>
          <w:tcPr>
            <w:tcW w:w="1489" w:type="pct"/>
            <w:tcBorders>
              <w:tl2br w:val="nil"/>
              <w:tr2bl w:val="nil"/>
            </w:tcBorders>
            <w:noWrap w:val="0"/>
            <w:vAlign w:val="center"/>
          </w:tcPr>
          <w:p w14:paraId="2FCF506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铁锹</w:t>
            </w:r>
          </w:p>
        </w:tc>
        <w:tc>
          <w:tcPr>
            <w:tcW w:w="428" w:type="pct"/>
            <w:tcBorders>
              <w:tl2br w:val="nil"/>
              <w:tr2bl w:val="nil"/>
            </w:tcBorders>
            <w:noWrap w:val="0"/>
            <w:vAlign w:val="center"/>
          </w:tcPr>
          <w:p w14:paraId="09C10DE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63EEABA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把</w:t>
            </w:r>
          </w:p>
        </w:tc>
        <w:tc>
          <w:tcPr>
            <w:tcW w:w="1135" w:type="pct"/>
            <w:vMerge w:val="continue"/>
            <w:tcBorders>
              <w:tl2br w:val="nil"/>
              <w:tr2bl w:val="nil"/>
            </w:tcBorders>
            <w:noWrap w:val="0"/>
            <w:vAlign w:val="center"/>
          </w:tcPr>
          <w:p w14:paraId="469C8FB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4689B55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4E69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772693D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13</w:t>
            </w:r>
          </w:p>
        </w:tc>
        <w:tc>
          <w:tcPr>
            <w:tcW w:w="1489" w:type="pct"/>
            <w:tcBorders>
              <w:tl2br w:val="nil"/>
              <w:tr2bl w:val="nil"/>
            </w:tcBorders>
            <w:noWrap w:val="0"/>
            <w:vAlign w:val="center"/>
          </w:tcPr>
          <w:p w14:paraId="43209EA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充电电筒</w:t>
            </w:r>
          </w:p>
        </w:tc>
        <w:tc>
          <w:tcPr>
            <w:tcW w:w="428" w:type="pct"/>
            <w:tcBorders>
              <w:tl2br w:val="nil"/>
              <w:tr2bl w:val="nil"/>
            </w:tcBorders>
            <w:noWrap w:val="0"/>
            <w:vAlign w:val="center"/>
          </w:tcPr>
          <w:p w14:paraId="3B8C0EF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63A622A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把</w:t>
            </w:r>
          </w:p>
        </w:tc>
        <w:tc>
          <w:tcPr>
            <w:tcW w:w="1135" w:type="pct"/>
            <w:vMerge w:val="continue"/>
            <w:tcBorders>
              <w:tl2br w:val="nil"/>
              <w:tr2bl w:val="nil"/>
            </w:tcBorders>
            <w:noWrap w:val="0"/>
            <w:vAlign w:val="center"/>
          </w:tcPr>
          <w:p w14:paraId="4986830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41A5394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0CC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66A3FB8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14</w:t>
            </w:r>
          </w:p>
        </w:tc>
        <w:tc>
          <w:tcPr>
            <w:tcW w:w="1489" w:type="pct"/>
            <w:tcBorders>
              <w:tl2br w:val="nil"/>
              <w:tr2bl w:val="nil"/>
            </w:tcBorders>
            <w:noWrap w:val="0"/>
            <w:vAlign w:val="center"/>
          </w:tcPr>
          <w:p w14:paraId="7E34925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对讲机</w:t>
            </w:r>
          </w:p>
        </w:tc>
        <w:tc>
          <w:tcPr>
            <w:tcW w:w="428" w:type="pct"/>
            <w:tcBorders>
              <w:tl2br w:val="nil"/>
              <w:tr2bl w:val="nil"/>
            </w:tcBorders>
            <w:noWrap w:val="0"/>
            <w:vAlign w:val="center"/>
          </w:tcPr>
          <w:p w14:paraId="5275EB1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7</w:t>
            </w:r>
          </w:p>
        </w:tc>
        <w:tc>
          <w:tcPr>
            <w:tcW w:w="605" w:type="pct"/>
            <w:tcBorders>
              <w:tl2br w:val="nil"/>
              <w:tr2bl w:val="nil"/>
            </w:tcBorders>
            <w:noWrap w:val="0"/>
            <w:vAlign w:val="center"/>
          </w:tcPr>
          <w:p w14:paraId="2CF02D5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部</w:t>
            </w:r>
          </w:p>
        </w:tc>
        <w:tc>
          <w:tcPr>
            <w:tcW w:w="1135" w:type="pct"/>
            <w:vMerge w:val="continue"/>
            <w:tcBorders>
              <w:tl2br w:val="nil"/>
              <w:tr2bl w:val="nil"/>
            </w:tcBorders>
            <w:noWrap w:val="0"/>
            <w:vAlign w:val="center"/>
          </w:tcPr>
          <w:p w14:paraId="358671F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133CC39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337C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0984B92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15</w:t>
            </w:r>
          </w:p>
        </w:tc>
        <w:tc>
          <w:tcPr>
            <w:tcW w:w="1489" w:type="pct"/>
            <w:tcBorders>
              <w:tl2br w:val="nil"/>
              <w:tr2bl w:val="nil"/>
            </w:tcBorders>
            <w:noWrap w:val="0"/>
            <w:vAlign w:val="center"/>
          </w:tcPr>
          <w:p w14:paraId="70877D4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石灰</w:t>
            </w:r>
          </w:p>
        </w:tc>
        <w:tc>
          <w:tcPr>
            <w:tcW w:w="428" w:type="pct"/>
            <w:tcBorders>
              <w:tl2br w:val="nil"/>
              <w:tr2bl w:val="nil"/>
            </w:tcBorders>
            <w:noWrap w:val="0"/>
            <w:vAlign w:val="center"/>
          </w:tcPr>
          <w:p w14:paraId="2FB277F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200</w:t>
            </w:r>
          </w:p>
        </w:tc>
        <w:tc>
          <w:tcPr>
            <w:tcW w:w="605" w:type="pct"/>
            <w:tcBorders>
              <w:tl2br w:val="nil"/>
              <w:tr2bl w:val="nil"/>
            </w:tcBorders>
            <w:noWrap w:val="0"/>
            <w:vAlign w:val="center"/>
          </w:tcPr>
          <w:p w14:paraId="5524D03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kg</w:t>
            </w:r>
          </w:p>
        </w:tc>
        <w:tc>
          <w:tcPr>
            <w:tcW w:w="1135" w:type="pct"/>
            <w:tcBorders>
              <w:tl2br w:val="nil"/>
              <w:tr2bl w:val="nil"/>
            </w:tcBorders>
            <w:noWrap w:val="0"/>
            <w:vAlign w:val="center"/>
          </w:tcPr>
          <w:p w14:paraId="2C45943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中和</w:t>
            </w:r>
          </w:p>
        </w:tc>
        <w:tc>
          <w:tcPr>
            <w:tcW w:w="846" w:type="pct"/>
            <w:vMerge w:val="continue"/>
            <w:tcBorders>
              <w:tl2br w:val="nil"/>
              <w:tr2bl w:val="nil"/>
            </w:tcBorders>
            <w:noWrap w:val="0"/>
            <w:vAlign w:val="center"/>
          </w:tcPr>
          <w:p w14:paraId="2DE1F4AA">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150A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5682B0D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16</w:t>
            </w:r>
          </w:p>
        </w:tc>
        <w:tc>
          <w:tcPr>
            <w:tcW w:w="1489" w:type="pct"/>
            <w:tcBorders>
              <w:tl2br w:val="nil"/>
              <w:tr2bl w:val="nil"/>
            </w:tcBorders>
            <w:noWrap w:val="0"/>
            <w:vAlign w:val="center"/>
          </w:tcPr>
          <w:p w14:paraId="57F48B8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灭藻剂</w:t>
            </w:r>
          </w:p>
        </w:tc>
        <w:tc>
          <w:tcPr>
            <w:tcW w:w="428" w:type="pct"/>
            <w:tcBorders>
              <w:tl2br w:val="nil"/>
              <w:tr2bl w:val="nil"/>
            </w:tcBorders>
            <w:noWrap w:val="0"/>
            <w:vAlign w:val="center"/>
          </w:tcPr>
          <w:p w14:paraId="4B64D034">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200</w:t>
            </w:r>
          </w:p>
        </w:tc>
        <w:tc>
          <w:tcPr>
            <w:tcW w:w="605" w:type="pct"/>
            <w:tcBorders>
              <w:tl2br w:val="nil"/>
              <w:tr2bl w:val="nil"/>
            </w:tcBorders>
            <w:noWrap w:val="0"/>
            <w:vAlign w:val="center"/>
          </w:tcPr>
          <w:p w14:paraId="180D341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kg</w:t>
            </w:r>
          </w:p>
        </w:tc>
        <w:tc>
          <w:tcPr>
            <w:tcW w:w="1135" w:type="pct"/>
            <w:tcBorders>
              <w:tl2br w:val="nil"/>
              <w:tr2bl w:val="nil"/>
            </w:tcBorders>
            <w:noWrap w:val="0"/>
            <w:vAlign w:val="center"/>
          </w:tcPr>
          <w:p w14:paraId="1F4274A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灭藻</w:t>
            </w:r>
          </w:p>
        </w:tc>
        <w:tc>
          <w:tcPr>
            <w:tcW w:w="846" w:type="pct"/>
            <w:vMerge w:val="continue"/>
            <w:tcBorders>
              <w:tl2br w:val="nil"/>
              <w:tr2bl w:val="nil"/>
            </w:tcBorders>
            <w:noWrap w:val="0"/>
            <w:vAlign w:val="center"/>
          </w:tcPr>
          <w:p w14:paraId="7E508DC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3A79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27BC733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17</w:t>
            </w:r>
          </w:p>
        </w:tc>
        <w:tc>
          <w:tcPr>
            <w:tcW w:w="1489" w:type="pct"/>
            <w:tcBorders>
              <w:tl2br w:val="nil"/>
              <w:tr2bl w:val="nil"/>
            </w:tcBorders>
            <w:noWrap w:val="0"/>
            <w:vAlign w:val="center"/>
          </w:tcPr>
          <w:p w14:paraId="1BAF39E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增氧机</w:t>
            </w:r>
          </w:p>
        </w:tc>
        <w:tc>
          <w:tcPr>
            <w:tcW w:w="428" w:type="pct"/>
            <w:tcBorders>
              <w:tl2br w:val="nil"/>
              <w:tr2bl w:val="nil"/>
            </w:tcBorders>
            <w:noWrap w:val="0"/>
            <w:vAlign w:val="center"/>
          </w:tcPr>
          <w:p w14:paraId="50692994">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台</w:t>
            </w:r>
          </w:p>
        </w:tc>
        <w:tc>
          <w:tcPr>
            <w:tcW w:w="605" w:type="pct"/>
            <w:tcBorders>
              <w:tl2br w:val="nil"/>
              <w:tr2bl w:val="nil"/>
            </w:tcBorders>
            <w:noWrap w:val="0"/>
            <w:vAlign w:val="center"/>
          </w:tcPr>
          <w:p w14:paraId="2B745D2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1135" w:type="pct"/>
            <w:tcBorders>
              <w:tl2br w:val="nil"/>
              <w:tr2bl w:val="nil"/>
            </w:tcBorders>
            <w:noWrap w:val="0"/>
            <w:vAlign w:val="center"/>
          </w:tcPr>
          <w:p w14:paraId="68B83B1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水体增氧</w:t>
            </w:r>
          </w:p>
        </w:tc>
        <w:tc>
          <w:tcPr>
            <w:tcW w:w="846" w:type="pct"/>
            <w:vMerge w:val="continue"/>
            <w:tcBorders>
              <w:tl2br w:val="nil"/>
              <w:tr2bl w:val="nil"/>
            </w:tcBorders>
            <w:noWrap w:val="0"/>
            <w:vAlign w:val="center"/>
          </w:tcPr>
          <w:p w14:paraId="0F9457A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50D5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4207433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18</w:t>
            </w:r>
          </w:p>
        </w:tc>
        <w:tc>
          <w:tcPr>
            <w:tcW w:w="1489" w:type="pct"/>
            <w:tcBorders>
              <w:tl2br w:val="nil"/>
              <w:tr2bl w:val="nil"/>
            </w:tcBorders>
            <w:noWrap w:val="0"/>
            <w:vAlign w:val="center"/>
          </w:tcPr>
          <w:p w14:paraId="53E7618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风向标</w:t>
            </w:r>
          </w:p>
        </w:tc>
        <w:tc>
          <w:tcPr>
            <w:tcW w:w="428" w:type="pct"/>
            <w:tcBorders>
              <w:tl2br w:val="nil"/>
              <w:tr2bl w:val="nil"/>
            </w:tcBorders>
            <w:noWrap w:val="0"/>
            <w:vAlign w:val="center"/>
          </w:tcPr>
          <w:p w14:paraId="556EB98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605" w:type="pct"/>
            <w:tcBorders>
              <w:tl2br w:val="nil"/>
              <w:tr2bl w:val="nil"/>
            </w:tcBorders>
            <w:noWrap w:val="0"/>
            <w:vAlign w:val="center"/>
          </w:tcPr>
          <w:p w14:paraId="0F164B6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个</w:t>
            </w:r>
          </w:p>
        </w:tc>
        <w:tc>
          <w:tcPr>
            <w:tcW w:w="1135" w:type="pct"/>
            <w:tcBorders>
              <w:tl2br w:val="nil"/>
              <w:tr2bl w:val="nil"/>
            </w:tcBorders>
            <w:noWrap w:val="0"/>
            <w:vAlign w:val="center"/>
          </w:tcPr>
          <w:p w14:paraId="2845A07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指示风向</w:t>
            </w:r>
          </w:p>
        </w:tc>
        <w:tc>
          <w:tcPr>
            <w:tcW w:w="846" w:type="pct"/>
            <w:vMerge w:val="continue"/>
            <w:tcBorders>
              <w:tl2br w:val="nil"/>
              <w:tr2bl w:val="nil"/>
            </w:tcBorders>
            <w:noWrap w:val="0"/>
            <w:vAlign w:val="center"/>
          </w:tcPr>
          <w:p w14:paraId="7A01D38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bl>
    <w:p w14:paraId="2817D892">
      <w:pPr>
        <w:pageBreakBefore w:val="0"/>
        <w:kinsoku/>
        <w:wordWrap/>
        <w:overflowPunct/>
        <w:topLinePunct w:val="0"/>
        <w:bidi w:val="0"/>
        <w:ind w:left="0" w:leftChars="0" w:firstLine="0" w:firstLineChars="0"/>
        <w:textAlignment w:val="auto"/>
        <w:rPr>
          <w:rFonts w:hint="default"/>
          <w:lang w:val="en-US" w:eastAsia="zh-CN"/>
        </w:rPr>
      </w:pPr>
    </w:p>
    <w:p w14:paraId="0FCE0540">
      <w:pPr>
        <w:pageBreakBefore w:val="0"/>
        <w:kinsoku/>
        <w:wordWrap/>
        <w:overflowPunct/>
        <w:topLinePunct w:val="0"/>
        <w:bidi w:val="0"/>
        <w:textAlignment w:val="auto"/>
        <w:rPr>
          <w:rFonts w:hint="default"/>
          <w:lang w:val="en-US" w:eastAsia="zh-CN"/>
        </w:rPr>
      </w:pPr>
    </w:p>
    <w:p w14:paraId="48E80A36">
      <w:pPr>
        <w:pageBreakBefore w:val="0"/>
        <w:kinsoku/>
        <w:wordWrap/>
        <w:overflowPunct/>
        <w:topLinePunct w:val="0"/>
        <w:bidi w:val="0"/>
        <w:textAlignment w:val="auto"/>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AEE3836">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90" w:name="_Toc66717036"/>
      <w:bookmarkStart w:id="91" w:name="_Toc345405240"/>
      <w:bookmarkStart w:id="92" w:name="_Toc7987"/>
      <w:r>
        <w:rPr>
          <w:rFonts w:hint="default" w:ascii="Times New Roman" w:hAnsi="Times New Roman" w:eastAsia="仿宋" w:cs="Times New Roman"/>
          <w:b/>
          <w:sz w:val="32"/>
          <w:szCs w:val="32"/>
        </w:rPr>
        <w:t>6 应急终止</w:t>
      </w:r>
      <w:bookmarkEnd w:id="90"/>
      <w:bookmarkEnd w:id="91"/>
      <w:bookmarkEnd w:id="92"/>
    </w:p>
    <w:p w14:paraId="2E015496">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93" w:name="_Toc66717037"/>
      <w:bookmarkStart w:id="94" w:name="_Toc345405241"/>
      <w:bookmarkStart w:id="95" w:name="_Toc20358"/>
      <w:r>
        <w:rPr>
          <w:rFonts w:hint="default" w:ascii="Times New Roman" w:hAnsi="Times New Roman" w:eastAsia="仿宋" w:cs="Times New Roman"/>
          <w:b/>
          <w:color w:val="000000"/>
          <w:sz w:val="32"/>
          <w:szCs w:val="32"/>
        </w:rPr>
        <w:t>6.1应急终止的条件</w:t>
      </w:r>
      <w:bookmarkEnd w:id="93"/>
      <w:bookmarkEnd w:id="94"/>
      <w:bookmarkEnd w:id="95"/>
    </w:p>
    <w:p w14:paraId="01E7E059">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符合下列条件之一的，即满足应急终止条件：</w:t>
      </w:r>
    </w:p>
    <w:p w14:paraId="7EB3E4C2">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（1）事件现场得到控制，事件条件已经消除；</w:t>
      </w:r>
    </w:p>
    <w:p w14:paraId="7D60215C">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（2）污染源的泄漏或释放已降至规定限值以内；</w:t>
      </w:r>
    </w:p>
    <w:p w14:paraId="7AC977E9">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（3）事件所造成的危害已经被彻底消除，无继发可能；</w:t>
      </w:r>
    </w:p>
    <w:p w14:paraId="14052ED0">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（4）事件现场的各种专业应急处置行动已无继续的必要；</w:t>
      </w:r>
    </w:p>
    <w:p w14:paraId="228299A3">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（5）采取了必要的防护措施以保护公众免受再次危害，并使事件可能引起的中长期影响趋于合理且尽量低的水平。</w:t>
      </w:r>
    </w:p>
    <w:p w14:paraId="6ED48223">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96" w:name="_Toc345405242"/>
      <w:bookmarkStart w:id="97" w:name="_Toc66717038"/>
      <w:bookmarkStart w:id="98" w:name="_Toc1046"/>
      <w:r>
        <w:rPr>
          <w:rFonts w:hint="default" w:ascii="Times New Roman" w:hAnsi="Times New Roman" w:eastAsia="仿宋" w:cs="Times New Roman"/>
          <w:b/>
          <w:color w:val="000000"/>
          <w:sz w:val="32"/>
          <w:szCs w:val="32"/>
        </w:rPr>
        <w:t>6.2应急终止的程序</w:t>
      </w:r>
      <w:bookmarkEnd w:id="96"/>
      <w:bookmarkEnd w:id="97"/>
      <w:bookmarkEnd w:id="98"/>
    </w:p>
    <w:p w14:paraId="1229CA35">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（1）应急指挥办公室确认终止时机，或事件责任单位提出，经生态环境部门批准；</w:t>
      </w:r>
    </w:p>
    <w:p w14:paraId="2D0549F8">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（2）应急指挥办公室向所属各专业应急救援队伍下达应急终止命令；</w:t>
      </w:r>
    </w:p>
    <w:p w14:paraId="000EDA92">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（3）应急状态终止后，应根据有关指示和实际情况，继续进行环境监测和评价工作。</w:t>
      </w:r>
    </w:p>
    <w:p w14:paraId="2AFCE26D">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99" w:name="_Toc345405243"/>
      <w:bookmarkStart w:id="100" w:name="_Toc5114"/>
      <w:bookmarkStart w:id="101" w:name="_Toc66717039"/>
      <w:r>
        <w:rPr>
          <w:rFonts w:hint="default" w:ascii="Times New Roman" w:hAnsi="Times New Roman" w:eastAsia="仿宋" w:cs="Times New Roman"/>
          <w:b/>
          <w:color w:val="000000"/>
          <w:sz w:val="32"/>
          <w:szCs w:val="32"/>
        </w:rPr>
        <w:t>6.3应急终止后的行动</w:t>
      </w:r>
      <w:bookmarkEnd w:id="99"/>
      <w:bookmarkEnd w:id="100"/>
      <w:bookmarkEnd w:id="101"/>
    </w:p>
    <w:p w14:paraId="4787FE3B">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（1）突发性环境污染事故应急处理工作结束后，组织相关部门认真总结、分析、吸取事故教训，及时进行整改；</w:t>
      </w:r>
    </w:p>
    <w:p w14:paraId="647ABAD8">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（2）组织各专业组对应急计划和实施程序的有效性、应急装备的可行性、应急人员的素质和反应速度等作出评价，并提出对应急预案的修改意见。</w:t>
      </w:r>
    </w:p>
    <w:p w14:paraId="63F5CB01">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sz w:val="32"/>
          <w:szCs w:val="32"/>
        </w:rPr>
        <w:t>（3）参加应急行动的部门负责组织、指导环境应急队伍维护、保养应急仪器设备，使之始终保持良好的技术状态。</w:t>
      </w:r>
    </w:p>
    <w:p w14:paraId="214A2197">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102" w:name="_Toc345405244"/>
      <w:bookmarkStart w:id="103" w:name="_Toc8455"/>
      <w:bookmarkStart w:id="104" w:name="_Toc66717040"/>
      <w:r>
        <w:rPr>
          <w:rFonts w:hint="default" w:ascii="Times New Roman" w:hAnsi="Times New Roman" w:eastAsia="仿宋" w:cs="Times New Roman"/>
          <w:b/>
          <w:sz w:val="32"/>
          <w:szCs w:val="32"/>
        </w:rPr>
        <w:t>7 应急保障</w:t>
      </w:r>
      <w:bookmarkEnd w:id="102"/>
      <w:bookmarkEnd w:id="103"/>
      <w:bookmarkEnd w:id="104"/>
    </w:p>
    <w:p w14:paraId="49B82E5A">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05" w:name="_Toc13158"/>
      <w:bookmarkStart w:id="106" w:name="_Toc66717041"/>
      <w:bookmarkStart w:id="107" w:name="_Toc345405245"/>
      <w:r>
        <w:rPr>
          <w:rFonts w:hint="default" w:ascii="Times New Roman" w:hAnsi="Times New Roman" w:eastAsia="仿宋" w:cs="Times New Roman"/>
          <w:b/>
          <w:color w:val="000000"/>
          <w:sz w:val="32"/>
          <w:szCs w:val="32"/>
        </w:rPr>
        <w:t>7.1 资金保障</w:t>
      </w:r>
      <w:bookmarkEnd w:id="105"/>
      <w:bookmarkEnd w:id="106"/>
      <w:bookmarkEnd w:id="107"/>
    </w:p>
    <w:p w14:paraId="7FB77ED3">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针对</w:t>
      </w: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区饮用水源地可能发生的环境污染事件，财政部门及时拨付应急处置费用。</w:t>
      </w:r>
    </w:p>
    <w:p w14:paraId="316827EA">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08" w:name="_Toc66717042"/>
      <w:bookmarkStart w:id="109" w:name="_Toc345405246"/>
      <w:bookmarkStart w:id="110" w:name="_Toc16546"/>
      <w:r>
        <w:rPr>
          <w:rFonts w:hint="default" w:ascii="Times New Roman" w:hAnsi="Times New Roman" w:eastAsia="仿宋" w:cs="Times New Roman"/>
          <w:b/>
          <w:color w:val="000000"/>
          <w:sz w:val="32"/>
          <w:szCs w:val="32"/>
        </w:rPr>
        <w:t>7.2 装备保障</w:t>
      </w:r>
      <w:bookmarkEnd w:id="108"/>
      <w:bookmarkEnd w:id="109"/>
      <w:bookmarkEnd w:id="110"/>
    </w:p>
    <w:p w14:paraId="2D9552D3">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为保证应急救援工作及时有效，各专职救援队伍针对可能发生的污染事故性质并根据需要，将抢险抢修、个体防护、医疗救援、联络通讯等器材配备齐全，平时专人维护，确保其始终处于完好状态，确保能有效使用。</w:t>
      </w:r>
      <w:r>
        <w:rPr>
          <w:rFonts w:hint="default" w:ascii="Times New Roman" w:hAnsi="Times New Roman" w:eastAsia="仿宋" w:cs="Times New Roman"/>
          <w:color w:val="000000"/>
          <w:sz w:val="32"/>
          <w:szCs w:val="32"/>
        </w:rPr>
        <w:t>装备由区应急指挥部办公室准备并维护。</w:t>
      </w:r>
    </w:p>
    <w:p w14:paraId="39C7CB16">
      <w:pPr>
        <w:pageBreakBefore w:val="0"/>
        <w:kinsoku/>
        <w:wordWrap/>
        <w:overflowPunct/>
        <w:topLinePunct w:val="0"/>
        <w:bidi w:val="0"/>
        <w:adjustRightInd/>
        <w:snapToGrid/>
        <w:ind w:firstLine="0" w:firstLineChars="0"/>
        <w:jc w:val="both"/>
        <w:textAlignment w:val="auto"/>
        <w:outlineLvl w:val="1"/>
        <w:rPr>
          <w:rFonts w:hint="eastAsia" w:ascii="Times New Roman" w:hAnsi="Times New Roman" w:eastAsia="仿宋" w:cs="Times New Roman"/>
          <w:b/>
          <w:color w:val="000000"/>
          <w:sz w:val="32"/>
          <w:szCs w:val="32"/>
          <w:lang w:eastAsia="zh-CN"/>
        </w:rPr>
      </w:pPr>
      <w:bookmarkStart w:id="111" w:name="_Toc345405247"/>
      <w:bookmarkStart w:id="112" w:name="_Toc14611"/>
      <w:bookmarkStart w:id="113" w:name="_Toc66717043"/>
      <w:r>
        <w:rPr>
          <w:rFonts w:hint="default" w:ascii="Times New Roman" w:hAnsi="Times New Roman" w:eastAsia="仿宋" w:cs="Times New Roman"/>
          <w:b/>
          <w:color w:val="000000"/>
          <w:sz w:val="32"/>
          <w:szCs w:val="32"/>
        </w:rPr>
        <w:t xml:space="preserve">7.3 </w:t>
      </w:r>
      <w:bookmarkEnd w:id="111"/>
      <w:bookmarkEnd w:id="112"/>
      <w:bookmarkEnd w:id="113"/>
      <w:r>
        <w:rPr>
          <w:rFonts w:hint="eastAsia" w:cs="Times New Roman"/>
          <w:b/>
          <w:color w:val="000000"/>
          <w:sz w:val="32"/>
          <w:szCs w:val="32"/>
          <w:lang w:eastAsia="zh-CN"/>
        </w:rPr>
        <w:t>通信保障</w:t>
      </w:r>
    </w:p>
    <w:p w14:paraId="4640A755">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区人民政府将建立和完善环境安全应急指挥系统、环境应急处置系统和环境安全科学预警系统。配备有线电话、手机、对讲机等必要的有线、无线通信器材，确保本预案启动时各应急部门之间的联络畅通。</w:t>
      </w:r>
    </w:p>
    <w:p w14:paraId="79E9FF0A">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24小时报警值班电话：</w:t>
      </w:r>
      <w:r>
        <w:rPr>
          <w:rFonts w:hint="eastAsia" w:cs="Times New Roman"/>
          <w:sz w:val="32"/>
          <w:szCs w:val="32"/>
          <w:lang w:val="en-US" w:eastAsia="zh-CN"/>
        </w:rPr>
        <w:t>83626816</w:t>
      </w:r>
    </w:p>
    <w:p w14:paraId="75A09EAE">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14" w:name="_Toc66717044"/>
      <w:bookmarkStart w:id="115" w:name="_Toc345405248"/>
      <w:bookmarkStart w:id="116" w:name="_Toc26567"/>
      <w:r>
        <w:rPr>
          <w:rFonts w:hint="default" w:ascii="Times New Roman" w:hAnsi="Times New Roman" w:eastAsia="仿宋" w:cs="Times New Roman"/>
          <w:b/>
          <w:color w:val="000000"/>
          <w:sz w:val="32"/>
          <w:szCs w:val="32"/>
        </w:rPr>
        <w:t>7.4 人力资源保障</w:t>
      </w:r>
      <w:bookmarkEnd w:id="114"/>
      <w:bookmarkEnd w:id="115"/>
      <w:bookmarkEnd w:id="116"/>
    </w:p>
    <w:p w14:paraId="686CFC82">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将建立突发性环境污染事故应急救援队伍，培训一支常备不懈，熟悉环境应急知识，充分掌握各类突发性环境污染事故处置措施的预备应急力量；保证在突发事故发生后，能迅速参与并完成抢救、排险、消毒、监测等现场处置工作。</w:t>
      </w:r>
    </w:p>
    <w:p w14:paraId="20A302A2">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17" w:name="_Toc27208"/>
      <w:bookmarkStart w:id="118" w:name="_Toc66717045"/>
      <w:bookmarkStart w:id="119" w:name="_Toc345405249"/>
      <w:r>
        <w:rPr>
          <w:rFonts w:hint="default" w:ascii="Times New Roman" w:hAnsi="Times New Roman" w:eastAsia="仿宋" w:cs="Times New Roman"/>
          <w:b/>
          <w:color w:val="000000"/>
          <w:sz w:val="32"/>
          <w:szCs w:val="32"/>
        </w:rPr>
        <w:t>7.5 技术保障</w:t>
      </w:r>
      <w:bookmarkEnd w:id="117"/>
      <w:bookmarkEnd w:id="118"/>
      <w:bookmarkEnd w:id="119"/>
    </w:p>
    <w:p w14:paraId="03ECCA87">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同时建立环境安全预警系统，组建相关专家组，确保在启动预警前、事件发生后相关环境专家能迅速到位，为指挥决策提供服务。</w:t>
      </w:r>
    </w:p>
    <w:p w14:paraId="317D9C28">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20" w:name="_Toc345405250"/>
      <w:bookmarkStart w:id="121" w:name="_Toc66717046"/>
      <w:bookmarkStart w:id="122" w:name="_Toc29401"/>
      <w:r>
        <w:rPr>
          <w:rFonts w:hint="default" w:ascii="Times New Roman" w:hAnsi="Times New Roman" w:eastAsia="仿宋" w:cs="Times New Roman"/>
          <w:b/>
          <w:color w:val="000000"/>
          <w:sz w:val="32"/>
          <w:szCs w:val="32"/>
        </w:rPr>
        <w:t>7.6 其他保障</w:t>
      </w:r>
      <w:bookmarkEnd w:id="120"/>
      <w:bookmarkEnd w:id="121"/>
      <w:bookmarkEnd w:id="122"/>
    </w:p>
    <w:p w14:paraId="05F004D5">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（1）交通运输保障：应急指挥办公室确保应急处置车辆的落实，加强对应急处置车辆的维护和管理，保证紧急情况下车辆的优先调度，确保应急处置工作的顺利开展。</w:t>
      </w:r>
    </w:p>
    <w:p w14:paraId="3DDB5900">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（2）医疗保障：应急指挥办公室加强与医疗救治单位的联系并签定互救协议，建立医疗救治信息，保证受伤人员得到及时救治，减少人员伤亡。</w:t>
      </w:r>
    </w:p>
    <w:p w14:paraId="56B0BA4F">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（3）治安保障：积极协助、配合地方党委、政府及时疏散、撤离无关人员，加强事件现场周边的治安管理，维护社会治安，配合做好事件现场警戒，防止无关人员进入。</w:t>
      </w:r>
    </w:p>
    <w:p w14:paraId="09A56469">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（4）社会动员保障：加强与相邻企业日常的沟通与协作，配合地方党委、政府，积极做好相邻区域、企业之间的联动工作。并与相关部门签定互救协议。</w:t>
      </w:r>
    </w:p>
    <w:p w14:paraId="0065BE82">
      <w:pPr>
        <w:pStyle w:val="14"/>
        <w:pageBreakBefore w:val="0"/>
        <w:kinsoku/>
        <w:wordWrap/>
        <w:overflowPunct/>
        <w:topLinePunct w:val="0"/>
        <w:bidi w:val="0"/>
        <w:adjustRightInd/>
        <w:snapToGrid/>
        <w:spacing w:before="0" w:beforeAutospacing="0" w:after="0" w:afterAutospacing="0" w:line="360" w:lineRule="auto"/>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（5）紧急避难场所保障：按照突发环境事件类型，制定人员和财产的避难方案。协助配合地方党委、政府做好突发环境事件发生后人员和财产的疏散、避难工作。</w:t>
      </w:r>
    </w:p>
    <w:p w14:paraId="70629965">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23" w:name="_Toc13591"/>
      <w:bookmarkStart w:id="124" w:name="_Toc345405251"/>
      <w:bookmarkStart w:id="125" w:name="_Toc66717047"/>
      <w:r>
        <w:rPr>
          <w:rFonts w:hint="default" w:ascii="Times New Roman" w:hAnsi="Times New Roman" w:eastAsia="仿宋" w:cs="Times New Roman"/>
          <w:b/>
          <w:color w:val="000000"/>
          <w:sz w:val="32"/>
          <w:szCs w:val="32"/>
        </w:rPr>
        <w:t>7.7 宣传、培训与演练</w:t>
      </w:r>
      <w:bookmarkEnd w:id="123"/>
      <w:bookmarkEnd w:id="124"/>
      <w:bookmarkEnd w:id="125"/>
    </w:p>
    <w:p w14:paraId="02B4F50B">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color w:val="000000"/>
          <w:sz w:val="32"/>
          <w:szCs w:val="32"/>
        </w:rPr>
      </w:pPr>
      <w:bookmarkStart w:id="126" w:name="_Toc345405252"/>
      <w:bookmarkStart w:id="127" w:name="_Toc49870648"/>
      <w:bookmarkStart w:id="128" w:name="_Toc30204"/>
      <w:bookmarkStart w:id="129" w:name="_Toc54022794"/>
      <w:bookmarkStart w:id="130" w:name="_Toc66717048"/>
      <w:r>
        <w:rPr>
          <w:rFonts w:hint="default" w:ascii="Times New Roman" w:hAnsi="Times New Roman" w:eastAsia="仿宋" w:cs="Times New Roman"/>
          <w:b/>
          <w:color w:val="000000"/>
          <w:sz w:val="32"/>
          <w:szCs w:val="32"/>
        </w:rPr>
        <w:t>7.7.1公众宣传教育</w:t>
      </w:r>
      <w:bookmarkEnd w:id="126"/>
      <w:bookmarkEnd w:id="127"/>
      <w:bookmarkEnd w:id="128"/>
      <w:bookmarkEnd w:id="129"/>
      <w:bookmarkEnd w:id="130"/>
    </w:p>
    <w:p w14:paraId="0518575F">
      <w:pPr>
        <w:pageBreakBefore w:val="0"/>
        <w:kinsoku/>
        <w:wordWrap/>
        <w:overflowPunct/>
        <w:topLinePunct w:val="0"/>
        <w:autoSpaceDE w:val="0"/>
        <w:autoSpaceDN w:val="0"/>
        <w:bidi w:val="0"/>
        <w:adjustRightInd/>
        <w:snapToGrid/>
        <w:spacing w:line="360" w:lineRule="auto"/>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花溪</w:t>
      </w:r>
      <w:r>
        <w:rPr>
          <w:rFonts w:hint="default" w:ascii="Times New Roman" w:hAnsi="Times New Roman" w:eastAsia="仿宋" w:cs="Times New Roman"/>
          <w:color w:val="000000"/>
          <w:sz w:val="32"/>
          <w:szCs w:val="32"/>
        </w:rPr>
        <w:t>区区域范围内或饮用水源地利用信息公开栏的方式加强环保科普宣传教育工作，对于周边群众可以发放宣传单、张贴宣传挂图的方式进行。广泛宣传各类突发环境事件带来的危害和妥善处置、应对突发环境事件的重要性，普及发生突发环境事件预防常识，增强公众的防范意识和相关心理准备，提高公众的防范能力。</w:t>
      </w:r>
    </w:p>
    <w:p w14:paraId="7691DAE8">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31" w:name="_Toc66717049"/>
      <w:bookmarkStart w:id="132" w:name="_Toc345405253"/>
      <w:bookmarkStart w:id="133" w:name="_Toc54022795"/>
      <w:bookmarkStart w:id="134" w:name="_Toc49870649"/>
      <w:bookmarkStart w:id="135" w:name="_Toc2590"/>
      <w:r>
        <w:rPr>
          <w:rFonts w:hint="default" w:ascii="Times New Roman" w:hAnsi="Times New Roman" w:eastAsia="仿宋" w:cs="Times New Roman"/>
          <w:b/>
          <w:sz w:val="32"/>
          <w:szCs w:val="32"/>
        </w:rPr>
        <w:t>7.7.2培训计划</w:t>
      </w:r>
      <w:bookmarkEnd w:id="131"/>
      <w:bookmarkEnd w:id="132"/>
      <w:bookmarkEnd w:id="133"/>
      <w:bookmarkEnd w:id="134"/>
      <w:bookmarkEnd w:id="135"/>
    </w:p>
    <w:p w14:paraId="7702A7F6">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年至少举行一次环境应急相关知识培训，培训对象为有关领导和职工。对各级领导、应急管理人员、专业技术人员和重要目标工作人员进行突发环境事件应急培训。培训内容由理论培训和操作培训两部分组成。对专业技术人员的培训侧重于设施、设备和器材等的使用、操作和维护；对管理人员的培训要求理论操作并重，通过理论培训和模拟演习提高管理和应对能力。</w:t>
      </w:r>
    </w:p>
    <w:p w14:paraId="5D5F0178">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36" w:name="_Toc54022796"/>
      <w:bookmarkStart w:id="137" w:name="_Toc16438"/>
      <w:bookmarkStart w:id="138" w:name="_Toc49870650"/>
      <w:bookmarkStart w:id="139" w:name="_Toc66717050"/>
      <w:bookmarkStart w:id="140" w:name="_Toc345405254"/>
      <w:r>
        <w:rPr>
          <w:rFonts w:hint="default" w:ascii="Times New Roman" w:hAnsi="Times New Roman" w:eastAsia="仿宋" w:cs="Times New Roman"/>
          <w:b/>
          <w:sz w:val="32"/>
          <w:szCs w:val="32"/>
        </w:rPr>
        <w:t>7.7.3演练计划</w:t>
      </w:r>
      <w:bookmarkEnd w:id="136"/>
      <w:bookmarkEnd w:id="137"/>
      <w:bookmarkEnd w:id="138"/>
      <w:bookmarkEnd w:id="139"/>
      <w:bookmarkEnd w:id="140"/>
    </w:p>
    <w:p w14:paraId="79AB3190">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演练的目的是为了提高事件应急反应能力，检验应急反应中各环节是否快速、协调、有效运行。</w:t>
      </w: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区根据自身的环境污染事故每年至少举行一次演练。通过演练，查漏洞、补措施，不断增强救援工作的时限性和有效性。</w:t>
      </w:r>
    </w:p>
    <w:p w14:paraId="4D586A37">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41" w:name="_Toc345405255"/>
      <w:bookmarkStart w:id="142" w:name="_Toc8614"/>
      <w:bookmarkStart w:id="143" w:name="_Toc66717051"/>
      <w:r>
        <w:rPr>
          <w:rFonts w:hint="default" w:ascii="Times New Roman" w:hAnsi="Times New Roman" w:eastAsia="仿宋" w:cs="Times New Roman"/>
          <w:b/>
          <w:color w:val="000000"/>
          <w:sz w:val="32"/>
          <w:szCs w:val="32"/>
        </w:rPr>
        <w:t>7.8 应急能力评价</w:t>
      </w:r>
      <w:bookmarkEnd w:id="141"/>
      <w:bookmarkEnd w:id="142"/>
      <w:bookmarkEnd w:id="143"/>
    </w:p>
    <w:p w14:paraId="14F71A27">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sz w:val="32"/>
          <w:szCs w:val="32"/>
        </w:rPr>
        <w:t>为保障环境应急体系始终处于良好的备战状态，并实现持续改进，对各级环境应急机构的设置情况、制度和工作程序的建立与执行情况、队伍的建设和人员培训与考核情况、应急装备和经费管理与使用情况等，在环境应急能力评价体系中实行自上而下的监督、检查和考核工作机制。</w:t>
      </w:r>
    </w:p>
    <w:p w14:paraId="65B9961E">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144" w:name="_Toc345405256"/>
      <w:bookmarkStart w:id="145" w:name="_Toc66717052"/>
      <w:bookmarkStart w:id="146" w:name="_Toc8349"/>
      <w:r>
        <w:rPr>
          <w:rFonts w:hint="default" w:ascii="Times New Roman" w:hAnsi="Times New Roman" w:eastAsia="仿宋" w:cs="Times New Roman"/>
          <w:b/>
          <w:sz w:val="32"/>
          <w:szCs w:val="32"/>
        </w:rPr>
        <w:t>8 后期处置</w:t>
      </w:r>
      <w:bookmarkEnd w:id="144"/>
      <w:bookmarkEnd w:id="145"/>
      <w:bookmarkEnd w:id="146"/>
    </w:p>
    <w:p w14:paraId="2FA3B7E9">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47" w:name="_Toc345405257"/>
      <w:bookmarkStart w:id="148" w:name="_Toc66717053"/>
      <w:bookmarkStart w:id="149" w:name="_Toc28311"/>
      <w:bookmarkStart w:id="150" w:name="_Toc50473922"/>
      <w:bookmarkStart w:id="151" w:name="_Toc345405263"/>
      <w:r>
        <w:rPr>
          <w:rFonts w:hint="default" w:ascii="Times New Roman" w:hAnsi="Times New Roman" w:eastAsia="仿宋" w:cs="Times New Roman"/>
          <w:b/>
          <w:sz w:val="32"/>
          <w:szCs w:val="32"/>
        </w:rPr>
        <w:t xml:space="preserve">8.1 </w:t>
      </w:r>
      <w:bookmarkEnd w:id="147"/>
      <w:r>
        <w:rPr>
          <w:rFonts w:hint="default" w:ascii="Times New Roman" w:hAnsi="Times New Roman" w:eastAsia="仿宋" w:cs="Times New Roman"/>
          <w:b/>
          <w:sz w:val="32"/>
          <w:szCs w:val="32"/>
        </w:rPr>
        <w:t>后期防控</w:t>
      </w:r>
      <w:bookmarkEnd w:id="148"/>
      <w:bookmarkEnd w:id="149"/>
      <w:bookmarkEnd w:id="150"/>
    </w:p>
    <w:p w14:paraId="0E5D534C">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响应终止后，市生态环境局</w:t>
      </w:r>
      <w:r>
        <w:rPr>
          <w:rFonts w:hint="default" w:ascii="Times New Roman" w:hAnsi="Times New Roman" w:eastAsia="仿宋" w:cs="Times New Roman"/>
          <w:bCs/>
          <w:sz w:val="32"/>
          <w:szCs w:val="32"/>
          <w:lang w:eastAsia="zh-CN"/>
        </w:rPr>
        <w:t>花溪</w:t>
      </w:r>
      <w:r>
        <w:rPr>
          <w:rFonts w:hint="default" w:ascii="Times New Roman" w:hAnsi="Times New Roman" w:eastAsia="仿宋" w:cs="Times New Roman"/>
          <w:bCs/>
          <w:sz w:val="32"/>
          <w:szCs w:val="32"/>
        </w:rPr>
        <w:t>分局还应根据突发环境事件的特点和污染物的污染范围定期采取监测措施，供水单位严格监视取水口的水样指标，严格监管突发环境事件后期污染防控措施，确实落实到各责任部门、涉事企业单位及个人，如针对泄漏的油品、化学品进行回收；进行后期污染监测和治理，消除投放药剂的残留毒性和后期效应，防止次生突发环境事件；事故场地及漫延区域的污染物清除完成后，对土壤或水生态系统进行修复；部分污染物导流到水源地下游或其他区域，对这些区域的污染物进行清除等。</w:t>
      </w:r>
    </w:p>
    <w:p w14:paraId="013BEDD5">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52" w:name="_Toc345405261"/>
      <w:bookmarkStart w:id="153" w:name="_Toc66717054"/>
      <w:bookmarkStart w:id="154" w:name="_Toc50473923"/>
      <w:bookmarkStart w:id="155" w:name="_Toc17914"/>
      <w:r>
        <w:rPr>
          <w:rFonts w:hint="default" w:ascii="Times New Roman" w:hAnsi="Times New Roman" w:eastAsia="仿宋" w:cs="Times New Roman"/>
          <w:b/>
          <w:sz w:val="32"/>
          <w:szCs w:val="32"/>
        </w:rPr>
        <w:t xml:space="preserve">8.2 </w:t>
      </w:r>
      <w:bookmarkEnd w:id="152"/>
      <w:r>
        <w:rPr>
          <w:rFonts w:hint="default" w:ascii="Times New Roman" w:hAnsi="Times New Roman" w:eastAsia="仿宋" w:cs="Times New Roman"/>
          <w:b/>
          <w:sz w:val="32"/>
          <w:szCs w:val="32"/>
        </w:rPr>
        <w:t>事件调查</w:t>
      </w:r>
      <w:bookmarkEnd w:id="153"/>
      <w:bookmarkEnd w:id="154"/>
      <w:bookmarkEnd w:id="155"/>
    </w:p>
    <w:p w14:paraId="2F8645AE">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rPr>
        <w:t>发生突发环境事件后，除按照上级管理部门要求配合进行事故调查外，区饮用水源突发环境事故应急指挥部自身亦组成事故调查组进行事故调查。事故调查处理坚持实事求是、尊重科学的原则，客观、公正、准确、及时地查清事故原因，查明事故性质和责任，总结事故教训，提出防范措施和事故责任处理意见，做到“四不放过”。事故调查和处理按照国家有关规定执行，组织开展事件调查，查明事件原因和性质，提出整改防范措施和处理建议。</w:t>
      </w:r>
    </w:p>
    <w:p w14:paraId="0EB9A0C2">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56" w:name="_Toc345405262"/>
      <w:bookmarkStart w:id="157" w:name="_Toc22029"/>
      <w:bookmarkStart w:id="158" w:name="_Toc50473924"/>
      <w:bookmarkStart w:id="159" w:name="_Toc66717055"/>
      <w:r>
        <w:rPr>
          <w:rFonts w:hint="default" w:ascii="Times New Roman" w:hAnsi="Times New Roman" w:eastAsia="仿宋" w:cs="Times New Roman"/>
          <w:b/>
          <w:sz w:val="32"/>
          <w:szCs w:val="32"/>
        </w:rPr>
        <w:t xml:space="preserve">8.3 </w:t>
      </w:r>
      <w:bookmarkEnd w:id="156"/>
      <w:r>
        <w:rPr>
          <w:rFonts w:hint="default" w:ascii="Times New Roman" w:hAnsi="Times New Roman" w:eastAsia="仿宋" w:cs="Times New Roman"/>
          <w:b/>
          <w:sz w:val="32"/>
          <w:szCs w:val="32"/>
        </w:rPr>
        <w:t>损害评估</w:t>
      </w:r>
      <w:bookmarkEnd w:id="157"/>
      <w:bookmarkEnd w:id="158"/>
      <w:bookmarkEnd w:id="159"/>
    </w:p>
    <w:p w14:paraId="34C052BB">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根据有关规定，应及时组织开展污染损害评估，并将评估结果向社会公布。评估结论作为事件调查处理、损害赔偿、环境修复和生态恢复重建的依据。</w:t>
      </w:r>
    </w:p>
    <w:p w14:paraId="620E718E">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60" w:name="_Toc5262"/>
      <w:bookmarkStart w:id="161" w:name="_Toc50473925"/>
      <w:bookmarkStart w:id="162" w:name="_Toc66717056"/>
      <w:r>
        <w:rPr>
          <w:rFonts w:hint="default" w:ascii="Times New Roman" w:hAnsi="Times New Roman" w:eastAsia="仿宋" w:cs="Times New Roman"/>
          <w:b/>
          <w:sz w:val="32"/>
          <w:szCs w:val="32"/>
        </w:rPr>
        <w:t>8.4 善后处置</w:t>
      </w:r>
      <w:bookmarkEnd w:id="160"/>
      <w:bookmarkEnd w:id="161"/>
      <w:bookmarkEnd w:id="162"/>
    </w:p>
    <w:p w14:paraId="3068E393">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对事故后的损失、损害进行善后处理，相关部门协商索赔事宜。</w:t>
      </w:r>
    </w:p>
    <w:p w14:paraId="15A970EE">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善后处置主要内容有：妥善安置、救治伤残人员；组织物资供应部门或单位，对调用物资进行及时清理；清查短缺物资或临时征用物资，根据国家政策予以补偿；协调社会力量，恢复正常生产、生活秩序。</w:t>
      </w:r>
    </w:p>
    <w:p w14:paraId="19F06E6C">
      <w:pPr>
        <w:pStyle w:val="14"/>
        <w:pageBreakBefore w:val="0"/>
        <w:kinsoku/>
        <w:wordWrap/>
        <w:overflowPunct/>
        <w:topLinePunct w:val="0"/>
        <w:bidi w:val="0"/>
        <w:adjustRightInd/>
        <w:snapToGrid/>
        <w:spacing w:before="0" w:beforeAutospacing="0" w:after="0" w:afterAutospacing="0"/>
        <w:ind w:firstLine="562"/>
        <w:jc w:val="both"/>
        <w:textAlignment w:val="auto"/>
        <w:outlineLvl w:val="0"/>
        <w:rPr>
          <w:rFonts w:hint="default" w:ascii="Times New Roman" w:hAnsi="Times New Roman" w:eastAsia="仿宋" w:cs="Times New Roman"/>
          <w:b/>
          <w:sz w:val="32"/>
          <w:szCs w:val="32"/>
        </w:rPr>
        <w:sectPr>
          <w:pgSz w:w="11906" w:h="16838"/>
          <w:pgMar w:top="1440" w:right="1800" w:bottom="1440" w:left="1800" w:header="851" w:footer="992" w:gutter="0"/>
          <w:pgNumType w:fmt="decimal"/>
          <w:cols w:space="720" w:num="1"/>
          <w:docGrid w:type="lines" w:linePitch="312" w:charSpace="0"/>
        </w:sectPr>
      </w:pPr>
    </w:p>
    <w:p w14:paraId="76212D0A">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163" w:name="_Toc14485"/>
      <w:bookmarkStart w:id="164" w:name="_Toc66717057"/>
      <w:r>
        <w:rPr>
          <w:rFonts w:hint="default" w:ascii="Times New Roman" w:hAnsi="Times New Roman" w:eastAsia="仿宋" w:cs="Times New Roman"/>
          <w:b/>
          <w:sz w:val="32"/>
          <w:szCs w:val="32"/>
        </w:rPr>
        <w:t>9 预案管理与更新</w:t>
      </w:r>
      <w:bookmarkEnd w:id="151"/>
      <w:bookmarkEnd w:id="163"/>
      <w:bookmarkEnd w:id="164"/>
    </w:p>
    <w:p w14:paraId="372698ED">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t>随着突发环境事件应急预案的相关法律法规的制定、修改和完善，部门职责或应急资源发生变化，或者应急过程中发现存在问题和出现新的情况时进行预案的修订和完善。</w:t>
      </w:r>
      <w:r>
        <w:rPr>
          <w:rFonts w:hint="default" w:ascii="Times New Roman" w:hAnsi="Times New Roman" w:eastAsia="仿宋" w:cs="Times New Roman"/>
          <w:color w:val="000000"/>
          <w:kern w:val="0"/>
          <w:sz w:val="32"/>
          <w:szCs w:val="32"/>
        </w:rPr>
        <w:t>环境应急预案每三年至少修订一次。</w:t>
      </w:r>
    </w:p>
    <w:p w14:paraId="0AE7A432">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65" w:name="_Toc27343"/>
      <w:bookmarkStart w:id="166" w:name="_Toc66717058"/>
      <w:bookmarkStart w:id="167" w:name="_Toc345405264"/>
      <w:r>
        <w:rPr>
          <w:rFonts w:hint="default" w:ascii="Times New Roman" w:hAnsi="Times New Roman" w:eastAsia="仿宋" w:cs="Times New Roman"/>
          <w:b/>
          <w:color w:val="000000"/>
          <w:sz w:val="32"/>
          <w:szCs w:val="32"/>
        </w:rPr>
        <w:t>9.1 修订预案及协作</w:t>
      </w:r>
      <w:bookmarkEnd w:id="165"/>
      <w:bookmarkEnd w:id="166"/>
      <w:bookmarkEnd w:id="167"/>
    </w:p>
    <w:p w14:paraId="1CEE1DC9">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68" w:name="_Toc49870661"/>
      <w:bookmarkStart w:id="169" w:name="_Toc345405265"/>
      <w:bookmarkStart w:id="170" w:name="_Toc66717059"/>
      <w:bookmarkStart w:id="171" w:name="_Toc54022807"/>
      <w:bookmarkStart w:id="172" w:name="_Toc607"/>
      <w:r>
        <w:rPr>
          <w:rFonts w:hint="default" w:ascii="Times New Roman" w:hAnsi="Times New Roman" w:eastAsia="仿宋" w:cs="Times New Roman"/>
          <w:b/>
          <w:sz w:val="32"/>
          <w:szCs w:val="32"/>
        </w:rPr>
        <w:t>9.1.1预案管理与更新</w:t>
      </w:r>
      <w:bookmarkEnd w:id="168"/>
      <w:bookmarkEnd w:id="169"/>
      <w:bookmarkEnd w:id="170"/>
      <w:bookmarkEnd w:id="171"/>
      <w:bookmarkEnd w:id="172"/>
    </w:p>
    <w:p w14:paraId="193E78CC">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有下列情形之一的，区人民政府及时进行预案的修订：</w:t>
      </w:r>
    </w:p>
    <w:p w14:paraId="71FA2D48">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eastAsia="zh-CN"/>
        </w:rPr>
        <w:t>花溪</w:t>
      </w:r>
      <w:r>
        <w:rPr>
          <w:rFonts w:hint="default" w:ascii="Times New Roman" w:hAnsi="Times New Roman" w:eastAsia="仿宋" w:cs="Times New Roman"/>
          <w:color w:val="000000"/>
          <w:sz w:val="32"/>
          <w:szCs w:val="32"/>
        </w:rPr>
        <w:t>区饮用水源地的分布发生变化的；</w:t>
      </w:r>
    </w:p>
    <w:p w14:paraId="107C897C">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（2）相关单位和人员发生变化或者应急组织指挥体系或职责调整的；</w:t>
      </w:r>
    </w:p>
    <w:p w14:paraId="687BDB41">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（3）区域内饮用水源地涉及的危险风险源的种类和分布发生变化的；</w:t>
      </w:r>
    </w:p>
    <w:p w14:paraId="7FA824A5">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（4）环境应急预案依据的法律、法规、规章等发生变化的；</w:t>
      </w:r>
    </w:p>
    <w:p w14:paraId="1013ECC4">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（5）生态环境主管部门或者相关事业单位认为应当适时修订的其他情形。</w:t>
      </w:r>
    </w:p>
    <w:p w14:paraId="5D11136A">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73" w:name="_Toc345405266"/>
      <w:bookmarkStart w:id="174" w:name="_Toc21862"/>
      <w:bookmarkStart w:id="175" w:name="_Toc49870662"/>
      <w:bookmarkStart w:id="176" w:name="_Toc66717060"/>
      <w:bookmarkStart w:id="177" w:name="_Toc54022808"/>
      <w:r>
        <w:rPr>
          <w:rFonts w:hint="default" w:ascii="Times New Roman" w:hAnsi="Times New Roman" w:eastAsia="仿宋" w:cs="Times New Roman"/>
          <w:b/>
          <w:sz w:val="32"/>
          <w:szCs w:val="32"/>
        </w:rPr>
        <w:t>9.1.2地方沟通与协作</w:t>
      </w:r>
      <w:bookmarkEnd w:id="173"/>
      <w:bookmarkEnd w:id="174"/>
      <w:bookmarkEnd w:id="175"/>
      <w:bookmarkEnd w:id="176"/>
      <w:bookmarkEnd w:id="177"/>
    </w:p>
    <w:p w14:paraId="5FA2DE6B">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建立与</w:t>
      </w:r>
      <w:r>
        <w:rPr>
          <w:rFonts w:hint="default" w:ascii="Times New Roman" w:hAnsi="Times New Roman" w:eastAsia="仿宋" w:cs="Times New Roman"/>
          <w:color w:val="000000"/>
          <w:kern w:val="0"/>
          <w:sz w:val="32"/>
          <w:szCs w:val="32"/>
        </w:rPr>
        <w:t>县（区）级以上人民政府生态环境主管</w:t>
      </w:r>
      <w:r>
        <w:rPr>
          <w:rFonts w:hint="default" w:ascii="Times New Roman" w:hAnsi="Times New Roman" w:eastAsia="仿宋" w:cs="Times New Roman"/>
          <w:color w:val="000000"/>
          <w:sz w:val="32"/>
          <w:szCs w:val="32"/>
        </w:rPr>
        <w:t>应急机构及其它区政府的交流与联系，组织参与地方</w:t>
      </w:r>
      <w:r>
        <w:rPr>
          <w:rFonts w:hint="default" w:ascii="Times New Roman" w:hAnsi="Times New Roman" w:eastAsia="仿宋" w:cs="Times New Roman"/>
          <w:color w:val="000000"/>
          <w:kern w:val="0"/>
          <w:sz w:val="32"/>
          <w:szCs w:val="32"/>
        </w:rPr>
        <w:t>有关部门开展的应急演练</w:t>
      </w:r>
      <w:r>
        <w:rPr>
          <w:rFonts w:hint="default" w:ascii="Times New Roman" w:hAnsi="Times New Roman" w:eastAsia="仿宋" w:cs="Times New Roman"/>
          <w:color w:val="000000"/>
          <w:sz w:val="32"/>
          <w:szCs w:val="32"/>
        </w:rPr>
        <w:t>救援活动，开展与相关单位的交流与合作。每年至少进行一次应急演练，保留相应影像资料。</w:t>
      </w:r>
    </w:p>
    <w:p w14:paraId="05760E24">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78" w:name="_Toc345405267"/>
      <w:bookmarkStart w:id="179" w:name="_Toc66717061"/>
      <w:bookmarkStart w:id="180" w:name="_Toc25057"/>
      <w:r>
        <w:rPr>
          <w:rFonts w:hint="default" w:ascii="Times New Roman" w:hAnsi="Times New Roman" w:eastAsia="仿宋" w:cs="Times New Roman"/>
          <w:b/>
          <w:color w:val="000000"/>
          <w:sz w:val="32"/>
          <w:szCs w:val="32"/>
        </w:rPr>
        <w:t>9.2 奖励与责任追究</w:t>
      </w:r>
      <w:bookmarkEnd w:id="178"/>
      <w:bookmarkEnd w:id="179"/>
      <w:bookmarkEnd w:id="180"/>
    </w:p>
    <w:p w14:paraId="0CCE756D">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81" w:name="_Toc66717062"/>
      <w:bookmarkStart w:id="182" w:name="_Toc49870664"/>
      <w:bookmarkStart w:id="183" w:name="_Toc345405268"/>
      <w:bookmarkStart w:id="184" w:name="_Toc54022810"/>
      <w:bookmarkStart w:id="185" w:name="_Toc29612"/>
      <w:r>
        <w:rPr>
          <w:rFonts w:hint="default" w:ascii="Times New Roman" w:hAnsi="Times New Roman" w:eastAsia="仿宋" w:cs="Times New Roman"/>
          <w:b/>
          <w:sz w:val="32"/>
          <w:szCs w:val="32"/>
        </w:rPr>
        <w:t>9.2.1奖励</w:t>
      </w:r>
      <w:bookmarkEnd w:id="181"/>
      <w:bookmarkEnd w:id="182"/>
      <w:bookmarkEnd w:id="183"/>
      <w:bookmarkEnd w:id="184"/>
      <w:bookmarkEnd w:id="185"/>
    </w:p>
    <w:p w14:paraId="17DEAD32">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在突发性环境污染事故应急救援工作中，依据有关规定对处理事故中做出重大贡献的人员和</w:t>
      </w:r>
      <w:r>
        <w:rPr>
          <w:rFonts w:hint="eastAsia" w:cs="Times New Roman"/>
          <w:color w:val="000000"/>
          <w:sz w:val="32"/>
          <w:szCs w:val="32"/>
          <w:lang w:val="en-US" w:eastAsia="zh-CN"/>
        </w:rPr>
        <w:t>单位</w:t>
      </w:r>
      <w:r>
        <w:rPr>
          <w:rFonts w:hint="default" w:ascii="Times New Roman" w:hAnsi="Times New Roman" w:eastAsia="仿宋" w:cs="Times New Roman"/>
          <w:color w:val="000000"/>
          <w:sz w:val="32"/>
          <w:szCs w:val="32"/>
        </w:rPr>
        <w:t>给予奖励。</w:t>
      </w:r>
    </w:p>
    <w:p w14:paraId="7F58605C">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86" w:name="_Toc54022811"/>
      <w:bookmarkStart w:id="187" w:name="_Toc199"/>
      <w:bookmarkStart w:id="188" w:name="_Toc49870665"/>
      <w:bookmarkStart w:id="189" w:name="_Toc66717063"/>
      <w:bookmarkStart w:id="190" w:name="_Toc345405269"/>
      <w:r>
        <w:rPr>
          <w:rFonts w:hint="default" w:ascii="Times New Roman" w:hAnsi="Times New Roman" w:eastAsia="仿宋" w:cs="Times New Roman"/>
          <w:b/>
          <w:sz w:val="32"/>
          <w:szCs w:val="32"/>
        </w:rPr>
        <w:t>9.2.2责任追究</w:t>
      </w:r>
      <w:bookmarkEnd w:id="186"/>
      <w:bookmarkEnd w:id="187"/>
      <w:bookmarkEnd w:id="188"/>
      <w:bookmarkEnd w:id="189"/>
      <w:bookmarkEnd w:id="190"/>
    </w:p>
    <w:p w14:paraId="6F429D3F">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在突发性环境污染事故应急工作中，对玩忽职守，不负责任的有关责任人员按照有关法律和规定，对有关人员视情节和危害后果的严重性，追究相应的责任，触犯法律的由检察机关追究其刑事责任。</w:t>
      </w:r>
    </w:p>
    <w:p w14:paraId="2224FC81">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91" w:name="_Toc345330248"/>
      <w:bookmarkStart w:id="192" w:name="_Toc466471535"/>
      <w:bookmarkStart w:id="193" w:name="_Toc66717064"/>
      <w:bookmarkStart w:id="194" w:name="_Toc6517"/>
      <w:bookmarkStart w:id="195" w:name="_Toc466283568"/>
      <w:r>
        <w:rPr>
          <w:rFonts w:hint="default" w:ascii="Times New Roman" w:hAnsi="Times New Roman" w:eastAsia="仿宋" w:cs="Times New Roman"/>
          <w:b/>
          <w:color w:val="000000"/>
          <w:sz w:val="32"/>
          <w:szCs w:val="32"/>
        </w:rPr>
        <w:t>9.3 预案实施时间</w:t>
      </w:r>
      <w:bookmarkEnd w:id="191"/>
      <w:bookmarkEnd w:id="192"/>
      <w:bookmarkEnd w:id="193"/>
      <w:bookmarkEnd w:id="194"/>
      <w:bookmarkEnd w:id="195"/>
    </w:p>
    <w:p w14:paraId="73ACDA05">
      <w:pPr>
        <w:pageBreakBefore w:val="0"/>
        <w:widowControl/>
        <w:kinsoku/>
        <w:wordWrap/>
        <w:overflowPunct/>
        <w:topLinePunct w:val="0"/>
        <w:bidi w:val="0"/>
        <w:adjustRightInd/>
        <w:snapToGrid/>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本预案经评审、修改</w:t>
      </w:r>
      <w:r>
        <w:rPr>
          <w:rFonts w:hint="eastAsia" w:cs="Times New Roman"/>
          <w:color w:val="000000"/>
          <w:kern w:val="0"/>
          <w:sz w:val="32"/>
          <w:szCs w:val="32"/>
          <w:lang w:eastAsia="zh-CN"/>
        </w:rPr>
        <w:t>、</w:t>
      </w:r>
      <w:r>
        <w:rPr>
          <w:rFonts w:hint="eastAsia" w:cs="Times New Roman"/>
          <w:color w:val="000000"/>
          <w:kern w:val="0"/>
          <w:sz w:val="32"/>
          <w:szCs w:val="32"/>
          <w:lang w:val="en-US" w:eastAsia="zh-CN"/>
        </w:rPr>
        <w:t>印</w:t>
      </w:r>
      <w:r>
        <w:rPr>
          <w:rFonts w:hint="default" w:ascii="Times New Roman" w:hAnsi="Times New Roman" w:eastAsia="仿宋" w:cs="Times New Roman"/>
          <w:color w:val="000000"/>
          <w:kern w:val="0"/>
          <w:sz w:val="32"/>
          <w:szCs w:val="32"/>
        </w:rPr>
        <w:t>发后实施</w:t>
      </w:r>
      <w:r>
        <w:rPr>
          <w:rFonts w:hint="eastAsia" w:cs="Times New Roman"/>
          <w:color w:val="000000"/>
          <w:kern w:val="0"/>
          <w:sz w:val="32"/>
          <w:szCs w:val="32"/>
          <w:lang w:eastAsia="zh-CN"/>
        </w:rPr>
        <w:t>，</w:t>
      </w:r>
      <w:r>
        <w:rPr>
          <w:rFonts w:hint="eastAsia" w:cs="Times New Roman"/>
          <w:color w:val="000000"/>
          <w:kern w:val="0"/>
          <w:sz w:val="32"/>
          <w:szCs w:val="32"/>
          <w:lang w:val="en-US" w:eastAsia="zh-CN"/>
        </w:rPr>
        <w:t>并按规定报有关部门备案</w:t>
      </w:r>
      <w:r>
        <w:rPr>
          <w:rFonts w:hint="default" w:ascii="Times New Roman" w:hAnsi="Times New Roman" w:eastAsia="仿宋" w:cs="Times New Roman"/>
          <w:color w:val="000000"/>
          <w:kern w:val="0"/>
          <w:sz w:val="32"/>
          <w:szCs w:val="32"/>
        </w:rPr>
        <w:t>。</w:t>
      </w:r>
    </w:p>
    <w:p w14:paraId="4D3CD289">
      <w:pPr>
        <w:pageBreakBefore w:val="0"/>
        <w:widowControl/>
        <w:kinsoku/>
        <w:wordWrap/>
        <w:overflowPunct/>
        <w:topLinePunct w:val="0"/>
        <w:bidi w:val="0"/>
        <w:adjustRightInd/>
        <w:snapToGrid/>
        <w:ind w:firstLine="480"/>
        <w:jc w:val="both"/>
        <w:textAlignment w:val="auto"/>
        <w:rPr>
          <w:rFonts w:hint="default" w:ascii="Times New Roman" w:hAnsi="Times New Roman" w:eastAsia="仿宋" w:cs="Times New Roman"/>
          <w:color w:val="000000"/>
          <w:kern w:val="0"/>
          <w:sz w:val="32"/>
          <w:szCs w:val="32"/>
        </w:rPr>
        <w:sectPr>
          <w:pgSz w:w="11906" w:h="16838"/>
          <w:pgMar w:top="1440" w:right="1800" w:bottom="1440" w:left="1800" w:header="851" w:footer="992" w:gutter="0"/>
          <w:pgNumType w:fmt="decimal"/>
          <w:cols w:space="720" w:num="1"/>
          <w:docGrid w:type="lines" w:linePitch="312" w:charSpace="0"/>
        </w:sectPr>
      </w:pPr>
    </w:p>
    <w:p w14:paraId="0455EEC2">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color w:val="000000"/>
          <w:kern w:val="0"/>
          <w:sz w:val="32"/>
          <w:szCs w:val="32"/>
        </w:rPr>
      </w:pPr>
      <w:bookmarkStart w:id="196" w:name="_Toc14622"/>
      <w:bookmarkStart w:id="197" w:name="_Toc466471536"/>
      <w:bookmarkStart w:id="198" w:name="_Toc466283569"/>
      <w:bookmarkStart w:id="199" w:name="_Toc66717065"/>
      <w:r>
        <w:rPr>
          <w:rFonts w:hint="default" w:ascii="Times New Roman" w:hAnsi="Times New Roman" w:eastAsia="仿宋" w:cs="Times New Roman"/>
          <w:b/>
          <w:color w:val="000000"/>
          <w:kern w:val="0"/>
          <w:sz w:val="32"/>
          <w:szCs w:val="32"/>
        </w:rPr>
        <w:t>10 附 则</w:t>
      </w:r>
      <w:bookmarkEnd w:id="196"/>
      <w:bookmarkEnd w:id="197"/>
      <w:bookmarkEnd w:id="198"/>
      <w:bookmarkEnd w:id="199"/>
    </w:p>
    <w:p w14:paraId="2608194B">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本预案中下列用语的含义：</w:t>
      </w:r>
    </w:p>
    <w:p w14:paraId="62533745">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环境事故：</w:t>
      </w:r>
      <w:r>
        <w:rPr>
          <w:rFonts w:hint="default" w:ascii="Times New Roman" w:hAnsi="Times New Roman" w:eastAsia="仿宋" w:cs="Times New Roman"/>
          <w:color w:val="000000"/>
          <w:sz w:val="32"/>
          <w:szCs w:val="32"/>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14:paraId="6C5118AD">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突发环境事件：</w:t>
      </w:r>
      <w:r>
        <w:rPr>
          <w:rFonts w:hint="default" w:ascii="Times New Roman" w:hAnsi="Times New Roman" w:eastAsia="仿宋" w:cs="Times New Roman"/>
          <w:color w:val="000000"/>
          <w:sz w:val="32"/>
          <w:szCs w:val="32"/>
        </w:rPr>
        <w:t>指突然发生，造成或者可能造成重大人员伤亡、重大财产损失和对全国或者某一地区的经济社会稳定、政治安定构成重大威胁和损害，又重大社会影响的涉及公共安全的环境事故。</w:t>
      </w:r>
    </w:p>
    <w:p w14:paraId="690066E8">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突发环境事件应急预案：</w:t>
      </w:r>
      <w:r>
        <w:rPr>
          <w:rFonts w:hint="default" w:ascii="Times New Roman" w:hAnsi="Times New Roman" w:eastAsia="仿宋" w:cs="Times New Roman"/>
          <w:color w:val="000000"/>
          <w:sz w:val="32"/>
          <w:szCs w:val="32"/>
        </w:rPr>
        <w:t>是指针对可能发生的突发环境事件，为确保迅速、有序、高效地开展应急处置，减少人员伤亡和经济损失而预先制定的计划或方案。</w:t>
      </w:r>
    </w:p>
    <w:p w14:paraId="414351B8">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环境风险：</w:t>
      </w:r>
      <w:r>
        <w:rPr>
          <w:rFonts w:hint="default" w:ascii="Times New Roman" w:hAnsi="Times New Roman" w:eastAsia="仿宋" w:cs="Times New Roman"/>
          <w:color w:val="000000"/>
          <w:sz w:val="32"/>
          <w:szCs w:val="32"/>
        </w:rPr>
        <w:t>是指突发环境事件对环境（或健康）的危险程度。</w:t>
      </w:r>
    </w:p>
    <w:p w14:paraId="7A830B9F">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工业污染源：</w:t>
      </w:r>
      <w:r>
        <w:rPr>
          <w:rFonts w:hint="default" w:ascii="Times New Roman" w:hAnsi="Times New Roman" w:eastAsia="仿宋" w:cs="Times New Roman"/>
          <w:sz w:val="32"/>
          <w:szCs w:val="32"/>
        </w:rPr>
        <w:t xml:space="preserve">向水环境排放有毒有害污染物或对环境水体产生有害影响的工业生产设备或生产场所。 </w:t>
      </w:r>
    </w:p>
    <w:p w14:paraId="1FF0C0CE">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生活污染源：</w:t>
      </w:r>
      <w:r>
        <w:rPr>
          <w:rFonts w:hint="default" w:ascii="Times New Roman" w:hAnsi="Times New Roman" w:eastAsia="仿宋" w:cs="Times New Roman"/>
          <w:sz w:val="32"/>
          <w:szCs w:val="32"/>
        </w:rPr>
        <w:t>向水环境排放居民生活污水和垃圾的发生源。</w:t>
      </w:r>
    </w:p>
    <w:p w14:paraId="2E76B60E">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农业污染源：</w:t>
      </w:r>
      <w:r>
        <w:rPr>
          <w:rFonts w:hint="default" w:ascii="Times New Roman" w:hAnsi="Times New Roman" w:eastAsia="仿宋" w:cs="Times New Roman"/>
          <w:sz w:val="32"/>
          <w:szCs w:val="32"/>
        </w:rPr>
        <w:t>对水环境造成有害影响的农田和各种农业措施。包括农田作物种植过程中的肥料、农药和农膜通过农业灌溉或地表径流产生的污染，畜禽养殖以及农村生活过程中产生的粪便和污水污染，水产养殖过程中通过池塘、网箱、围栏、浅海、滩涂等方式对水体直接造成的污染等。</w:t>
      </w:r>
    </w:p>
    <w:p w14:paraId="43B887ED">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危险源：</w:t>
      </w:r>
      <w:r>
        <w:rPr>
          <w:rFonts w:hint="default" w:ascii="Times New Roman" w:hAnsi="Times New Roman" w:eastAsia="仿宋" w:cs="Times New Roman"/>
          <w:color w:val="000000"/>
          <w:sz w:val="32"/>
          <w:szCs w:val="32"/>
        </w:rPr>
        <w:t>是指可能导致伤害或疾病、财产损失、环境破坏或这些情况组合的根源或状态。</w:t>
      </w:r>
    </w:p>
    <w:p w14:paraId="4C23F1DC">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环境敏感点：</w:t>
      </w:r>
      <w:r>
        <w:rPr>
          <w:rFonts w:hint="default" w:ascii="Times New Roman" w:hAnsi="Times New Roman" w:eastAsia="仿宋" w:cs="Times New Roman"/>
          <w:color w:val="000000"/>
          <w:sz w:val="32"/>
          <w:szCs w:val="32"/>
        </w:rPr>
        <w:t>参照《建设项目环境影响评价分类管理名录》中“环境敏感区”的定义。</w:t>
      </w:r>
    </w:p>
    <w:p w14:paraId="182E5270">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应急演练：</w:t>
      </w:r>
      <w:r>
        <w:rPr>
          <w:rFonts w:hint="default" w:ascii="Times New Roman" w:hAnsi="Times New Roman" w:eastAsia="仿宋" w:cs="Times New Roman"/>
          <w:color w:val="000000"/>
          <w:sz w:val="32"/>
          <w:szCs w:val="32"/>
        </w:rPr>
        <w:t>是指为检验应急预案的有效性、应急准备的完善性、应急响应能力的适应性和应急人员的协同性而进行的一种模拟应急响应的实践活动。</w:t>
      </w:r>
    </w:p>
    <w:p w14:paraId="6781856A">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固定风险源：</w:t>
      </w:r>
      <w:r>
        <w:rPr>
          <w:rFonts w:hint="default" w:ascii="Times New Roman" w:hAnsi="Times New Roman" w:eastAsia="仿宋" w:cs="Times New Roman"/>
          <w:sz w:val="32"/>
          <w:szCs w:val="32"/>
        </w:rPr>
        <w:t>排放有毒有害物质造成或可能因突发污染事件对饮用水水源造成严重环境危害的固定风险源，包括工矿企业事业单位、石油化工企业及运输石化、化工产品的管线、污（废）水处理厂、垃圾填埋场、危险品仓库、装卸码头等。</w:t>
      </w:r>
    </w:p>
    <w:p w14:paraId="4E08AF30">
      <w:pPr>
        <w:keepNext/>
        <w:keepLines/>
        <w:pageBreakBefore w:val="0"/>
        <w:widowControl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rPr>
        <w:t>流动风险源：</w:t>
      </w:r>
      <w:r>
        <w:rPr>
          <w:rFonts w:hint="default" w:ascii="Times New Roman" w:hAnsi="Times New Roman" w:eastAsia="仿宋" w:cs="Times New Roman"/>
          <w:b w:val="0"/>
          <w:bCs w:val="0"/>
          <w:sz w:val="32"/>
          <w:szCs w:val="32"/>
        </w:rPr>
        <w:t>指运输危险化学品、危险废物及其他影响饮用水安全物质的车辆、 船舶等交通工具，亦为流动污染源。</w:t>
      </w:r>
    </w:p>
    <w:p w14:paraId="7A3B66CF">
      <w:pPr>
        <w:pageBreakBefore w:val="0"/>
        <w:kinsoku/>
        <w:wordWrap/>
        <w:overflowPunct/>
        <w:topLinePunct w:val="0"/>
        <w:bidi w:val="0"/>
        <w:adjustRightInd/>
        <w:snapToGrid/>
        <w:jc w:val="both"/>
        <w:textAlignment w:val="auto"/>
        <w:rPr>
          <w:rFonts w:hint="default" w:ascii="Times New Roman" w:hAnsi="Times New Roman" w:eastAsia="仿宋"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7F1166B8">
      <w:pPr>
        <w:pStyle w:val="3"/>
        <w:pageBreakBefore w:val="0"/>
        <w:widowControl w:val="0"/>
        <w:kinsoku/>
        <w:wordWrap/>
        <w:overflowPunct/>
        <w:topLinePunct w:val="0"/>
        <w:bidi w:val="0"/>
        <w:spacing w:before="0" w:beforeLines="0" w:after="0" w:afterLines="0"/>
        <w:jc w:val="center"/>
        <w:textAlignment w:val="auto"/>
        <w:rPr>
          <w:rFonts w:hint="default" w:ascii="Times New Roman" w:hAnsi="Times New Roman" w:cs="Times New Roman"/>
          <w:highlight w:val="none"/>
        </w:rPr>
      </w:pPr>
      <w:bookmarkStart w:id="200" w:name="_Toc24568"/>
      <w:bookmarkStart w:id="201" w:name="_Toc73179528"/>
      <w:r>
        <w:rPr>
          <w:rFonts w:hint="eastAsia" w:ascii="Times New Roman" w:hAnsi="Times New Roman" w:cs="Times New Roman"/>
          <w:highlight w:val="none"/>
          <w:lang w:val="en-US" w:eastAsia="zh-CN"/>
        </w:rPr>
        <w:t>11</w:t>
      </w:r>
      <w:r>
        <w:rPr>
          <w:rFonts w:hint="default" w:ascii="Times New Roman" w:hAnsi="Times New Roman" w:cs="Times New Roman"/>
          <w:highlight w:val="none"/>
        </w:rPr>
        <w:t xml:space="preserve"> 附件</w:t>
      </w:r>
      <w:bookmarkEnd w:id="200"/>
      <w:bookmarkEnd w:id="201"/>
    </w:p>
    <w:p w14:paraId="333CB7E5">
      <w:pPr>
        <w:pStyle w:val="5"/>
        <w:keepNext/>
        <w:keepLines/>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仿宋" w:cs="Times New Roman"/>
          <w:lang w:val="en-US" w:eastAsia="zh-CN"/>
        </w:rPr>
      </w:pPr>
      <w:bookmarkStart w:id="202" w:name="_Toc1174"/>
      <w:bookmarkStart w:id="203" w:name="_Toc20764"/>
      <w:r>
        <w:rPr>
          <w:rFonts w:hint="default" w:ascii="Times New Roman" w:hAnsi="Times New Roman" w:eastAsia="仿宋" w:cs="Times New Roman"/>
          <w:lang w:val="en-US" w:eastAsia="zh-CN"/>
        </w:rPr>
        <w:t>附件1 花溪区环境应急专家通讯录</w:t>
      </w:r>
      <w:bookmarkEnd w:id="202"/>
      <w:bookmarkEnd w:id="203"/>
    </w:p>
    <w:tbl>
      <w:tblPr>
        <w:tblStyle w:val="15"/>
        <w:tblW w:w="13995" w:type="dxa"/>
        <w:jc w:val="center"/>
        <w:shd w:val="clear" w:color="auto" w:fill="FFFFFF"/>
        <w:tblLayout w:type="fixed"/>
        <w:tblCellMar>
          <w:top w:w="0" w:type="dxa"/>
          <w:left w:w="108" w:type="dxa"/>
          <w:bottom w:w="0" w:type="dxa"/>
          <w:right w:w="108" w:type="dxa"/>
        </w:tblCellMar>
      </w:tblPr>
      <w:tblGrid>
        <w:gridCol w:w="768"/>
        <w:gridCol w:w="1170"/>
        <w:gridCol w:w="735"/>
        <w:gridCol w:w="3583"/>
        <w:gridCol w:w="1545"/>
        <w:gridCol w:w="1440"/>
        <w:gridCol w:w="1680"/>
        <w:gridCol w:w="1590"/>
        <w:gridCol w:w="1484"/>
      </w:tblGrid>
      <w:tr w14:paraId="73B55CAE">
        <w:tblPrEx>
          <w:tblCellMar>
            <w:top w:w="0" w:type="dxa"/>
            <w:left w:w="108" w:type="dxa"/>
            <w:bottom w:w="0" w:type="dxa"/>
            <w:right w:w="108" w:type="dxa"/>
          </w:tblCellMar>
        </w:tblPrEx>
        <w:trPr>
          <w:trHeight w:val="397" w:hRule="atLeast"/>
          <w:tblHeader/>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2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170" w:type="dxa"/>
            <w:tcBorders>
              <w:top w:val="single" w:color="000000" w:sz="4" w:space="0"/>
              <w:left w:val="nil"/>
              <w:bottom w:val="single" w:color="000000" w:sz="4" w:space="0"/>
              <w:right w:val="single" w:color="000000" w:sz="4" w:space="0"/>
            </w:tcBorders>
            <w:shd w:val="clear" w:color="auto" w:fill="FFFFFF"/>
            <w:vAlign w:val="center"/>
          </w:tcPr>
          <w:p w14:paraId="4E89A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姓名</w:t>
            </w:r>
          </w:p>
        </w:tc>
        <w:tc>
          <w:tcPr>
            <w:tcW w:w="735" w:type="dxa"/>
            <w:tcBorders>
              <w:top w:val="single" w:color="000000" w:sz="4" w:space="0"/>
              <w:left w:val="nil"/>
              <w:bottom w:val="single" w:color="000000" w:sz="4" w:space="0"/>
              <w:right w:val="single" w:color="000000" w:sz="4" w:space="0"/>
            </w:tcBorders>
            <w:shd w:val="clear" w:color="auto" w:fill="FFFFFF"/>
            <w:vAlign w:val="center"/>
          </w:tcPr>
          <w:p w14:paraId="01EE0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性别</w:t>
            </w:r>
          </w:p>
        </w:tc>
        <w:tc>
          <w:tcPr>
            <w:tcW w:w="3583" w:type="dxa"/>
            <w:tcBorders>
              <w:top w:val="single" w:color="000000" w:sz="4" w:space="0"/>
              <w:left w:val="nil"/>
              <w:bottom w:val="single" w:color="000000" w:sz="4" w:space="0"/>
              <w:right w:val="single" w:color="000000" w:sz="4" w:space="0"/>
            </w:tcBorders>
            <w:shd w:val="clear" w:color="auto" w:fill="FFFFFF"/>
            <w:vAlign w:val="center"/>
          </w:tcPr>
          <w:p w14:paraId="017F0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工作单位</w:t>
            </w:r>
          </w:p>
        </w:tc>
        <w:tc>
          <w:tcPr>
            <w:tcW w:w="1545" w:type="dxa"/>
            <w:tcBorders>
              <w:top w:val="single" w:color="000000" w:sz="4" w:space="0"/>
              <w:left w:val="nil"/>
              <w:bottom w:val="single" w:color="000000" w:sz="4" w:space="0"/>
              <w:right w:val="single" w:color="000000" w:sz="4" w:space="0"/>
            </w:tcBorders>
            <w:shd w:val="clear" w:color="auto" w:fill="FFFFFF"/>
            <w:vAlign w:val="center"/>
          </w:tcPr>
          <w:p w14:paraId="494AF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出生年月</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E257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职称</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1085F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职务</w:t>
            </w:r>
          </w:p>
        </w:tc>
        <w:tc>
          <w:tcPr>
            <w:tcW w:w="1590" w:type="dxa"/>
            <w:tcBorders>
              <w:top w:val="single" w:color="000000" w:sz="4" w:space="0"/>
              <w:left w:val="nil"/>
              <w:bottom w:val="single" w:color="000000" w:sz="4" w:space="0"/>
              <w:right w:val="single" w:color="000000" w:sz="4" w:space="0"/>
            </w:tcBorders>
            <w:shd w:val="clear" w:color="auto" w:fill="FFFFFF"/>
            <w:vAlign w:val="center"/>
          </w:tcPr>
          <w:p w14:paraId="329BC4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手机</w:t>
            </w:r>
          </w:p>
        </w:tc>
        <w:tc>
          <w:tcPr>
            <w:tcW w:w="1484" w:type="dxa"/>
            <w:tcBorders>
              <w:top w:val="single" w:color="000000" w:sz="4" w:space="0"/>
              <w:left w:val="nil"/>
              <w:bottom w:val="single" w:color="000000" w:sz="4" w:space="0"/>
              <w:right w:val="single" w:color="000000" w:sz="4" w:space="0"/>
            </w:tcBorders>
            <w:shd w:val="clear" w:color="auto" w:fill="FFFFFF"/>
          </w:tcPr>
          <w:p w14:paraId="6438E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专业领域</w:t>
            </w:r>
          </w:p>
        </w:tc>
      </w:tr>
      <w:tr w14:paraId="56CE7522">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6165A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1</w:t>
            </w:r>
          </w:p>
        </w:tc>
        <w:tc>
          <w:tcPr>
            <w:tcW w:w="1170" w:type="dxa"/>
            <w:tcBorders>
              <w:top w:val="nil"/>
              <w:left w:val="nil"/>
              <w:bottom w:val="single" w:color="000000" w:sz="4" w:space="0"/>
              <w:right w:val="single" w:color="000000" w:sz="4" w:space="0"/>
            </w:tcBorders>
            <w:shd w:val="clear" w:color="auto" w:fill="FFFFFF"/>
            <w:vAlign w:val="center"/>
          </w:tcPr>
          <w:p w14:paraId="095BF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李  敏</w:t>
            </w:r>
          </w:p>
        </w:tc>
        <w:tc>
          <w:tcPr>
            <w:tcW w:w="735" w:type="dxa"/>
            <w:tcBorders>
              <w:top w:val="nil"/>
              <w:left w:val="nil"/>
              <w:bottom w:val="single" w:color="000000" w:sz="4" w:space="0"/>
              <w:right w:val="single" w:color="000000" w:sz="4" w:space="0"/>
            </w:tcBorders>
            <w:shd w:val="clear" w:color="auto" w:fill="FFFFFF"/>
            <w:vAlign w:val="center"/>
          </w:tcPr>
          <w:p w14:paraId="368F3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7C7A0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5" w:type="dxa"/>
            <w:tcBorders>
              <w:top w:val="nil"/>
              <w:left w:val="nil"/>
              <w:bottom w:val="single" w:color="000000" w:sz="4" w:space="0"/>
              <w:right w:val="single" w:color="000000" w:sz="4" w:space="0"/>
            </w:tcBorders>
            <w:shd w:val="clear" w:color="auto" w:fill="FFFFFF"/>
            <w:vAlign w:val="center"/>
          </w:tcPr>
          <w:p w14:paraId="11A3F8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1970年8月</w:t>
            </w:r>
          </w:p>
        </w:tc>
        <w:tc>
          <w:tcPr>
            <w:tcW w:w="1440" w:type="dxa"/>
            <w:tcBorders>
              <w:top w:val="nil"/>
              <w:left w:val="nil"/>
              <w:bottom w:val="single" w:color="000000" w:sz="4" w:space="0"/>
              <w:right w:val="single" w:color="000000" w:sz="4" w:space="0"/>
            </w:tcBorders>
            <w:shd w:val="clear" w:color="auto" w:fill="FFFFFF"/>
            <w:vAlign w:val="center"/>
          </w:tcPr>
          <w:p w14:paraId="54F99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80" w:type="dxa"/>
            <w:tcBorders>
              <w:top w:val="nil"/>
              <w:left w:val="nil"/>
              <w:bottom w:val="single" w:color="000000" w:sz="4" w:space="0"/>
              <w:right w:val="single" w:color="000000" w:sz="4" w:space="0"/>
            </w:tcBorders>
            <w:shd w:val="clear" w:color="auto" w:fill="FFFFFF"/>
            <w:vAlign w:val="center"/>
          </w:tcPr>
          <w:p w14:paraId="77F22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590" w:type="dxa"/>
            <w:tcBorders>
              <w:top w:val="nil"/>
              <w:left w:val="nil"/>
              <w:bottom w:val="single" w:color="000000" w:sz="4" w:space="0"/>
              <w:right w:val="single" w:color="000000" w:sz="4" w:space="0"/>
            </w:tcBorders>
            <w:shd w:val="clear" w:color="auto" w:fill="FFFFFF"/>
            <w:vAlign w:val="center"/>
          </w:tcPr>
          <w:p w14:paraId="273FC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13985186587</w:t>
            </w:r>
          </w:p>
        </w:tc>
        <w:tc>
          <w:tcPr>
            <w:tcW w:w="1484" w:type="dxa"/>
            <w:tcBorders>
              <w:top w:val="nil"/>
              <w:left w:val="nil"/>
              <w:bottom w:val="single" w:color="000000" w:sz="4" w:space="0"/>
              <w:right w:val="single" w:color="000000" w:sz="4" w:space="0"/>
            </w:tcBorders>
            <w:shd w:val="clear" w:color="auto" w:fill="FFFFFF"/>
            <w:vAlign w:val="center"/>
          </w:tcPr>
          <w:p w14:paraId="77F76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14:paraId="63290551">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7ABA6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2</w:t>
            </w:r>
          </w:p>
        </w:tc>
        <w:tc>
          <w:tcPr>
            <w:tcW w:w="1170" w:type="dxa"/>
            <w:tcBorders>
              <w:top w:val="nil"/>
              <w:left w:val="nil"/>
              <w:bottom w:val="single" w:color="000000" w:sz="4" w:space="0"/>
              <w:right w:val="single" w:color="000000" w:sz="4" w:space="0"/>
            </w:tcBorders>
            <w:shd w:val="clear" w:color="auto" w:fill="FFFFFF"/>
            <w:vAlign w:val="center"/>
          </w:tcPr>
          <w:p w14:paraId="4C5A8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张军方</w:t>
            </w:r>
          </w:p>
        </w:tc>
        <w:tc>
          <w:tcPr>
            <w:tcW w:w="735" w:type="dxa"/>
            <w:tcBorders>
              <w:top w:val="nil"/>
              <w:left w:val="nil"/>
              <w:bottom w:val="single" w:color="000000" w:sz="4" w:space="0"/>
              <w:right w:val="single" w:color="000000" w:sz="4" w:space="0"/>
            </w:tcBorders>
            <w:shd w:val="clear" w:color="auto" w:fill="FFFFFF"/>
            <w:vAlign w:val="center"/>
          </w:tcPr>
          <w:p w14:paraId="12845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28326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5" w:type="dxa"/>
            <w:tcBorders>
              <w:top w:val="nil"/>
              <w:left w:val="nil"/>
              <w:bottom w:val="single" w:color="000000" w:sz="4" w:space="0"/>
              <w:right w:val="single" w:color="000000" w:sz="4" w:space="0"/>
            </w:tcBorders>
            <w:shd w:val="clear" w:color="auto" w:fill="FFFFFF"/>
            <w:vAlign w:val="center"/>
          </w:tcPr>
          <w:p w14:paraId="5719F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1979年1月</w:t>
            </w:r>
          </w:p>
        </w:tc>
        <w:tc>
          <w:tcPr>
            <w:tcW w:w="1440" w:type="dxa"/>
            <w:tcBorders>
              <w:top w:val="nil"/>
              <w:left w:val="nil"/>
              <w:bottom w:val="single" w:color="000000" w:sz="4" w:space="0"/>
              <w:right w:val="single" w:color="000000" w:sz="4" w:space="0"/>
            </w:tcBorders>
            <w:shd w:val="clear" w:color="auto" w:fill="FFFFFF"/>
            <w:vAlign w:val="center"/>
          </w:tcPr>
          <w:p w14:paraId="100D0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nil"/>
              <w:left w:val="nil"/>
              <w:bottom w:val="single" w:color="000000" w:sz="4" w:space="0"/>
              <w:right w:val="single" w:color="000000" w:sz="4" w:space="0"/>
            </w:tcBorders>
            <w:shd w:val="clear" w:color="auto" w:fill="FFFFFF"/>
            <w:vAlign w:val="center"/>
          </w:tcPr>
          <w:p w14:paraId="14E39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副院长</w:t>
            </w:r>
          </w:p>
        </w:tc>
        <w:tc>
          <w:tcPr>
            <w:tcW w:w="1590" w:type="dxa"/>
            <w:tcBorders>
              <w:top w:val="nil"/>
              <w:left w:val="nil"/>
              <w:bottom w:val="single" w:color="000000" w:sz="4" w:space="0"/>
              <w:right w:val="single" w:color="000000" w:sz="4" w:space="0"/>
            </w:tcBorders>
            <w:shd w:val="clear" w:color="auto" w:fill="FFFFFF"/>
            <w:vAlign w:val="center"/>
          </w:tcPr>
          <w:p w14:paraId="7FBD4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13885035200</w:t>
            </w:r>
          </w:p>
        </w:tc>
        <w:tc>
          <w:tcPr>
            <w:tcW w:w="1484" w:type="dxa"/>
            <w:tcBorders>
              <w:top w:val="nil"/>
              <w:left w:val="nil"/>
              <w:bottom w:val="single" w:color="000000" w:sz="4" w:space="0"/>
              <w:right w:val="single" w:color="000000" w:sz="4" w:space="0"/>
            </w:tcBorders>
            <w:shd w:val="clear" w:color="auto" w:fill="FFFFFF"/>
            <w:vAlign w:val="center"/>
          </w:tcPr>
          <w:p w14:paraId="7D8AD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14:paraId="153AE528">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56B11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p>
        </w:tc>
        <w:tc>
          <w:tcPr>
            <w:tcW w:w="1170" w:type="dxa"/>
            <w:tcBorders>
              <w:top w:val="nil"/>
              <w:left w:val="nil"/>
              <w:bottom w:val="single" w:color="000000" w:sz="4" w:space="0"/>
              <w:right w:val="single" w:color="000000" w:sz="4" w:space="0"/>
            </w:tcBorders>
            <w:shd w:val="clear" w:color="auto" w:fill="FFFFFF"/>
            <w:vAlign w:val="center"/>
          </w:tcPr>
          <w:p w14:paraId="6175F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康  媞</w:t>
            </w:r>
          </w:p>
        </w:tc>
        <w:tc>
          <w:tcPr>
            <w:tcW w:w="735" w:type="dxa"/>
            <w:tcBorders>
              <w:top w:val="nil"/>
              <w:left w:val="nil"/>
              <w:bottom w:val="single" w:color="000000" w:sz="4" w:space="0"/>
              <w:right w:val="single" w:color="000000" w:sz="4" w:space="0"/>
            </w:tcBorders>
            <w:shd w:val="clear" w:color="auto" w:fill="FFFFFF"/>
            <w:vAlign w:val="center"/>
          </w:tcPr>
          <w:p w14:paraId="38EF5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146A0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5" w:type="dxa"/>
            <w:tcBorders>
              <w:top w:val="nil"/>
              <w:left w:val="nil"/>
              <w:bottom w:val="single" w:color="000000" w:sz="4" w:space="0"/>
              <w:right w:val="single" w:color="000000" w:sz="4" w:space="0"/>
            </w:tcBorders>
            <w:shd w:val="clear" w:color="auto" w:fill="FFFFFF"/>
            <w:vAlign w:val="center"/>
          </w:tcPr>
          <w:p w14:paraId="32E0E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1969年6月</w:t>
            </w:r>
          </w:p>
        </w:tc>
        <w:tc>
          <w:tcPr>
            <w:tcW w:w="1440" w:type="dxa"/>
            <w:tcBorders>
              <w:top w:val="nil"/>
              <w:left w:val="nil"/>
              <w:bottom w:val="single" w:color="000000" w:sz="4" w:space="0"/>
              <w:right w:val="single" w:color="000000" w:sz="4" w:space="0"/>
            </w:tcBorders>
            <w:shd w:val="clear" w:color="auto" w:fill="FFFFFF"/>
            <w:vAlign w:val="center"/>
          </w:tcPr>
          <w:p w14:paraId="29059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工程技术应用研究员</w:t>
            </w:r>
          </w:p>
        </w:tc>
        <w:tc>
          <w:tcPr>
            <w:tcW w:w="1680" w:type="dxa"/>
            <w:tcBorders>
              <w:top w:val="nil"/>
              <w:left w:val="nil"/>
              <w:bottom w:val="single" w:color="000000" w:sz="4" w:space="0"/>
              <w:right w:val="single" w:color="000000" w:sz="4" w:space="0"/>
            </w:tcBorders>
            <w:shd w:val="clear" w:color="auto" w:fill="FFFFFF"/>
            <w:vAlign w:val="center"/>
          </w:tcPr>
          <w:p w14:paraId="6C3B3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590" w:type="dxa"/>
            <w:tcBorders>
              <w:top w:val="nil"/>
              <w:left w:val="nil"/>
              <w:bottom w:val="single" w:color="000000" w:sz="4" w:space="0"/>
              <w:right w:val="single" w:color="000000" w:sz="4" w:space="0"/>
            </w:tcBorders>
            <w:shd w:val="clear" w:color="auto" w:fill="FFFFFF"/>
            <w:vAlign w:val="center"/>
          </w:tcPr>
          <w:p w14:paraId="57FF1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14785517448</w:t>
            </w:r>
          </w:p>
        </w:tc>
        <w:tc>
          <w:tcPr>
            <w:tcW w:w="1484" w:type="dxa"/>
            <w:tcBorders>
              <w:top w:val="nil"/>
              <w:left w:val="nil"/>
              <w:bottom w:val="single" w:color="000000" w:sz="4" w:space="0"/>
              <w:right w:val="single" w:color="000000" w:sz="4" w:space="0"/>
            </w:tcBorders>
            <w:shd w:val="clear" w:color="auto" w:fill="FFFFFF"/>
            <w:vAlign w:val="center"/>
          </w:tcPr>
          <w:p w14:paraId="1BBC9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水污染治理</w:t>
            </w:r>
          </w:p>
        </w:tc>
      </w:tr>
      <w:tr w14:paraId="263C54F0">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07A7A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4</w:t>
            </w:r>
          </w:p>
        </w:tc>
        <w:tc>
          <w:tcPr>
            <w:tcW w:w="1170" w:type="dxa"/>
            <w:tcBorders>
              <w:top w:val="nil"/>
              <w:left w:val="nil"/>
              <w:bottom w:val="single" w:color="000000" w:sz="4" w:space="0"/>
              <w:right w:val="single" w:color="000000" w:sz="4" w:space="0"/>
            </w:tcBorders>
            <w:shd w:val="clear" w:color="auto" w:fill="FFFFFF"/>
            <w:vAlign w:val="center"/>
          </w:tcPr>
          <w:p w14:paraId="45F58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傅成诚</w:t>
            </w:r>
          </w:p>
        </w:tc>
        <w:tc>
          <w:tcPr>
            <w:tcW w:w="735" w:type="dxa"/>
            <w:tcBorders>
              <w:top w:val="nil"/>
              <w:left w:val="nil"/>
              <w:bottom w:val="single" w:color="000000" w:sz="4" w:space="0"/>
              <w:right w:val="single" w:color="000000" w:sz="4" w:space="0"/>
            </w:tcBorders>
            <w:shd w:val="clear" w:color="auto" w:fill="FFFFFF"/>
            <w:vAlign w:val="center"/>
          </w:tcPr>
          <w:p w14:paraId="2E65C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19B97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5" w:type="dxa"/>
            <w:tcBorders>
              <w:top w:val="nil"/>
              <w:left w:val="nil"/>
              <w:bottom w:val="single" w:color="000000" w:sz="4" w:space="0"/>
              <w:right w:val="single" w:color="000000" w:sz="4" w:space="0"/>
            </w:tcBorders>
            <w:shd w:val="clear" w:color="auto" w:fill="FFFFFF"/>
            <w:vAlign w:val="center"/>
          </w:tcPr>
          <w:p w14:paraId="5BBA3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1985年3月</w:t>
            </w:r>
          </w:p>
        </w:tc>
        <w:tc>
          <w:tcPr>
            <w:tcW w:w="1440" w:type="dxa"/>
            <w:tcBorders>
              <w:top w:val="nil"/>
              <w:left w:val="nil"/>
              <w:bottom w:val="single" w:color="000000" w:sz="4" w:space="0"/>
              <w:right w:val="single" w:color="000000" w:sz="4" w:space="0"/>
            </w:tcBorders>
            <w:shd w:val="clear" w:color="auto" w:fill="FFFFFF"/>
            <w:vAlign w:val="center"/>
          </w:tcPr>
          <w:p w14:paraId="397F1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80" w:type="dxa"/>
            <w:tcBorders>
              <w:top w:val="nil"/>
              <w:left w:val="nil"/>
              <w:bottom w:val="single" w:color="000000" w:sz="4" w:space="0"/>
              <w:right w:val="single" w:color="000000" w:sz="4" w:space="0"/>
            </w:tcBorders>
            <w:shd w:val="clear" w:color="auto" w:fill="FFFFFF"/>
            <w:vAlign w:val="center"/>
          </w:tcPr>
          <w:p w14:paraId="7439A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科室负责人</w:t>
            </w:r>
          </w:p>
        </w:tc>
        <w:tc>
          <w:tcPr>
            <w:tcW w:w="1590" w:type="dxa"/>
            <w:tcBorders>
              <w:top w:val="nil"/>
              <w:left w:val="nil"/>
              <w:bottom w:val="single" w:color="000000" w:sz="4" w:space="0"/>
              <w:right w:val="single" w:color="000000" w:sz="4" w:space="0"/>
            </w:tcBorders>
            <w:shd w:val="clear" w:color="auto" w:fill="FFFFFF"/>
            <w:vAlign w:val="center"/>
          </w:tcPr>
          <w:p w14:paraId="1FE1A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15185012816</w:t>
            </w:r>
          </w:p>
        </w:tc>
        <w:tc>
          <w:tcPr>
            <w:tcW w:w="1484" w:type="dxa"/>
            <w:tcBorders>
              <w:top w:val="nil"/>
              <w:left w:val="nil"/>
              <w:bottom w:val="single" w:color="000000" w:sz="4" w:space="0"/>
              <w:right w:val="single" w:color="000000" w:sz="4" w:space="0"/>
            </w:tcBorders>
            <w:shd w:val="clear" w:color="auto" w:fill="FFFFFF"/>
            <w:vAlign w:val="center"/>
          </w:tcPr>
          <w:p w14:paraId="3D9E8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14:paraId="478793C9">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CD06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5</w:t>
            </w:r>
          </w:p>
        </w:tc>
        <w:tc>
          <w:tcPr>
            <w:tcW w:w="1170" w:type="dxa"/>
            <w:tcBorders>
              <w:top w:val="nil"/>
              <w:left w:val="nil"/>
              <w:bottom w:val="single" w:color="000000" w:sz="4" w:space="0"/>
              <w:right w:val="single" w:color="000000" w:sz="4" w:space="0"/>
            </w:tcBorders>
            <w:shd w:val="clear" w:color="auto" w:fill="FFFFFF"/>
            <w:vAlign w:val="center"/>
          </w:tcPr>
          <w:p w14:paraId="76104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  琼</w:t>
            </w:r>
          </w:p>
        </w:tc>
        <w:tc>
          <w:tcPr>
            <w:tcW w:w="735" w:type="dxa"/>
            <w:tcBorders>
              <w:top w:val="nil"/>
              <w:left w:val="nil"/>
              <w:bottom w:val="single" w:color="000000" w:sz="4" w:space="0"/>
              <w:right w:val="single" w:color="000000" w:sz="4" w:space="0"/>
            </w:tcBorders>
            <w:shd w:val="clear" w:color="auto" w:fill="FFFFFF"/>
            <w:vAlign w:val="center"/>
          </w:tcPr>
          <w:p w14:paraId="1D1D3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0D491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5" w:type="dxa"/>
            <w:tcBorders>
              <w:top w:val="nil"/>
              <w:left w:val="nil"/>
              <w:bottom w:val="single" w:color="000000" w:sz="4" w:space="0"/>
              <w:right w:val="single" w:color="000000" w:sz="4" w:space="0"/>
            </w:tcBorders>
            <w:shd w:val="clear" w:color="auto" w:fill="FFFFFF"/>
            <w:vAlign w:val="center"/>
          </w:tcPr>
          <w:p w14:paraId="51875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1977年10月</w:t>
            </w:r>
          </w:p>
        </w:tc>
        <w:tc>
          <w:tcPr>
            <w:tcW w:w="1440" w:type="dxa"/>
            <w:tcBorders>
              <w:top w:val="nil"/>
              <w:left w:val="nil"/>
              <w:bottom w:val="single" w:color="000000" w:sz="4" w:space="0"/>
              <w:right w:val="single" w:color="000000" w:sz="4" w:space="0"/>
            </w:tcBorders>
            <w:shd w:val="clear" w:color="auto" w:fill="FFFFFF"/>
            <w:vAlign w:val="center"/>
          </w:tcPr>
          <w:p w14:paraId="2146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80" w:type="dxa"/>
            <w:tcBorders>
              <w:top w:val="nil"/>
              <w:left w:val="nil"/>
              <w:bottom w:val="single" w:color="000000" w:sz="4" w:space="0"/>
              <w:right w:val="single" w:color="000000" w:sz="4" w:space="0"/>
            </w:tcBorders>
            <w:shd w:val="clear" w:color="auto" w:fill="FFFFFF"/>
            <w:vAlign w:val="center"/>
          </w:tcPr>
          <w:p w14:paraId="320FF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590" w:type="dxa"/>
            <w:tcBorders>
              <w:top w:val="nil"/>
              <w:left w:val="nil"/>
              <w:bottom w:val="single" w:color="000000" w:sz="4" w:space="0"/>
              <w:right w:val="single" w:color="000000" w:sz="4" w:space="0"/>
            </w:tcBorders>
            <w:shd w:val="clear" w:color="auto" w:fill="FFFFFF"/>
            <w:vAlign w:val="center"/>
          </w:tcPr>
          <w:p w14:paraId="04B8C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13639088826</w:t>
            </w:r>
          </w:p>
        </w:tc>
        <w:tc>
          <w:tcPr>
            <w:tcW w:w="1484" w:type="dxa"/>
            <w:tcBorders>
              <w:top w:val="nil"/>
              <w:left w:val="nil"/>
              <w:bottom w:val="single" w:color="000000" w:sz="4" w:space="0"/>
              <w:right w:val="single" w:color="000000" w:sz="4" w:space="0"/>
            </w:tcBorders>
            <w:shd w:val="clear" w:color="auto" w:fill="FFFFFF"/>
            <w:vAlign w:val="center"/>
          </w:tcPr>
          <w:p w14:paraId="00E45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14:paraId="33560E50">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4206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6</w:t>
            </w:r>
          </w:p>
        </w:tc>
        <w:tc>
          <w:tcPr>
            <w:tcW w:w="1170" w:type="dxa"/>
            <w:tcBorders>
              <w:top w:val="nil"/>
              <w:left w:val="nil"/>
              <w:bottom w:val="single" w:color="000000" w:sz="4" w:space="0"/>
              <w:right w:val="single" w:color="000000" w:sz="4" w:space="0"/>
            </w:tcBorders>
            <w:shd w:val="clear" w:color="auto" w:fill="FFFFFF"/>
            <w:vAlign w:val="center"/>
          </w:tcPr>
          <w:p w14:paraId="5B9A9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耿康华</w:t>
            </w:r>
          </w:p>
        </w:tc>
        <w:tc>
          <w:tcPr>
            <w:tcW w:w="735" w:type="dxa"/>
            <w:tcBorders>
              <w:top w:val="nil"/>
              <w:left w:val="nil"/>
              <w:bottom w:val="single" w:color="000000" w:sz="4" w:space="0"/>
              <w:right w:val="single" w:color="000000" w:sz="4" w:space="0"/>
            </w:tcBorders>
            <w:shd w:val="clear" w:color="auto" w:fill="FFFFFF"/>
            <w:vAlign w:val="center"/>
          </w:tcPr>
          <w:p w14:paraId="65EA9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6FE4E9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贵州省环境工程评估中心</w:t>
            </w:r>
          </w:p>
        </w:tc>
        <w:tc>
          <w:tcPr>
            <w:tcW w:w="1545" w:type="dxa"/>
            <w:tcBorders>
              <w:top w:val="nil"/>
              <w:left w:val="nil"/>
              <w:bottom w:val="single" w:color="000000" w:sz="4" w:space="0"/>
              <w:right w:val="single" w:color="000000" w:sz="4" w:space="0"/>
            </w:tcBorders>
            <w:shd w:val="clear" w:color="auto" w:fill="FFFFFF"/>
            <w:vAlign w:val="center"/>
          </w:tcPr>
          <w:p w14:paraId="462F7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1960年7月</w:t>
            </w:r>
          </w:p>
        </w:tc>
        <w:tc>
          <w:tcPr>
            <w:tcW w:w="1440" w:type="dxa"/>
            <w:tcBorders>
              <w:top w:val="nil"/>
              <w:left w:val="nil"/>
              <w:bottom w:val="single" w:color="000000" w:sz="4" w:space="0"/>
              <w:right w:val="single" w:color="000000" w:sz="4" w:space="0"/>
            </w:tcBorders>
            <w:shd w:val="clear" w:color="auto" w:fill="FFFFFF"/>
            <w:vAlign w:val="center"/>
          </w:tcPr>
          <w:p w14:paraId="2EB33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80" w:type="dxa"/>
            <w:tcBorders>
              <w:top w:val="nil"/>
              <w:left w:val="nil"/>
              <w:bottom w:val="single" w:color="000000" w:sz="4" w:space="0"/>
              <w:right w:val="single" w:color="000000" w:sz="4" w:space="0"/>
            </w:tcBorders>
            <w:shd w:val="clear" w:color="auto" w:fill="FFFFFF"/>
            <w:vAlign w:val="center"/>
          </w:tcPr>
          <w:p w14:paraId="212D7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590" w:type="dxa"/>
            <w:tcBorders>
              <w:top w:val="nil"/>
              <w:left w:val="nil"/>
              <w:bottom w:val="single" w:color="000000" w:sz="4" w:space="0"/>
              <w:right w:val="single" w:color="000000" w:sz="4" w:space="0"/>
            </w:tcBorders>
            <w:shd w:val="clear" w:color="auto" w:fill="FFFFFF"/>
            <w:vAlign w:val="center"/>
          </w:tcPr>
          <w:p w14:paraId="14A87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13037805159</w:t>
            </w:r>
          </w:p>
        </w:tc>
        <w:tc>
          <w:tcPr>
            <w:tcW w:w="1484" w:type="dxa"/>
            <w:tcBorders>
              <w:top w:val="nil"/>
              <w:left w:val="nil"/>
              <w:bottom w:val="single" w:color="000000" w:sz="4" w:space="0"/>
              <w:right w:val="single" w:color="000000" w:sz="4" w:space="0"/>
            </w:tcBorders>
            <w:shd w:val="clear" w:color="auto" w:fill="FFFFFF"/>
            <w:vAlign w:val="center"/>
          </w:tcPr>
          <w:p w14:paraId="661EF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给水排水</w:t>
            </w:r>
          </w:p>
        </w:tc>
      </w:tr>
      <w:tr w14:paraId="6292D8C5">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5B3D9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7</w:t>
            </w:r>
          </w:p>
        </w:tc>
        <w:tc>
          <w:tcPr>
            <w:tcW w:w="1170" w:type="dxa"/>
            <w:tcBorders>
              <w:top w:val="nil"/>
              <w:left w:val="nil"/>
              <w:bottom w:val="single" w:color="000000" w:sz="4" w:space="0"/>
              <w:right w:val="single" w:color="000000" w:sz="4" w:space="0"/>
            </w:tcBorders>
            <w:shd w:val="clear" w:color="auto" w:fill="FFFFFF"/>
            <w:vAlign w:val="center"/>
          </w:tcPr>
          <w:p w14:paraId="529AF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胡  文</w:t>
            </w:r>
          </w:p>
        </w:tc>
        <w:tc>
          <w:tcPr>
            <w:tcW w:w="735" w:type="dxa"/>
            <w:tcBorders>
              <w:top w:val="nil"/>
              <w:left w:val="nil"/>
              <w:bottom w:val="single" w:color="000000" w:sz="4" w:space="0"/>
              <w:right w:val="single" w:color="000000" w:sz="4" w:space="0"/>
            </w:tcBorders>
            <w:shd w:val="clear" w:color="auto" w:fill="FFFFFF"/>
            <w:vAlign w:val="center"/>
          </w:tcPr>
          <w:p w14:paraId="7063D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204FF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贵州楚天环保公司</w:t>
            </w:r>
          </w:p>
        </w:tc>
        <w:tc>
          <w:tcPr>
            <w:tcW w:w="1545" w:type="dxa"/>
            <w:tcBorders>
              <w:top w:val="nil"/>
              <w:left w:val="nil"/>
              <w:bottom w:val="single" w:color="000000" w:sz="4" w:space="0"/>
              <w:right w:val="single" w:color="000000" w:sz="4" w:space="0"/>
            </w:tcBorders>
            <w:shd w:val="clear" w:color="auto" w:fill="FFFFFF"/>
            <w:vAlign w:val="center"/>
          </w:tcPr>
          <w:p w14:paraId="5E42D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1967年3月</w:t>
            </w:r>
          </w:p>
        </w:tc>
        <w:tc>
          <w:tcPr>
            <w:tcW w:w="1440" w:type="dxa"/>
            <w:tcBorders>
              <w:top w:val="nil"/>
              <w:left w:val="nil"/>
              <w:bottom w:val="single" w:color="000000" w:sz="4" w:space="0"/>
              <w:right w:val="single" w:color="000000" w:sz="4" w:space="0"/>
            </w:tcBorders>
            <w:shd w:val="clear" w:color="auto" w:fill="FFFFFF"/>
            <w:vAlign w:val="center"/>
          </w:tcPr>
          <w:p w14:paraId="37D93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80" w:type="dxa"/>
            <w:tcBorders>
              <w:top w:val="nil"/>
              <w:left w:val="nil"/>
              <w:bottom w:val="single" w:color="000000" w:sz="4" w:space="0"/>
              <w:right w:val="single" w:color="000000" w:sz="4" w:space="0"/>
            </w:tcBorders>
            <w:shd w:val="clear" w:color="auto" w:fill="FFFFFF"/>
            <w:vAlign w:val="center"/>
          </w:tcPr>
          <w:p w14:paraId="1F9E0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w:t>
            </w:r>
          </w:p>
        </w:tc>
        <w:tc>
          <w:tcPr>
            <w:tcW w:w="1590" w:type="dxa"/>
            <w:tcBorders>
              <w:top w:val="nil"/>
              <w:left w:val="nil"/>
              <w:bottom w:val="single" w:color="000000" w:sz="4" w:space="0"/>
              <w:right w:val="single" w:color="000000" w:sz="4" w:space="0"/>
            </w:tcBorders>
            <w:shd w:val="clear" w:color="auto" w:fill="FFFFFF"/>
            <w:vAlign w:val="center"/>
          </w:tcPr>
          <w:p w14:paraId="27256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13809478737</w:t>
            </w:r>
          </w:p>
        </w:tc>
        <w:tc>
          <w:tcPr>
            <w:tcW w:w="1484" w:type="dxa"/>
            <w:tcBorders>
              <w:top w:val="nil"/>
              <w:left w:val="nil"/>
              <w:bottom w:val="single" w:color="000000" w:sz="4" w:space="0"/>
              <w:right w:val="single" w:color="000000" w:sz="4" w:space="0"/>
            </w:tcBorders>
            <w:shd w:val="clear" w:color="auto" w:fill="FFFFFF"/>
            <w:vAlign w:val="center"/>
          </w:tcPr>
          <w:p w14:paraId="5B143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废水治理</w:t>
            </w:r>
          </w:p>
        </w:tc>
      </w:tr>
      <w:tr w14:paraId="5832B0E7">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68BD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8</w:t>
            </w:r>
          </w:p>
        </w:tc>
        <w:tc>
          <w:tcPr>
            <w:tcW w:w="1170" w:type="dxa"/>
            <w:tcBorders>
              <w:top w:val="nil"/>
              <w:left w:val="nil"/>
              <w:bottom w:val="single" w:color="000000" w:sz="4" w:space="0"/>
              <w:right w:val="single" w:color="000000" w:sz="4" w:space="0"/>
            </w:tcBorders>
            <w:shd w:val="clear" w:color="auto" w:fill="FFFFFF"/>
            <w:vAlign w:val="center"/>
          </w:tcPr>
          <w:p w14:paraId="37320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杨爱江</w:t>
            </w:r>
          </w:p>
        </w:tc>
        <w:tc>
          <w:tcPr>
            <w:tcW w:w="735" w:type="dxa"/>
            <w:tcBorders>
              <w:top w:val="nil"/>
              <w:left w:val="nil"/>
              <w:bottom w:val="single" w:color="000000" w:sz="4" w:space="0"/>
              <w:right w:val="single" w:color="000000" w:sz="4" w:space="0"/>
            </w:tcBorders>
            <w:shd w:val="clear" w:color="auto" w:fill="FFFFFF"/>
            <w:vAlign w:val="center"/>
          </w:tcPr>
          <w:p w14:paraId="74C88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5512A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贵州大学资环学院</w:t>
            </w:r>
          </w:p>
        </w:tc>
        <w:tc>
          <w:tcPr>
            <w:tcW w:w="1545" w:type="dxa"/>
            <w:tcBorders>
              <w:top w:val="nil"/>
              <w:left w:val="nil"/>
              <w:bottom w:val="single" w:color="000000" w:sz="4" w:space="0"/>
              <w:right w:val="single" w:color="000000" w:sz="4" w:space="0"/>
            </w:tcBorders>
            <w:shd w:val="clear" w:color="auto" w:fill="FFFFFF"/>
            <w:vAlign w:val="center"/>
          </w:tcPr>
          <w:p w14:paraId="0DD2E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1973年6月</w:t>
            </w:r>
          </w:p>
        </w:tc>
        <w:tc>
          <w:tcPr>
            <w:tcW w:w="1440" w:type="dxa"/>
            <w:tcBorders>
              <w:top w:val="nil"/>
              <w:left w:val="nil"/>
              <w:bottom w:val="single" w:color="000000" w:sz="4" w:space="0"/>
              <w:right w:val="single" w:color="000000" w:sz="4" w:space="0"/>
            </w:tcBorders>
            <w:shd w:val="clear" w:color="auto" w:fill="FFFFFF"/>
            <w:vAlign w:val="center"/>
          </w:tcPr>
          <w:p w14:paraId="71208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80" w:type="dxa"/>
            <w:tcBorders>
              <w:top w:val="nil"/>
              <w:left w:val="nil"/>
              <w:bottom w:val="single" w:color="000000" w:sz="4" w:space="0"/>
              <w:right w:val="single" w:color="000000" w:sz="4" w:space="0"/>
            </w:tcBorders>
            <w:shd w:val="clear" w:color="auto" w:fill="FFFFFF"/>
            <w:vAlign w:val="center"/>
          </w:tcPr>
          <w:p w14:paraId="0BA30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590" w:type="dxa"/>
            <w:tcBorders>
              <w:top w:val="nil"/>
              <w:left w:val="nil"/>
              <w:bottom w:val="single" w:color="000000" w:sz="4" w:space="0"/>
              <w:right w:val="single" w:color="000000" w:sz="4" w:space="0"/>
            </w:tcBorders>
            <w:shd w:val="clear" w:color="auto" w:fill="FFFFFF"/>
            <w:vAlign w:val="center"/>
          </w:tcPr>
          <w:p w14:paraId="352AD4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13985028407</w:t>
            </w:r>
          </w:p>
        </w:tc>
        <w:tc>
          <w:tcPr>
            <w:tcW w:w="1484" w:type="dxa"/>
            <w:tcBorders>
              <w:top w:val="nil"/>
              <w:left w:val="nil"/>
              <w:bottom w:val="single" w:color="000000" w:sz="4" w:space="0"/>
              <w:right w:val="single" w:color="000000" w:sz="4" w:space="0"/>
            </w:tcBorders>
            <w:shd w:val="clear" w:color="auto" w:fill="FFFFFF"/>
            <w:vAlign w:val="center"/>
          </w:tcPr>
          <w:p w14:paraId="2B458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5A3F0162">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0303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9</w:t>
            </w:r>
          </w:p>
        </w:tc>
        <w:tc>
          <w:tcPr>
            <w:tcW w:w="1170" w:type="dxa"/>
            <w:tcBorders>
              <w:top w:val="nil"/>
              <w:left w:val="nil"/>
              <w:bottom w:val="single" w:color="000000" w:sz="4" w:space="0"/>
              <w:right w:val="single" w:color="000000" w:sz="4" w:space="0"/>
            </w:tcBorders>
            <w:shd w:val="clear" w:color="auto" w:fill="FFFFFF"/>
            <w:vAlign w:val="center"/>
          </w:tcPr>
          <w:p w14:paraId="638B0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葛  皓</w:t>
            </w:r>
          </w:p>
        </w:tc>
        <w:tc>
          <w:tcPr>
            <w:tcW w:w="735" w:type="dxa"/>
            <w:tcBorders>
              <w:top w:val="nil"/>
              <w:left w:val="nil"/>
              <w:bottom w:val="single" w:color="000000" w:sz="4" w:space="0"/>
              <w:right w:val="single" w:color="000000" w:sz="4" w:space="0"/>
            </w:tcBorders>
            <w:shd w:val="clear" w:color="auto" w:fill="FFFFFF"/>
            <w:vAlign w:val="center"/>
          </w:tcPr>
          <w:p w14:paraId="0204B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18985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贵州师范大学生命科学学院</w:t>
            </w:r>
          </w:p>
        </w:tc>
        <w:tc>
          <w:tcPr>
            <w:tcW w:w="1545" w:type="dxa"/>
            <w:tcBorders>
              <w:top w:val="nil"/>
              <w:left w:val="nil"/>
              <w:bottom w:val="single" w:color="000000" w:sz="4" w:space="0"/>
              <w:right w:val="single" w:color="000000" w:sz="4" w:space="0"/>
            </w:tcBorders>
            <w:shd w:val="clear" w:color="auto" w:fill="FFFFFF"/>
            <w:vAlign w:val="center"/>
          </w:tcPr>
          <w:p w14:paraId="293E8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1970年10月</w:t>
            </w:r>
          </w:p>
        </w:tc>
        <w:tc>
          <w:tcPr>
            <w:tcW w:w="1440" w:type="dxa"/>
            <w:tcBorders>
              <w:top w:val="nil"/>
              <w:left w:val="nil"/>
              <w:bottom w:val="single" w:color="000000" w:sz="4" w:space="0"/>
              <w:right w:val="single" w:color="000000" w:sz="4" w:space="0"/>
            </w:tcBorders>
            <w:shd w:val="clear" w:color="auto" w:fill="FFFFFF"/>
            <w:vAlign w:val="center"/>
          </w:tcPr>
          <w:p w14:paraId="167A3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80" w:type="dxa"/>
            <w:tcBorders>
              <w:top w:val="nil"/>
              <w:left w:val="nil"/>
              <w:bottom w:val="single" w:color="000000" w:sz="4" w:space="0"/>
              <w:right w:val="single" w:color="000000" w:sz="4" w:space="0"/>
            </w:tcBorders>
            <w:shd w:val="clear" w:color="auto" w:fill="FFFFFF"/>
            <w:vAlign w:val="center"/>
          </w:tcPr>
          <w:p w14:paraId="4EF9F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副处</w:t>
            </w:r>
          </w:p>
        </w:tc>
        <w:tc>
          <w:tcPr>
            <w:tcW w:w="1590" w:type="dxa"/>
            <w:tcBorders>
              <w:top w:val="nil"/>
              <w:left w:val="nil"/>
              <w:bottom w:val="single" w:color="000000" w:sz="4" w:space="0"/>
              <w:right w:val="single" w:color="000000" w:sz="4" w:space="0"/>
            </w:tcBorders>
            <w:shd w:val="clear" w:color="auto" w:fill="FFFFFF"/>
            <w:vAlign w:val="center"/>
          </w:tcPr>
          <w:p w14:paraId="20E4D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13885028407</w:t>
            </w:r>
          </w:p>
        </w:tc>
        <w:tc>
          <w:tcPr>
            <w:tcW w:w="1484" w:type="dxa"/>
            <w:tcBorders>
              <w:top w:val="nil"/>
              <w:left w:val="nil"/>
              <w:bottom w:val="single" w:color="000000" w:sz="4" w:space="0"/>
              <w:right w:val="single" w:color="000000" w:sz="4" w:space="0"/>
            </w:tcBorders>
            <w:shd w:val="clear" w:color="auto" w:fill="FFFFFF"/>
            <w:vAlign w:val="center"/>
          </w:tcPr>
          <w:p w14:paraId="77C85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生态学</w:t>
            </w:r>
          </w:p>
        </w:tc>
      </w:tr>
      <w:tr w14:paraId="75999DF1">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2ED2F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170" w:type="dxa"/>
            <w:tcBorders>
              <w:top w:val="nil"/>
              <w:left w:val="nil"/>
              <w:bottom w:val="single" w:color="000000" w:sz="4" w:space="0"/>
              <w:right w:val="single" w:color="000000" w:sz="4" w:space="0"/>
            </w:tcBorders>
            <w:shd w:val="clear" w:color="auto" w:fill="FFFFFF"/>
            <w:vAlign w:val="center"/>
          </w:tcPr>
          <w:p w14:paraId="7DAED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张延林</w:t>
            </w:r>
          </w:p>
        </w:tc>
        <w:tc>
          <w:tcPr>
            <w:tcW w:w="735" w:type="dxa"/>
            <w:tcBorders>
              <w:top w:val="nil"/>
              <w:left w:val="nil"/>
              <w:bottom w:val="single" w:color="000000" w:sz="4" w:space="0"/>
              <w:right w:val="single" w:color="000000" w:sz="4" w:space="0"/>
            </w:tcBorders>
            <w:shd w:val="clear" w:color="auto" w:fill="FFFFFF"/>
            <w:vAlign w:val="center"/>
          </w:tcPr>
          <w:p w14:paraId="78FC5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143C8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贵州省轻纺设计院</w:t>
            </w:r>
          </w:p>
        </w:tc>
        <w:tc>
          <w:tcPr>
            <w:tcW w:w="1545" w:type="dxa"/>
            <w:tcBorders>
              <w:top w:val="nil"/>
              <w:left w:val="nil"/>
              <w:bottom w:val="single" w:color="000000" w:sz="4" w:space="0"/>
              <w:right w:val="single" w:color="000000" w:sz="4" w:space="0"/>
            </w:tcBorders>
            <w:shd w:val="clear" w:color="auto" w:fill="FFFFFF"/>
            <w:vAlign w:val="center"/>
          </w:tcPr>
          <w:p w14:paraId="68E66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1957年10月</w:t>
            </w:r>
          </w:p>
        </w:tc>
        <w:tc>
          <w:tcPr>
            <w:tcW w:w="1440" w:type="dxa"/>
            <w:tcBorders>
              <w:top w:val="nil"/>
              <w:left w:val="nil"/>
              <w:bottom w:val="single" w:color="000000" w:sz="4" w:space="0"/>
              <w:right w:val="single" w:color="000000" w:sz="4" w:space="0"/>
            </w:tcBorders>
            <w:shd w:val="clear" w:color="auto" w:fill="FFFFFF"/>
            <w:vAlign w:val="center"/>
          </w:tcPr>
          <w:p w14:paraId="06DE3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教授级高工</w:t>
            </w:r>
          </w:p>
        </w:tc>
        <w:tc>
          <w:tcPr>
            <w:tcW w:w="1680" w:type="dxa"/>
            <w:tcBorders>
              <w:top w:val="nil"/>
              <w:left w:val="nil"/>
              <w:bottom w:val="single" w:color="000000" w:sz="4" w:space="0"/>
              <w:right w:val="single" w:color="000000" w:sz="4" w:space="0"/>
            </w:tcBorders>
            <w:shd w:val="clear" w:color="auto" w:fill="FFFFFF"/>
            <w:vAlign w:val="center"/>
          </w:tcPr>
          <w:p w14:paraId="36582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590" w:type="dxa"/>
            <w:tcBorders>
              <w:top w:val="nil"/>
              <w:left w:val="nil"/>
              <w:bottom w:val="single" w:color="000000" w:sz="4" w:space="0"/>
              <w:right w:val="single" w:color="000000" w:sz="4" w:space="0"/>
            </w:tcBorders>
            <w:shd w:val="clear" w:color="auto" w:fill="FFFFFF"/>
            <w:vAlign w:val="center"/>
          </w:tcPr>
          <w:p w14:paraId="3A526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1380948617</w:t>
            </w:r>
          </w:p>
        </w:tc>
        <w:tc>
          <w:tcPr>
            <w:tcW w:w="1484" w:type="dxa"/>
            <w:tcBorders>
              <w:top w:val="nil"/>
              <w:left w:val="nil"/>
              <w:bottom w:val="single" w:color="000000" w:sz="4" w:space="0"/>
              <w:right w:val="single" w:color="000000" w:sz="4" w:space="0"/>
            </w:tcBorders>
            <w:shd w:val="clear" w:color="auto" w:fill="FFFFFF"/>
          </w:tcPr>
          <w:p w14:paraId="2FECF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给排水</w:t>
            </w:r>
          </w:p>
        </w:tc>
      </w:tr>
      <w:tr w14:paraId="37683D94">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6213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1170" w:type="dxa"/>
            <w:tcBorders>
              <w:top w:val="nil"/>
              <w:left w:val="nil"/>
              <w:bottom w:val="single" w:color="000000" w:sz="4" w:space="0"/>
              <w:right w:val="single" w:color="000000" w:sz="4" w:space="0"/>
            </w:tcBorders>
            <w:shd w:val="clear" w:color="auto" w:fill="FFFFFF"/>
            <w:vAlign w:val="center"/>
          </w:tcPr>
          <w:p w14:paraId="66A24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马福波</w:t>
            </w:r>
          </w:p>
        </w:tc>
        <w:tc>
          <w:tcPr>
            <w:tcW w:w="735" w:type="dxa"/>
            <w:tcBorders>
              <w:top w:val="nil"/>
              <w:left w:val="nil"/>
              <w:bottom w:val="single" w:color="000000" w:sz="4" w:space="0"/>
              <w:right w:val="single" w:color="000000" w:sz="4" w:space="0"/>
            </w:tcBorders>
            <w:shd w:val="clear" w:color="auto" w:fill="FFFFFF"/>
            <w:vAlign w:val="center"/>
          </w:tcPr>
          <w:p w14:paraId="08315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28584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5" w:type="dxa"/>
            <w:tcBorders>
              <w:top w:val="nil"/>
              <w:left w:val="nil"/>
              <w:bottom w:val="single" w:color="000000" w:sz="4" w:space="0"/>
              <w:right w:val="single" w:color="000000" w:sz="4" w:space="0"/>
            </w:tcBorders>
            <w:shd w:val="clear" w:color="auto" w:fill="FFFFFF"/>
            <w:vAlign w:val="center"/>
          </w:tcPr>
          <w:p w14:paraId="6FEF2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1962年9月</w:t>
            </w:r>
          </w:p>
        </w:tc>
        <w:tc>
          <w:tcPr>
            <w:tcW w:w="1440" w:type="dxa"/>
            <w:tcBorders>
              <w:top w:val="nil"/>
              <w:left w:val="nil"/>
              <w:bottom w:val="single" w:color="000000" w:sz="4" w:space="0"/>
              <w:right w:val="single" w:color="000000" w:sz="4" w:space="0"/>
            </w:tcBorders>
            <w:shd w:val="clear" w:color="auto" w:fill="FFFFFF"/>
            <w:vAlign w:val="center"/>
          </w:tcPr>
          <w:p w14:paraId="3CB75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nil"/>
              <w:left w:val="nil"/>
              <w:bottom w:val="single" w:color="000000" w:sz="4" w:space="0"/>
              <w:right w:val="single" w:color="000000" w:sz="4" w:space="0"/>
            </w:tcBorders>
            <w:shd w:val="clear" w:color="auto" w:fill="FFFFFF"/>
            <w:vAlign w:val="center"/>
          </w:tcPr>
          <w:p w14:paraId="6F44A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590" w:type="dxa"/>
            <w:tcBorders>
              <w:top w:val="nil"/>
              <w:left w:val="nil"/>
              <w:bottom w:val="single" w:color="000000" w:sz="4" w:space="0"/>
              <w:right w:val="single" w:color="000000" w:sz="4" w:space="0"/>
            </w:tcBorders>
            <w:shd w:val="clear" w:color="auto" w:fill="FFFFFF"/>
            <w:vAlign w:val="center"/>
          </w:tcPr>
          <w:p w14:paraId="13A1EC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18985173068</w:t>
            </w:r>
          </w:p>
        </w:tc>
        <w:tc>
          <w:tcPr>
            <w:tcW w:w="1484" w:type="dxa"/>
            <w:tcBorders>
              <w:top w:val="nil"/>
              <w:left w:val="nil"/>
              <w:bottom w:val="single" w:color="000000" w:sz="4" w:space="0"/>
              <w:right w:val="single" w:color="000000" w:sz="4" w:space="0"/>
            </w:tcBorders>
            <w:shd w:val="clear" w:color="auto" w:fill="FFFFFF"/>
          </w:tcPr>
          <w:p w14:paraId="652CC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放射化学</w:t>
            </w:r>
          </w:p>
        </w:tc>
      </w:tr>
      <w:tr w14:paraId="791894E2">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B173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1170" w:type="dxa"/>
            <w:tcBorders>
              <w:top w:val="nil"/>
              <w:left w:val="nil"/>
              <w:bottom w:val="single" w:color="000000" w:sz="4" w:space="0"/>
              <w:right w:val="single" w:color="000000" w:sz="4" w:space="0"/>
            </w:tcBorders>
            <w:shd w:val="clear" w:color="auto" w:fill="FFFFFF"/>
            <w:vAlign w:val="center"/>
          </w:tcPr>
          <w:p w14:paraId="32911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邵  冰</w:t>
            </w:r>
          </w:p>
        </w:tc>
        <w:tc>
          <w:tcPr>
            <w:tcW w:w="735" w:type="dxa"/>
            <w:tcBorders>
              <w:top w:val="nil"/>
              <w:left w:val="nil"/>
              <w:bottom w:val="single" w:color="000000" w:sz="4" w:space="0"/>
              <w:right w:val="single" w:color="000000" w:sz="4" w:space="0"/>
            </w:tcBorders>
            <w:shd w:val="clear" w:color="auto" w:fill="FFFFFF"/>
            <w:vAlign w:val="center"/>
          </w:tcPr>
          <w:p w14:paraId="763C5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710B3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5" w:type="dxa"/>
            <w:tcBorders>
              <w:top w:val="nil"/>
              <w:left w:val="nil"/>
              <w:bottom w:val="single" w:color="000000" w:sz="4" w:space="0"/>
              <w:right w:val="single" w:color="000000" w:sz="4" w:space="0"/>
            </w:tcBorders>
            <w:shd w:val="clear" w:color="auto" w:fill="FFFFFF"/>
            <w:vAlign w:val="center"/>
          </w:tcPr>
          <w:p w14:paraId="57E3D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1968年9月</w:t>
            </w:r>
          </w:p>
        </w:tc>
        <w:tc>
          <w:tcPr>
            <w:tcW w:w="1440" w:type="dxa"/>
            <w:tcBorders>
              <w:top w:val="nil"/>
              <w:left w:val="nil"/>
              <w:bottom w:val="single" w:color="000000" w:sz="4" w:space="0"/>
              <w:right w:val="single" w:color="000000" w:sz="4" w:space="0"/>
            </w:tcBorders>
            <w:shd w:val="clear" w:color="auto" w:fill="FFFFFF"/>
            <w:vAlign w:val="center"/>
          </w:tcPr>
          <w:p w14:paraId="6F26F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80" w:type="dxa"/>
            <w:tcBorders>
              <w:top w:val="nil"/>
              <w:left w:val="nil"/>
              <w:bottom w:val="single" w:color="000000" w:sz="4" w:space="0"/>
              <w:right w:val="single" w:color="000000" w:sz="4" w:space="0"/>
            </w:tcBorders>
            <w:shd w:val="clear" w:color="auto" w:fill="FFFFFF"/>
            <w:vAlign w:val="center"/>
          </w:tcPr>
          <w:p w14:paraId="09608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副总工程师</w:t>
            </w:r>
          </w:p>
        </w:tc>
        <w:tc>
          <w:tcPr>
            <w:tcW w:w="1590" w:type="dxa"/>
            <w:tcBorders>
              <w:top w:val="nil"/>
              <w:left w:val="nil"/>
              <w:bottom w:val="single" w:color="000000" w:sz="4" w:space="0"/>
              <w:right w:val="single" w:color="000000" w:sz="4" w:space="0"/>
            </w:tcBorders>
            <w:shd w:val="clear" w:color="auto" w:fill="FFFFFF"/>
            <w:vAlign w:val="center"/>
          </w:tcPr>
          <w:p w14:paraId="0A41D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13985158111</w:t>
            </w:r>
          </w:p>
        </w:tc>
        <w:tc>
          <w:tcPr>
            <w:tcW w:w="1484" w:type="dxa"/>
            <w:tcBorders>
              <w:top w:val="nil"/>
              <w:left w:val="nil"/>
              <w:bottom w:val="single" w:color="000000" w:sz="4" w:space="0"/>
              <w:right w:val="single" w:color="000000" w:sz="4" w:space="0"/>
            </w:tcBorders>
            <w:shd w:val="clear" w:color="auto" w:fill="FFFFFF"/>
          </w:tcPr>
          <w:p w14:paraId="0BFC4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环境应急</w:t>
            </w:r>
          </w:p>
        </w:tc>
      </w:tr>
      <w:tr w14:paraId="30A811EB">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BCD4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1170" w:type="dxa"/>
            <w:tcBorders>
              <w:top w:val="nil"/>
              <w:left w:val="nil"/>
              <w:bottom w:val="single" w:color="000000" w:sz="4" w:space="0"/>
              <w:right w:val="single" w:color="000000" w:sz="4" w:space="0"/>
            </w:tcBorders>
            <w:shd w:val="clear" w:color="auto" w:fill="FFFFFF"/>
            <w:vAlign w:val="center"/>
          </w:tcPr>
          <w:p w14:paraId="0E6D3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孙  萍</w:t>
            </w:r>
          </w:p>
        </w:tc>
        <w:tc>
          <w:tcPr>
            <w:tcW w:w="735" w:type="dxa"/>
            <w:tcBorders>
              <w:top w:val="nil"/>
              <w:left w:val="nil"/>
              <w:bottom w:val="single" w:color="000000" w:sz="4" w:space="0"/>
              <w:right w:val="single" w:color="000000" w:sz="4" w:space="0"/>
            </w:tcBorders>
            <w:shd w:val="clear" w:color="auto" w:fill="FFFFFF"/>
            <w:vAlign w:val="center"/>
          </w:tcPr>
          <w:p w14:paraId="200E6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60B46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贵阳铝镁设计研究院</w:t>
            </w:r>
          </w:p>
        </w:tc>
        <w:tc>
          <w:tcPr>
            <w:tcW w:w="1545" w:type="dxa"/>
            <w:tcBorders>
              <w:top w:val="nil"/>
              <w:left w:val="nil"/>
              <w:bottom w:val="single" w:color="000000" w:sz="4" w:space="0"/>
              <w:right w:val="single" w:color="000000" w:sz="4" w:space="0"/>
            </w:tcBorders>
            <w:shd w:val="clear" w:color="auto" w:fill="FFFFFF"/>
            <w:vAlign w:val="center"/>
          </w:tcPr>
          <w:p w14:paraId="7B136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1965年3月</w:t>
            </w:r>
          </w:p>
        </w:tc>
        <w:tc>
          <w:tcPr>
            <w:tcW w:w="1440" w:type="dxa"/>
            <w:tcBorders>
              <w:top w:val="nil"/>
              <w:left w:val="nil"/>
              <w:bottom w:val="single" w:color="000000" w:sz="4" w:space="0"/>
              <w:right w:val="single" w:color="000000" w:sz="4" w:space="0"/>
            </w:tcBorders>
            <w:shd w:val="clear" w:color="auto" w:fill="FFFFFF"/>
            <w:vAlign w:val="center"/>
          </w:tcPr>
          <w:p w14:paraId="40389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副教授高工</w:t>
            </w:r>
          </w:p>
        </w:tc>
        <w:tc>
          <w:tcPr>
            <w:tcW w:w="1680" w:type="dxa"/>
            <w:tcBorders>
              <w:top w:val="nil"/>
              <w:left w:val="nil"/>
              <w:bottom w:val="single" w:color="000000" w:sz="4" w:space="0"/>
              <w:right w:val="single" w:color="000000" w:sz="4" w:space="0"/>
            </w:tcBorders>
            <w:shd w:val="clear" w:color="auto" w:fill="FFFFFF"/>
            <w:vAlign w:val="center"/>
          </w:tcPr>
          <w:p w14:paraId="66EDA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主任工程师</w:t>
            </w:r>
          </w:p>
        </w:tc>
        <w:tc>
          <w:tcPr>
            <w:tcW w:w="1590" w:type="dxa"/>
            <w:tcBorders>
              <w:top w:val="nil"/>
              <w:left w:val="nil"/>
              <w:bottom w:val="single" w:color="000000" w:sz="4" w:space="0"/>
              <w:right w:val="single" w:color="000000" w:sz="4" w:space="0"/>
            </w:tcBorders>
            <w:shd w:val="clear" w:color="auto" w:fill="FFFFFF"/>
            <w:vAlign w:val="center"/>
          </w:tcPr>
          <w:p w14:paraId="54F75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13595184666</w:t>
            </w:r>
          </w:p>
        </w:tc>
        <w:tc>
          <w:tcPr>
            <w:tcW w:w="1484" w:type="dxa"/>
            <w:tcBorders>
              <w:top w:val="nil"/>
              <w:left w:val="nil"/>
              <w:bottom w:val="single" w:color="000000" w:sz="4" w:space="0"/>
              <w:right w:val="single" w:color="000000" w:sz="4" w:space="0"/>
            </w:tcBorders>
            <w:shd w:val="clear" w:color="auto" w:fill="FFFFFF"/>
          </w:tcPr>
          <w:p w14:paraId="09DEA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302EB62D">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0C5DC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1170" w:type="dxa"/>
            <w:tcBorders>
              <w:top w:val="nil"/>
              <w:left w:val="nil"/>
              <w:bottom w:val="single" w:color="000000" w:sz="4" w:space="0"/>
              <w:right w:val="single" w:color="000000" w:sz="4" w:space="0"/>
            </w:tcBorders>
            <w:shd w:val="clear" w:color="auto" w:fill="FFFFFF"/>
            <w:vAlign w:val="center"/>
          </w:tcPr>
          <w:p w14:paraId="08953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  薇</w:t>
            </w:r>
          </w:p>
        </w:tc>
        <w:tc>
          <w:tcPr>
            <w:tcW w:w="735" w:type="dxa"/>
            <w:tcBorders>
              <w:top w:val="nil"/>
              <w:left w:val="nil"/>
              <w:bottom w:val="single" w:color="000000" w:sz="4" w:space="0"/>
              <w:right w:val="single" w:color="000000" w:sz="4" w:space="0"/>
            </w:tcBorders>
            <w:shd w:val="clear" w:color="auto" w:fill="FFFFFF"/>
            <w:vAlign w:val="center"/>
          </w:tcPr>
          <w:p w14:paraId="1BD1E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51897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贵州冶金科学研究室</w:t>
            </w:r>
          </w:p>
        </w:tc>
        <w:tc>
          <w:tcPr>
            <w:tcW w:w="1545" w:type="dxa"/>
            <w:tcBorders>
              <w:top w:val="nil"/>
              <w:left w:val="nil"/>
              <w:bottom w:val="single" w:color="000000" w:sz="4" w:space="0"/>
              <w:right w:val="single" w:color="000000" w:sz="4" w:space="0"/>
            </w:tcBorders>
            <w:shd w:val="clear" w:color="auto" w:fill="FFFFFF"/>
            <w:vAlign w:val="center"/>
          </w:tcPr>
          <w:p w14:paraId="5F4BD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1964年11月</w:t>
            </w:r>
          </w:p>
        </w:tc>
        <w:tc>
          <w:tcPr>
            <w:tcW w:w="1440" w:type="dxa"/>
            <w:tcBorders>
              <w:top w:val="nil"/>
              <w:left w:val="nil"/>
              <w:bottom w:val="single" w:color="000000" w:sz="4" w:space="0"/>
              <w:right w:val="single" w:color="000000" w:sz="4" w:space="0"/>
            </w:tcBorders>
            <w:shd w:val="clear" w:color="auto" w:fill="FFFFFF"/>
            <w:vAlign w:val="center"/>
          </w:tcPr>
          <w:p w14:paraId="50A0B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nil"/>
              <w:left w:val="nil"/>
              <w:bottom w:val="single" w:color="000000" w:sz="4" w:space="0"/>
              <w:right w:val="single" w:color="000000" w:sz="4" w:space="0"/>
            </w:tcBorders>
            <w:shd w:val="clear" w:color="auto" w:fill="FFFFFF"/>
            <w:vAlign w:val="center"/>
          </w:tcPr>
          <w:p w14:paraId="47E07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590" w:type="dxa"/>
            <w:tcBorders>
              <w:top w:val="nil"/>
              <w:left w:val="nil"/>
              <w:bottom w:val="single" w:color="000000" w:sz="4" w:space="0"/>
              <w:right w:val="single" w:color="000000" w:sz="4" w:space="0"/>
            </w:tcBorders>
            <w:shd w:val="clear" w:color="auto" w:fill="FFFFFF"/>
            <w:vAlign w:val="center"/>
          </w:tcPr>
          <w:p w14:paraId="2D552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13608511626</w:t>
            </w:r>
          </w:p>
        </w:tc>
        <w:tc>
          <w:tcPr>
            <w:tcW w:w="1484" w:type="dxa"/>
            <w:tcBorders>
              <w:top w:val="nil"/>
              <w:left w:val="nil"/>
              <w:bottom w:val="single" w:color="000000" w:sz="4" w:space="0"/>
              <w:right w:val="single" w:color="000000" w:sz="4" w:space="0"/>
            </w:tcBorders>
            <w:shd w:val="clear" w:color="auto" w:fill="FFFFFF"/>
          </w:tcPr>
          <w:p w14:paraId="3589B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化工</w:t>
            </w:r>
          </w:p>
        </w:tc>
      </w:tr>
      <w:tr w14:paraId="1767838D">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03C6A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1170" w:type="dxa"/>
            <w:tcBorders>
              <w:top w:val="nil"/>
              <w:left w:val="nil"/>
              <w:bottom w:val="single" w:color="000000" w:sz="4" w:space="0"/>
              <w:right w:val="single" w:color="000000" w:sz="4" w:space="0"/>
            </w:tcBorders>
            <w:shd w:val="clear" w:color="auto" w:fill="FFFFFF"/>
            <w:vAlign w:val="center"/>
          </w:tcPr>
          <w:p w14:paraId="0707E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袁  菊</w:t>
            </w:r>
          </w:p>
        </w:tc>
        <w:tc>
          <w:tcPr>
            <w:tcW w:w="735" w:type="dxa"/>
            <w:tcBorders>
              <w:top w:val="nil"/>
              <w:left w:val="nil"/>
              <w:bottom w:val="single" w:color="000000" w:sz="4" w:space="0"/>
              <w:right w:val="single" w:color="000000" w:sz="4" w:space="0"/>
            </w:tcBorders>
            <w:shd w:val="clear" w:color="auto" w:fill="FFFFFF"/>
            <w:vAlign w:val="center"/>
          </w:tcPr>
          <w:p w14:paraId="3CDAB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61056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贵州筑信水务环境产业有限公司</w:t>
            </w:r>
          </w:p>
        </w:tc>
        <w:tc>
          <w:tcPr>
            <w:tcW w:w="1545" w:type="dxa"/>
            <w:tcBorders>
              <w:top w:val="nil"/>
              <w:left w:val="nil"/>
              <w:bottom w:val="single" w:color="000000" w:sz="4" w:space="0"/>
              <w:right w:val="single" w:color="000000" w:sz="4" w:space="0"/>
            </w:tcBorders>
            <w:shd w:val="clear" w:color="auto" w:fill="FFFFFF"/>
            <w:vAlign w:val="center"/>
          </w:tcPr>
          <w:p w14:paraId="108FE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1981年7月</w:t>
            </w:r>
          </w:p>
        </w:tc>
        <w:tc>
          <w:tcPr>
            <w:tcW w:w="1440" w:type="dxa"/>
            <w:tcBorders>
              <w:top w:val="nil"/>
              <w:left w:val="nil"/>
              <w:bottom w:val="single" w:color="000000" w:sz="4" w:space="0"/>
              <w:right w:val="single" w:color="000000" w:sz="4" w:space="0"/>
            </w:tcBorders>
            <w:shd w:val="clear" w:color="auto" w:fill="FFFFFF"/>
            <w:vAlign w:val="center"/>
          </w:tcPr>
          <w:p w14:paraId="15E55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工程师</w:t>
            </w:r>
          </w:p>
        </w:tc>
        <w:tc>
          <w:tcPr>
            <w:tcW w:w="1680" w:type="dxa"/>
            <w:tcBorders>
              <w:top w:val="nil"/>
              <w:left w:val="nil"/>
              <w:bottom w:val="single" w:color="000000" w:sz="4" w:space="0"/>
              <w:right w:val="single" w:color="000000" w:sz="4" w:space="0"/>
            </w:tcBorders>
            <w:shd w:val="clear" w:color="auto" w:fill="FFFFFF"/>
            <w:vAlign w:val="center"/>
          </w:tcPr>
          <w:p w14:paraId="1AEE1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总经理助理</w:t>
            </w:r>
          </w:p>
        </w:tc>
        <w:tc>
          <w:tcPr>
            <w:tcW w:w="1590" w:type="dxa"/>
            <w:tcBorders>
              <w:top w:val="nil"/>
              <w:left w:val="nil"/>
              <w:bottom w:val="single" w:color="000000" w:sz="4" w:space="0"/>
              <w:right w:val="single" w:color="000000" w:sz="4" w:space="0"/>
            </w:tcBorders>
            <w:shd w:val="clear" w:color="auto" w:fill="FFFFFF"/>
            <w:vAlign w:val="center"/>
          </w:tcPr>
          <w:p w14:paraId="71ED9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13885188209</w:t>
            </w:r>
          </w:p>
        </w:tc>
        <w:tc>
          <w:tcPr>
            <w:tcW w:w="1484" w:type="dxa"/>
            <w:tcBorders>
              <w:top w:val="nil"/>
              <w:left w:val="nil"/>
              <w:bottom w:val="single" w:color="000000" w:sz="4" w:space="0"/>
              <w:right w:val="single" w:color="000000" w:sz="4" w:space="0"/>
            </w:tcBorders>
            <w:shd w:val="clear" w:color="auto" w:fill="FFFFFF"/>
          </w:tcPr>
          <w:p w14:paraId="78BC3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环境保护、水处理</w:t>
            </w:r>
          </w:p>
        </w:tc>
      </w:tr>
      <w:tr w14:paraId="3BA5E317">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1FF4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1170" w:type="dxa"/>
            <w:tcBorders>
              <w:top w:val="nil"/>
              <w:left w:val="nil"/>
              <w:bottom w:val="single" w:color="000000" w:sz="4" w:space="0"/>
              <w:right w:val="single" w:color="000000" w:sz="4" w:space="0"/>
            </w:tcBorders>
            <w:shd w:val="clear" w:color="auto" w:fill="FFFFFF"/>
            <w:vAlign w:val="center"/>
          </w:tcPr>
          <w:p w14:paraId="5D7809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宋  文</w:t>
            </w:r>
          </w:p>
        </w:tc>
        <w:tc>
          <w:tcPr>
            <w:tcW w:w="735" w:type="dxa"/>
            <w:tcBorders>
              <w:top w:val="nil"/>
              <w:left w:val="nil"/>
              <w:bottom w:val="single" w:color="000000" w:sz="4" w:space="0"/>
              <w:right w:val="single" w:color="000000" w:sz="4" w:space="0"/>
            </w:tcBorders>
            <w:shd w:val="clear" w:color="auto" w:fill="FFFFFF"/>
            <w:vAlign w:val="center"/>
          </w:tcPr>
          <w:p w14:paraId="3650C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76535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5" w:type="dxa"/>
            <w:tcBorders>
              <w:top w:val="nil"/>
              <w:left w:val="nil"/>
              <w:bottom w:val="single" w:color="000000" w:sz="4" w:space="0"/>
              <w:right w:val="single" w:color="000000" w:sz="4" w:space="0"/>
            </w:tcBorders>
            <w:shd w:val="clear" w:color="auto" w:fill="FFFFFF"/>
            <w:vAlign w:val="center"/>
          </w:tcPr>
          <w:p w14:paraId="61213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1975年2月</w:t>
            </w:r>
          </w:p>
        </w:tc>
        <w:tc>
          <w:tcPr>
            <w:tcW w:w="1440" w:type="dxa"/>
            <w:tcBorders>
              <w:top w:val="nil"/>
              <w:left w:val="nil"/>
              <w:bottom w:val="single" w:color="000000" w:sz="4" w:space="0"/>
              <w:right w:val="single" w:color="000000" w:sz="4" w:space="0"/>
            </w:tcBorders>
            <w:shd w:val="clear" w:color="auto" w:fill="FFFFFF"/>
            <w:vAlign w:val="center"/>
          </w:tcPr>
          <w:p w14:paraId="218E4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w:t>
            </w:r>
          </w:p>
        </w:tc>
        <w:tc>
          <w:tcPr>
            <w:tcW w:w="1680" w:type="dxa"/>
            <w:tcBorders>
              <w:top w:val="nil"/>
              <w:left w:val="nil"/>
              <w:bottom w:val="single" w:color="000000" w:sz="4" w:space="0"/>
              <w:right w:val="single" w:color="000000" w:sz="4" w:space="0"/>
            </w:tcBorders>
            <w:shd w:val="clear" w:color="auto" w:fill="FFFFFF"/>
            <w:vAlign w:val="center"/>
          </w:tcPr>
          <w:p w14:paraId="196E9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高校教师</w:t>
            </w:r>
          </w:p>
        </w:tc>
        <w:tc>
          <w:tcPr>
            <w:tcW w:w="1590" w:type="dxa"/>
            <w:tcBorders>
              <w:top w:val="nil"/>
              <w:left w:val="nil"/>
              <w:bottom w:val="single" w:color="000000" w:sz="4" w:space="0"/>
              <w:right w:val="single" w:color="000000" w:sz="4" w:space="0"/>
            </w:tcBorders>
            <w:shd w:val="clear" w:color="auto" w:fill="FFFFFF"/>
            <w:vAlign w:val="center"/>
          </w:tcPr>
          <w:p w14:paraId="155DD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13984007688</w:t>
            </w:r>
          </w:p>
        </w:tc>
        <w:tc>
          <w:tcPr>
            <w:tcW w:w="1484" w:type="dxa"/>
            <w:tcBorders>
              <w:top w:val="nil"/>
              <w:left w:val="nil"/>
              <w:bottom w:val="single" w:color="000000" w:sz="4" w:space="0"/>
              <w:right w:val="single" w:color="000000" w:sz="4" w:space="0"/>
            </w:tcBorders>
            <w:shd w:val="clear" w:color="auto" w:fill="FFFFFF"/>
          </w:tcPr>
          <w:p w14:paraId="496A0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0F410665">
        <w:tblPrEx>
          <w:shd w:val="clear" w:color="auto" w:fill="FFFFFF"/>
          <w:tblCellMar>
            <w:top w:w="0" w:type="dxa"/>
            <w:left w:w="108" w:type="dxa"/>
            <w:bottom w:w="0" w:type="dxa"/>
            <w:right w:w="108" w:type="dxa"/>
          </w:tblCellMar>
        </w:tblPrEx>
        <w:trPr>
          <w:trHeight w:val="39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5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1170" w:type="dxa"/>
            <w:tcBorders>
              <w:top w:val="single" w:color="000000" w:sz="4" w:space="0"/>
              <w:left w:val="nil"/>
              <w:bottom w:val="single" w:color="000000" w:sz="4" w:space="0"/>
              <w:right w:val="single" w:color="000000" w:sz="4" w:space="0"/>
            </w:tcBorders>
            <w:shd w:val="clear" w:color="auto" w:fill="FFFFFF"/>
            <w:vAlign w:val="center"/>
          </w:tcPr>
          <w:p w14:paraId="01D6C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刘定富</w:t>
            </w:r>
          </w:p>
        </w:tc>
        <w:tc>
          <w:tcPr>
            <w:tcW w:w="735" w:type="dxa"/>
            <w:tcBorders>
              <w:top w:val="single" w:color="000000" w:sz="4" w:space="0"/>
              <w:left w:val="nil"/>
              <w:bottom w:val="single" w:color="000000" w:sz="4" w:space="0"/>
              <w:right w:val="single" w:color="000000" w:sz="4" w:space="0"/>
            </w:tcBorders>
            <w:shd w:val="clear" w:color="auto" w:fill="FFFFFF"/>
            <w:vAlign w:val="center"/>
          </w:tcPr>
          <w:p w14:paraId="66104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single" w:color="000000" w:sz="4" w:space="0"/>
              <w:left w:val="nil"/>
              <w:bottom w:val="single" w:color="000000" w:sz="4" w:space="0"/>
              <w:right w:val="single" w:color="000000" w:sz="4" w:space="0"/>
            </w:tcBorders>
            <w:shd w:val="clear" w:color="auto" w:fill="FFFFFF"/>
            <w:vAlign w:val="center"/>
          </w:tcPr>
          <w:p w14:paraId="2037F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5" w:type="dxa"/>
            <w:tcBorders>
              <w:top w:val="single" w:color="000000" w:sz="4" w:space="0"/>
              <w:left w:val="nil"/>
              <w:bottom w:val="single" w:color="000000" w:sz="4" w:space="0"/>
              <w:right w:val="single" w:color="000000" w:sz="4" w:space="0"/>
            </w:tcBorders>
            <w:shd w:val="clear" w:color="auto" w:fill="FFFFFF"/>
            <w:vAlign w:val="center"/>
          </w:tcPr>
          <w:p w14:paraId="5F006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1962年6月</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5A3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25EFE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590" w:type="dxa"/>
            <w:tcBorders>
              <w:top w:val="single" w:color="000000" w:sz="4" w:space="0"/>
              <w:left w:val="nil"/>
              <w:bottom w:val="single" w:color="000000" w:sz="4" w:space="0"/>
              <w:right w:val="single" w:color="000000" w:sz="4" w:space="0"/>
            </w:tcBorders>
            <w:shd w:val="clear" w:color="auto" w:fill="FFFFFF"/>
            <w:vAlign w:val="center"/>
          </w:tcPr>
          <w:p w14:paraId="1EA0B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13984407703</w:t>
            </w:r>
          </w:p>
        </w:tc>
        <w:tc>
          <w:tcPr>
            <w:tcW w:w="1484" w:type="dxa"/>
            <w:tcBorders>
              <w:top w:val="single" w:color="000000" w:sz="4" w:space="0"/>
              <w:left w:val="nil"/>
              <w:bottom w:val="single" w:color="000000" w:sz="4" w:space="0"/>
              <w:right w:val="single" w:color="000000" w:sz="4" w:space="0"/>
            </w:tcBorders>
            <w:shd w:val="clear" w:color="auto" w:fill="FFFFFF"/>
          </w:tcPr>
          <w:p w14:paraId="18C0A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33C59953">
        <w:tblPrEx>
          <w:shd w:val="clear" w:color="auto" w:fill="FFFFFF"/>
          <w:tblCellMar>
            <w:top w:w="0" w:type="dxa"/>
            <w:left w:w="108" w:type="dxa"/>
            <w:bottom w:w="0" w:type="dxa"/>
            <w:right w:w="108" w:type="dxa"/>
          </w:tblCellMar>
        </w:tblPrEx>
        <w:trPr>
          <w:trHeight w:val="39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2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1170" w:type="dxa"/>
            <w:tcBorders>
              <w:top w:val="single" w:color="000000" w:sz="4" w:space="0"/>
              <w:left w:val="nil"/>
              <w:bottom w:val="single" w:color="000000" w:sz="4" w:space="0"/>
              <w:right w:val="single" w:color="000000" w:sz="4" w:space="0"/>
            </w:tcBorders>
            <w:shd w:val="clear" w:color="auto" w:fill="FFFFFF"/>
            <w:vAlign w:val="center"/>
          </w:tcPr>
          <w:p w14:paraId="0F24B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江  川</w:t>
            </w:r>
          </w:p>
        </w:tc>
        <w:tc>
          <w:tcPr>
            <w:tcW w:w="735" w:type="dxa"/>
            <w:tcBorders>
              <w:top w:val="single" w:color="000000" w:sz="4" w:space="0"/>
              <w:left w:val="nil"/>
              <w:bottom w:val="single" w:color="000000" w:sz="4" w:space="0"/>
              <w:right w:val="single" w:color="000000" w:sz="4" w:space="0"/>
            </w:tcBorders>
            <w:shd w:val="clear" w:color="auto" w:fill="FFFFFF"/>
            <w:vAlign w:val="center"/>
          </w:tcPr>
          <w:p w14:paraId="1C1D3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single" w:color="000000" w:sz="4" w:space="0"/>
              <w:left w:val="nil"/>
              <w:bottom w:val="single" w:color="000000" w:sz="4" w:space="0"/>
              <w:right w:val="single" w:color="000000" w:sz="4" w:space="0"/>
            </w:tcBorders>
            <w:shd w:val="clear" w:color="auto" w:fill="FFFFFF"/>
            <w:vAlign w:val="center"/>
          </w:tcPr>
          <w:p w14:paraId="57CBF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5" w:type="dxa"/>
            <w:tcBorders>
              <w:top w:val="single" w:color="000000" w:sz="4" w:space="0"/>
              <w:left w:val="nil"/>
              <w:bottom w:val="single" w:color="000000" w:sz="4" w:space="0"/>
              <w:right w:val="single" w:color="000000" w:sz="4" w:space="0"/>
            </w:tcBorders>
            <w:shd w:val="clear" w:color="auto" w:fill="FFFFFF"/>
            <w:vAlign w:val="center"/>
          </w:tcPr>
          <w:p w14:paraId="1D1E9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1955年10月</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353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2BB91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590" w:type="dxa"/>
            <w:tcBorders>
              <w:top w:val="single" w:color="000000" w:sz="4" w:space="0"/>
              <w:left w:val="nil"/>
              <w:bottom w:val="single" w:color="000000" w:sz="4" w:space="0"/>
              <w:right w:val="single" w:color="000000" w:sz="4" w:space="0"/>
            </w:tcBorders>
            <w:shd w:val="clear" w:color="auto" w:fill="FFFFFF"/>
            <w:vAlign w:val="center"/>
          </w:tcPr>
          <w:p w14:paraId="07908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13885073151</w:t>
            </w:r>
          </w:p>
        </w:tc>
        <w:tc>
          <w:tcPr>
            <w:tcW w:w="1484" w:type="dxa"/>
            <w:tcBorders>
              <w:top w:val="single" w:color="000000" w:sz="4" w:space="0"/>
              <w:left w:val="nil"/>
              <w:bottom w:val="single" w:color="000000" w:sz="4" w:space="0"/>
              <w:right w:val="single" w:color="000000" w:sz="4" w:space="0"/>
            </w:tcBorders>
            <w:shd w:val="clear" w:color="auto" w:fill="FFFFFF"/>
          </w:tcPr>
          <w:p w14:paraId="22794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bl>
    <w:p w14:paraId="04885F67">
      <w:pPr>
        <w:pStyle w:val="20"/>
        <w:pageBreakBefore w:val="0"/>
        <w:widowControl w:val="0"/>
        <w:kinsoku/>
        <w:wordWrap/>
        <w:overflowPunct/>
        <w:topLinePunct w:val="0"/>
        <w:bidi w:val="0"/>
        <w:jc w:val="center"/>
        <w:textAlignment w:val="auto"/>
        <w:rPr>
          <w:rFonts w:hint="default" w:ascii="Times New Roman" w:hAnsi="Times New Roman" w:eastAsia="仿宋" w:cs="Times New Roman"/>
          <w:lang w:val="en-US" w:eastAsia="zh-CN"/>
        </w:rPr>
      </w:pPr>
    </w:p>
    <w:p w14:paraId="4412BB06">
      <w:pPr>
        <w:pStyle w:val="20"/>
        <w:pageBreakBefore w:val="0"/>
        <w:widowControl w:val="0"/>
        <w:kinsoku/>
        <w:wordWrap/>
        <w:overflowPunct/>
        <w:topLinePunct w:val="0"/>
        <w:bidi w:val="0"/>
        <w:jc w:val="both"/>
        <w:textAlignment w:val="auto"/>
        <w:rPr>
          <w:rFonts w:hint="default" w:ascii="Times New Roman" w:hAnsi="Times New Roman" w:eastAsia="仿宋" w:cs="Times New Roman"/>
          <w:lang w:val="en-US" w:eastAsia="zh-CN"/>
        </w:rPr>
        <w:sectPr>
          <w:pgSz w:w="16838" w:h="11906" w:orient="landscape"/>
          <w:pgMar w:top="720" w:right="1440" w:bottom="720" w:left="1440" w:header="851" w:footer="992" w:gutter="0"/>
          <w:pgNumType w:fmt="decimal"/>
          <w:cols w:space="425" w:num="1"/>
          <w:docGrid w:type="lines" w:linePitch="312" w:charSpace="0"/>
        </w:sectPr>
      </w:pPr>
    </w:p>
    <w:p w14:paraId="5AA84FFE">
      <w:pPr>
        <w:pStyle w:val="5"/>
        <w:bidi w:val="0"/>
        <w:rPr>
          <w:rFonts w:hint="eastAsia"/>
          <w:lang w:val="en-US" w:eastAsia="zh-CN"/>
        </w:rPr>
      </w:pPr>
      <w:bookmarkStart w:id="204" w:name="_Toc9295"/>
      <w:bookmarkStart w:id="205" w:name="_Toc30404"/>
      <w:bookmarkStart w:id="206" w:name="_Toc9990"/>
      <w:r>
        <w:rPr>
          <w:rFonts w:hint="eastAsia"/>
          <w:lang w:val="en-US" w:eastAsia="zh-CN"/>
        </w:rPr>
        <w:t>附件2 应急演练方案</w:t>
      </w:r>
      <w:bookmarkEnd w:id="204"/>
      <w:bookmarkEnd w:id="205"/>
      <w:bookmarkEnd w:id="206"/>
    </w:p>
    <w:p w14:paraId="215B7C2C">
      <w:pPr>
        <w:bidi w:val="0"/>
        <w:ind w:left="0" w:leftChars="0" w:firstLine="0" w:firstLineChars="0"/>
        <w:jc w:val="center"/>
        <w:rPr>
          <w:rFonts w:hint="eastAsia"/>
          <w:b/>
          <w:bCs/>
          <w:sz w:val="30"/>
          <w:szCs w:val="30"/>
          <w:lang w:val="en-US" w:eastAsia="zh-CN"/>
        </w:rPr>
      </w:pPr>
      <w:r>
        <w:rPr>
          <w:rFonts w:hint="eastAsia"/>
          <w:b/>
          <w:bCs/>
          <w:sz w:val="30"/>
          <w:szCs w:val="30"/>
          <w:lang w:val="en-US" w:eastAsia="zh-CN"/>
        </w:rPr>
        <w:t>花溪水库集中式饮用水水源地突发环境事件应急预案演练方案</w:t>
      </w:r>
    </w:p>
    <w:p w14:paraId="74F84456">
      <w:pPr>
        <w:bidi w:val="0"/>
        <w:jc w:val="right"/>
        <w:rPr>
          <w:rFonts w:hint="eastAsia"/>
          <w:sz w:val="30"/>
          <w:szCs w:val="30"/>
          <w:lang w:val="en-US" w:eastAsia="zh-CN"/>
        </w:rPr>
      </w:pPr>
      <w:r>
        <w:rPr>
          <w:rFonts w:hint="eastAsia"/>
          <w:sz w:val="30"/>
          <w:szCs w:val="30"/>
          <w:lang w:val="en-US" w:eastAsia="zh-CN"/>
        </w:rPr>
        <w:t>——以水体富营养化（藻类爆发）事件为例</w:t>
      </w:r>
    </w:p>
    <w:p w14:paraId="1F49BCDB">
      <w:pPr>
        <w:bidi w:val="0"/>
        <w:rPr>
          <w:rFonts w:hint="eastAsia"/>
          <w:sz w:val="30"/>
          <w:szCs w:val="30"/>
          <w:lang w:val="en-US" w:eastAsia="zh-CN"/>
        </w:rPr>
      </w:pPr>
      <w:r>
        <w:rPr>
          <w:rFonts w:hint="eastAsia"/>
          <w:sz w:val="30"/>
          <w:szCs w:val="30"/>
          <w:lang w:val="en-US" w:eastAsia="zh-CN"/>
        </w:rPr>
        <w:t>总则：为提高花溪区各单位对突发环境事件的应急处置能力，适应事件应急处置的需要，加强各应急小组之间的协调配合，编制此演练方案。</w:t>
      </w:r>
    </w:p>
    <w:p w14:paraId="62D3B59D">
      <w:pPr>
        <w:bidi w:val="0"/>
        <w:rPr>
          <w:rFonts w:hint="eastAsia"/>
          <w:b/>
          <w:bCs/>
          <w:sz w:val="30"/>
          <w:szCs w:val="30"/>
          <w:lang w:val="en-US" w:eastAsia="zh-CN"/>
        </w:rPr>
      </w:pPr>
      <w:r>
        <w:rPr>
          <w:rFonts w:hint="eastAsia"/>
          <w:b/>
          <w:bCs/>
          <w:sz w:val="30"/>
          <w:szCs w:val="30"/>
          <w:lang w:val="en-US" w:eastAsia="zh-CN"/>
        </w:rPr>
        <w:t>一、编制依据</w:t>
      </w:r>
    </w:p>
    <w:p w14:paraId="600179A6">
      <w:pPr>
        <w:bidi w:val="0"/>
        <w:rPr>
          <w:rFonts w:hint="eastAsia"/>
          <w:sz w:val="30"/>
          <w:szCs w:val="30"/>
          <w:lang w:val="en-US" w:eastAsia="zh-CN"/>
        </w:rPr>
      </w:pPr>
      <w:r>
        <w:rPr>
          <w:rFonts w:hint="eastAsia"/>
          <w:sz w:val="30"/>
          <w:szCs w:val="30"/>
          <w:lang w:val="en-US" w:eastAsia="zh-CN"/>
        </w:rPr>
        <w:t>《花溪区集中式饮用水水源地突发环境事件应急预案》</w:t>
      </w:r>
    </w:p>
    <w:p w14:paraId="0091FD1B">
      <w:pPr>
        <w:bidi w:val="0"/>
        <w:rPr>
          <w:rFonts w:hint="eastAsia"/>
          <w:b/>
          <w:bCs/>
          <w:sz w:val="30"/>
          <w:szCs w:val="30"/>
          <w:lang w:val="en-US" w:eastAsia="zh-CN"/>
        </w:rPr>
      </w:pPr>
      <w:r>
        <w:rPr>
          <w:rFonts w:hint="eastAsia"/>
          <w:b/>
          <w:bCs/>
          <w:sz w:val="30"/>
          <w:szCs w:val="30"/>
          <w:lang w:val="en-US" w:eastAsia="zh-CN"/>
        </w:rPr>
        <w:t>二、演练时间</w:t>
      </w:r>
    </w:p>
    <w:p w14:paraId="62404B78">
      <w:pPr>
        <w:bidi w:val="0"/>
        <w:rPr>
          <w:rFonts w:hint="eastAsia"/>
          <w:sz w:val="30"/>
          <w:szCs w:val="30"/>
          <w:lang w:val="en-US" w:eastAsia="zh-CN"/>
        </w:rPr>
      </w:pPr>
      <w:r>
        <w:rPr>
          <w:rFonts w:hint="eastAsia"/>
          <w:sz w:val="30"/>
          <w:szCs w:val="30"/>
          <w:lang w:val="en-US" w:eastAsia="zh-CN"/>
        </w:rPr>
        <w:t>2022年X月X日</w:t>
      </w:r>
    </w:p>
    <w:p w14:paraId="4C990C25">
      <w:pPr>
        <w:bidi w:val="0"/>
        <w:rPr>
          <w:rFonts w:hint="eastAsia"/>
          <w:b/>
          <w:bCs/>
          <w:sz w:val="30"/>
          <w:szCs w:val="30"/>
          <w:lang w:val="en-US" w:eastAsia="zh-CN"/>
        </w:rPr>
      </w:pPr>
      <w:r>
        <w:rPr>
          <w:rFonts w:hint="eastAsia"/>
          <w:b/>
          <w:bCs/>
          <w:sz w:val="30"/>
          <w:szCs w:val="30"/>
          <w:lang w:val="en-US" w:eastAsia="zh-CN"/>
        </w:rPr>
        <w:t>三、演练地点</w:t>
      </w:r>
    </w:p>
    <w:p w14:paraId="78F65857">
      <w:pPr>
        <w:bidi w:val="0"/>
        <w:rPr>
          <w:rFonts w:hint="eastAsia"/>
          <w:sz w:val="30"/>
          <w:szCs w:val="30"/>
          <w:lang w:val="en-US" w:eastAsia="zh-CN"/>
        </w:rPr>
      </w:pPr>
      <w:r>
        <w:rPr>
          <w:rFonts w:hint="eastAsia"/>
          <w:sz w:val="30"/>
          <w:szCs w:val="30"/>
          <w:lang w:val="en-US" w:eastAsia="zh-CN"/>
        </w:rPr>
        <w:t>花溪水库集中式饮用水水源地</w:t>
      </w:r>
    </w:p>
    <w:p w14:paraId="10710358">
      <w:pPr>
        <w:bidi w:val="0"/>
        <w:rPr>
          <w:rFonts w:hint="eastAsia"/>
          <w:b/>
          <w:bCs/>
          <w:sz w:val="30"/>
          <w:szCs w:val="30"/>
          <w:highlight w:val="none"/>
          <w:lang w:val="en-US" w:eastAsia="zh-CN"/>
        </w:rPr>
      </w:pPr>
      <w:r>
        <w:rPr>
          <w:rFonts w:hint="eastAsia"/>
          <w:b/>
          <w:bCs/>
          <w:sz w:val="30"/>
          <w:szCs w:val="30"/>
          <w:highlight w:val="none"/>
          <w:lang w:val="en-US" w:eastAsia="zh-CN"/>
        </w:rPr>
        <w:t>四、参演单位及人员</w:t>
      </w:r>
    </w:p>
    <w:p w14:paraId="3F178914">
      <w:pPr>
        <w:bidi w:val="0"/>
        <w:rPr>
          <w:rFonts w:hint="eastAsia"/>
          <w:sz w:val="30"/>
          <w:szCs w:val="30"/>
          <w:lang w:val="en-US" w:eastAsia="zh-CN"/>
        </w:rPr>
      </w:pPr>
      <w:r>
        <w:rPr>
          <w:rFonts w:hint="eastAsia"/>
          <w:sz w:val="30"/>
          <w:szCs w:val="30"/>
          <w:lang w:val="en-US" w:eastAsia="zh-CN"/>
        </w:rPr>
        <w:t>为更好地部署、指挥应急演练，成立应急组织结构，具体人员名单如下：</w:t>
      </w:r>
    </w:p>
    <w:tbl>
      <w:tblPr>
        <w:tblStyle w:val="15"/>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4"/>
        <w:gridCol w:w="1234"/>
        <w:gridCol w:w="3185"/>
        <w:gridCol w:w="2253"/>
      </w:tblGrid>
      <w:tr w14:paraId="4C4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8" w:type="pct"/>
            <w:vAlign w:val="center"/>
          </w:tcPr>
          <w:p w14:paraId="2E036B6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1360" w:type="pct"/>
            <w:gridSpan w:val="2"/>
            <w:vAlign w:val="center"/>
          </w:tcPr>
          <w:p w14:paraId="605BBD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14:paraId="0E2C337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14:paraId="6F3E31B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14:paraId="6CC8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3B52E0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14:paraId="3DA8DB0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14:paraId="008EA44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14:paraId="7341ED3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14:paraId="7DD9964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14:paraId="119C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5C699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306A74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14:paraId="4B82609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14:paraId="012D66E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14:paraId="48F5B6B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14:paraId="2BA3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A3A65C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969725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14:paraId="10900C8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1869" w:type="pct"/>
            <w:vAlign w:val="center"/>
          </w:tcPr>
          <w:p w14:paraId="5F7008A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2D5CFBF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4092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108AA8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14:paraId="0D417B0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14:paraId="37B4D52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14:paraId="3C34735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4DD778F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652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3B6E42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FD2A5F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404B21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14:paraId="2E3C5B5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6BA1013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14:paraId="0C0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DAAB82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14:paraId="5F96F5F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14:paraId="65F481E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C9B3FA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2D5F03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60F7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D45B15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5AB357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330B64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920D21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7E36B8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C81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B4D5F6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8FF3A6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594E8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4A01AF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29F91EC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65D1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311EAD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214BC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A16FBC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10965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773861D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FFA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14D6C5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CC363D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121CA0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24313D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14:paraId="756FC97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8FB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76321E7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42EA7E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C1B6F5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0778D24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14:paraId="67ABE75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607A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717BD4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039840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D69897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49A4A9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14:paraId="37C9B13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14:paraId="4102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B6115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14:paraId="3F4698F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14:paraId="77A392A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0B98657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4F9E91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14:paraId="13A7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212BC5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39C055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ADB421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024F86D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3575E6F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14:paraId="74DE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AA55F7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933386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97C494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2300FB6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14:paraId="7566B8A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主任</w:t>
            </w:r>
          </w:p>
        </w:tc>
      </w:tr>
      <w:tr w14:paraId="1AE0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306DFFB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14:paraId="43CD46C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14:paraId="47C2691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003C223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14:paraId="35E873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14:paraId="4493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7C9C8C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EEECAC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D8C302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14:paraId="759D478A">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人民医院</w:t>
            </w:r>
          </w:p>
        </w:tc>
      </w:tr>
      <w:tr w14:paraId="4D23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4AC748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14:paraId="6ABCC29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14:paraId="62EA89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4C4D2F5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291809C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2FB3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70FAD0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56BDB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04E229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C540D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14:paraId="64B630E0">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3D6B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E3C0CD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7D19F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3E3C37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E98C47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2D969F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14A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21CF50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FCE3FE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A7300D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57DD98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14:paraId="0A7E272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949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89934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F2B38F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DCB54F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4AF9A4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14:paraId="1D2F052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10E6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4532501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14:paraId="6A580EE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14:paraId="6FEEF2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0E3DD0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3971B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778B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4EE04D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55A5F1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02AAF60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6FBFDC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14:paraId="62E3B8F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507E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B7F20D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FF2DC6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063B55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54D504A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14:paraId="6B98662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14:paraId="706E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462D9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14:paraId="21A9B2F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14:paraId="2B4C2CE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331FE17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14:paraId="33805FF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副局长</w:t>
            </w:r>
          </w:p>
        </w:tc>
      </w:tr>
      <w:tr w14:paraId="56C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92EA2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4CE711F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CD8ECE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14:paraId="11EB3A6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65DD62F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6963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B5C8F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6A58D7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D40F56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14:paraId="3EC911A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eastAsia="仿宋" w:cs="Times New Roman"/>
                <w:sz w:val="24"/>
                <w:szCs w:val="24"/>
                <w:lang w:val="en-US" w:eastAsia="zh-CN"/>
              </w:rPr>
              <w:t>分管领导</w:t>
            </w:r>
          </w:p>
        </w:tc>
      </w:tr>
      <w:tr w14:paraId="3645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02C259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14:paraId="30BCC55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14:paraId="1565103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0568DF5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14:paraId="186D3AF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副部长</w:t>
            </w:r>
          </w:p>
        </w:tc>
      </w:tr>
      <w:tr w14:paraId="466E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7BA0CB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48281B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230645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586D806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14:paraId="4C75D3E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主任</w:t>
            </w:r>
          </w:p>
        </w:tc>
      </w:tr>
      <w:tr w14:paraId="4AEF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D013D5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63DAF3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08FF66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4856BA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103B6BE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kern w:val="0"/>
                <w:sz w:val="24"/>
                <w:szCs w:val="24"/>
                <w:lang w:eastAsia="zh-CN"/>
              </w:rPr>
            </w:pPr>
            <w:r>
              <w:rPr>
                <w:rFonts w:hint="eastAsia" w:eastAsia="仿宋" w:cs="Times New Roman"/>
                <w:sz w:val="24"/>
                <w:szCs w:val="24"/>
                <w:lang w:val="en-US" w:eastAsia="zh-CN"/>
              </w:rPr>
              <w:t>副局长</w:t>
            </w:r>
          </w:p>
        </w:tc>
      </w:tr>
      <w:tr w14:paraId="6DDB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8DAF82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14:paraId="3CCB5AE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14:paraId="636DFD1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3C392E3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14:paraId="137F005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eastAsia" w:eastAsia="仿宋" w:cs="Times New Roman"/>
                <w:sz w:val="24"/>
                <w:szCs w:val="24"/>
                <w:lang w:val="en-US" w:eastAsia="zh-CN"/>
              </w:rPr>
              <w:t>大</w:t>
            </w:r>
            <w:r>
              <w:rPr>
                <w:rFonts w:hint="default" w:ascii="Times New Roman" w:hAnsi="Times New Roman" w:eastAsia="仿宋" w:cs="Times New Roman"/>
                <w:sz w:val="24"/>
                <w:szCs w:val="24"/>
              </w:rPr>
              <w:t>队长</w:t>
            </w:r>
          </w:p>
        </w:tc>
      </w:tr>
      <w:tr w14:paraId="27F4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26446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7D24D9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24B71B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579FAC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6813E97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14:paraId="06D8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0BC4B9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14:paraId="4C3441E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14:paraId="488111B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14:paraId="2679521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4D7CA44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14:paraId="7B91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625CF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0DF912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3914" w:type="pct"/>
            <w:gridSpan w:val="3"/>
            <w:vAlign w:val="center"/>
          </w:tcPr>
          <w:p w14:paraId="2B6236E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14:paraId="77583DE1">
      <w:pPr>
        <w:bidi w:val="0"/>
        <w:rPr>
          <w:rFonts w:hint="eastAsia"/>
          <w:b/>
          <w:bCs/>
          <w:sz w:val="30"/>
          <w:szCs w:val="30"/>
          <w:lang w:val="en-US" w:eastAsia="zh-CN"/>
        </w:rPr>
      </w:pPr>
      <w:r>
        <w:rPr>
          <w:rFonts w:hint="eastAsia"/>
          <w:b/>
          <w:bCs/>
          <w:sz w:val="30"/>
          <w:szCs w:val="30"/>
          <w:lang w:val="en-US" w:eastAsia="zh-CN"/>
        </w:rPr>
        <w:t>五、演练宗旨</w:t>
      </w:r>
    </w:p>
    <w:p w14:paraId="1F02A6C8">
      <w:pPr>
        <w:bidi w:val="0"/>
        <w:rPr>
          <w:rFonts w:hint="eastAsia"/>
          <w:sz w:val="30"/>
          <w:szCs w:val="30"/>
          <w:lang w:val="en-US" w:eastAsia="zh-CN"/>
        </w:rPr>
      </w:pPr>
      <w:r>
        <w:rPr>
          <w:rFonts w:hint="eastAsia"/>
          <w:sz w:val="30"/>
          <w:szCs w:val="30"/>
          <w:lang w:val="en-US" w:eastAsia="zh-CN"/>
        </w:rPr>
        <w:t>通过应急演练，达到各应急小组在应对饮用水水源地藻类爆发事件时，能及时高效地进行应急处置、降低环境影响的目的。</w:t>
      </w:r>
    </w:p>
    <w:p w14:paraId="6C2BB5BE">
      <w:pPr>
        <w:bidi w:val="0"/>
        <w:rPr>
          <w:rFonts w:hint="eastAsia"/>
          <w:b/>
          <w:bCs/>
          <w:sz w:val="30"/>
          <w:szCs w:val="30"/>
          <w:lang w:val="en-US" w:eastAsia="zh-CN"/>
        </w:rPr>
      </w:pPr>
      <w:r>
        <w:rPr>
          <w:rFonts w:hint="eastAsia"/>
          <w:b/>
          <w:bCs/>
          <w:sz w:val="30"/>
          <w:szCs w:val="30"/>
          <w:lang w:val="en-US" w:eastAsia="zh-CN"/>
        </w:rPr>
        <w:t>六、演练目的</w:t>
      </w:r>
    </w:p>
    <w:p w14:paraId="57B64660">
      <w:pPr>
        <w:bidi w:val="0"/>
        <w:rPr>
          <w:rFonts w:hint="eastAsia"/>
          <w:sz w:val="30"/>
          <w:szCs w:val="30"/>
          <w:lang w:val="en-US" w:eastAsia="zh-CN"/>
        </w:rPr>
      </w:pPr>
      <w:r>
        <w:rPr>
          <w:rFonts w:hint="eastAsia"/>
          <w:sz w:val="30"/>
          <w:szCs w:val="30"/>
          <w:lang w:val="en-US" w:eastAsia="zh-CN"/>
        </w:rPr>
        <w:t>1.通过演练检验应急预案的可操作性，进一步修订完善应急预案，增强实用性。</w:t>
      </w:r>
    </w:p>
    <w:p w14:paraId="59D1B611">
      <w:pPr>
        <w:bidi w:val="0"/>
        <w:rPr>
          <w:rFonts w:hint="eastAsia"/>
          <w:sz w:val="30"/>
          <w:szCs w:val="30"/>
          <w:lang w:val="en-US" w:eastAsia="zh-CN"/>
        </w:rPr>
      </w:pPr>
      <w:r>
        <w:rPr>
          <w:rFonts w:hint="eastAsia"/>
          <w:sz w:val="30"/>
          <w:szCs w:val="30"/>
          <w:lang w:val="en-US" w:eastAsia="zh-CN"/>
        </w:rPr>
        <w:t>2.提高各应急小组的协同配合及作战能力。</w:t>
      </w:r>
    </w:p>
    <w:p w14:paraId="5B79C37E">
      <w:pPr>
        <w:bidi w:val="0"/>
        <w:rPr>
          <w:rFonts w:hint="eastAsia"/>
          <w:b/>
          <w:bCs/>
          <w:sz w:val="30"/>
          <w:szCs w:val="30"/>
          <w:lang w:val="en-US" w:eastAsia="zh-CN"/>
        </w:rPr>
      </w:pPr>
      <w:r>
        <w:rPr>
          <w:rFonts w:hint="eastAsia"/>
          <w:b/>
          <w:bCs/>
          <w:sz w:val="30"/>
          <w:szCs w:val="30"/>
          <w:lang w:val="en-US" w:eastAsia="zh-CN"/>
        </w:rPr>
        <w:t>七、演练基本要求</w:t>
      </w:r>
    </w:p>
    <w:p w14:paraId="38F1D85D">
      <w:pPr>
        <w:bidi w:val="0"/>
        <w:rPr>
          <w:rFonts w:hint="eastAsia"/>
          <w:sz w:val="30"/>
          <w:szCs w:val="30"/>
          <w:lang w:val="en-US" w:eastAsia="zh-CN"/>
        </w:rPr>
      </w:pPr>
      <w:r>
        <w:rPr>
          <w:rFonts w:hint="eastAsia"/>
          <w:sz w:val="30"/>
          <w:szCs w:val="30"/>
          <w:lang w:val="en-US" w:eastAsia="zh-CN"/>
        </w:rPr>
        <w:t>1.报警内容简明扼要，各应急小组出动迅速，熟悉自身在预案中的职责。</w:t>
      </w:r>
    </w:p>
    <w:p w14:paraId="336FA665">
      <w:pPr>
        <w:bidi w:val="0"/>
        <w:rPr>
          <w:rFonts w:hint="eastAsia"/>
          <w:sz w:val="30"/>
          <w:szCs w:val="30"/>
          <w:lang w:val="en-US" w:eastAsia="zh-CN"/>
        </w:rPr>
      </w:pPr>
      <w:r>
        <w:rPr>
          <w:rFonts w:hint="eastAsia"/>
          <w:sz w:val="30"/>
          <w:szCs w:val="30"/>
          <w:lang w:val="en-US" w:eastAsia="zh-CN"/>
        </w:rPr>
        <w:t>2.物资准备</w:t>
      </w:r>
    </w:p>
    <w:p w14:paraId="6A8A37D1">
      <w:pPr>
        <w:bidi w:val="0"/>
        <w:rPr>
          <w:rFonts w:hint="eastAsia"/>
          <w:sz w:val="30"/>
          <w:szCs w:val="30"/>
          <w:lang w:val="en-US" w:eastAsia="zh-CN"/>
        </w:rPr>
      </w:pPr>
      <w:r>
        <w:rPr>
          <w:rFonts w:hint="eastAsia"/>
          <w:sz w:val="30"/>
          <w:szCs w:val="30"/>
          <w:lang w:val="en-US" w:eastAsia="zh-CN"/>
        </w:rPr>
        <w:t>2.1 应急处置物资</w:t>
      </w:r>
    </w:p>
    <w:p w14:paraId="1CD4B06E">
      <w:pPr>
        <w:bidi w:val="0"/>
        <w:rPr>
          <w:rFonts w:hint="eastAsia"/>
          <w:sz w:val="30"/>
          <w:szCs w:val="30"/>
          <w:lang w:val="en-US" w:eastAsia="zh-CN"/>
        </w:rPr>
      </w:pPr>
      <w:r>
        <w:rPr>
          <w:rFonts w:hint="eastAsia"/>
          <w:sz w:val="30"/>
          <w:szCs w:val="30"/>
          <w:lang w:val="en-US" w:eastAsia="zh-CN"/>
        </w:rPr>
        <w:t>（1）打捞工具（密眼渔网兜、船）。</w:t>
      </w:r>
    </w:p>
    <w:p w14:paraId="712798C5">
      <w:pPr>
        <w:bidi w:val="0"/>
        <w:rPr>
          <w:rFonts w:hint="eastAsia"/>
          <w:sz w:val="30"/>
          <w:szCs w:val="30"/>
          <w:lang w:val="en-US" w:eastAsia="zh-CN"/>
        </w:rPr>
      </w:pPr>
      <w:r>
        <w:rPr>
          <w:rFonts w:hint="eastAsia"/>
          <w:sz w:val="30"/>
          <w:szCs w:val="30"/>
          <w:lang w:val="en-US" w:eastAsia="zh-CN"/>
        </w:rPr>
        <w:t>（2）身体防护器具（塑胶手套、救生衣、雨鞋）数量充足，质量可靠。</w:t>
      </w:r>
    </w:p>
    <w:p w14:paraId="14E8B7DA">
      <w:pPr>
        <w:bidi w:val="0"/>
        <w:rPr>
          <w:rFonts w:hint="eastAsia"/>
          <w:sz w:val="30"/>
          <w:szCs w:val="30"/>
          <w:lang w:val="en-US" w:eastAsia="zh-CN"/>
        </w:rPr>
      </w:pPr>
      <w:r>
        <w:rPr>
          <w:rFonts w:hint="eastAsia"/>
          <w:sz w:val="30"/>
          <w:szCs w:val="30"/>
          <w:lang w:val="en-US" w:eastAsia="zh-CN"/>
        </w:rPr>
        <w:t>（3）增氧机、PVC围油栏、灭藻剂等调运迅速，数量充足，质量可靠。</w:t>
      </w:r>
    </w:p>
    <w:p w14:paraId="679216C7">
      <w:pPr>
        <w:bidi w:val="0"/>
        <w:rPr>
          <w:rFonts w:hint="eastAsia"/>
          <w:sz w:val="30"/>
          <w:szCs w:val="30"/>
          <w:lang w:val="en-US" w:eastAsia="zh-CN"/>
        </w:rPr>
      </w:pPr>
      <w:r>
        <w:rPr>
          <w:rFonts w:hint="eastAsia"/>
          <w:sz w:val="30"/>
          <w:szCs w:val="30"/>
          <w:lang w:val="en-US" w:eastAsia="zh-CN"/>
        </w:rPr>
        <w:t>2.2 通讯报警器材</w:t>
      </w:r>
    </w:p>
    <w:p w14:paraId="2DDC0E9B">
      <w:pPr>
        <w:bidi w:val="0"/>
        <w:rPr>
          <w:rFonts w:hint="eastAsia"/>
          <w:sz w:val="30"/>
          <w:szCs w:val="30"/>
          <w:lang w:val="en-US" w:eastAsia="zh-CN"/>
        </w:rPr>
      </w:pPr>
      <w:r>
        <w:rPr>
          <w:rFonts w:hint="eastAsia"/>
          <w:sz w:val="30"/>
          <w:szCs w:val="30"/>
          <w:lang w:val="en-US" w:eastAsia="zh-CN"/>
        </w:rPr>
        <w:t>（1）对讲机信道统一，电量充足，通讯正常。</w:t>
      </w:r>
    </w:p>
    <w:p w14:paraId="0755BDE8">
      <w:pPr>
        <w:bidi w:val="0"/>
        <w:rPr>
          <w:rFonts w:hint="eastAsia"/>
          <w:b/>
          <w:bCs/>
          <w:sz w:val="30"/>
          <w:szCs w:val="30"/>
          <w:lang w:val="en-US" w:eastAsia="zh-CN"/>
        </w:rPr>
      </w:pPr>
      <w:r>
        <w:rPr>
          <w:rFonts w:hint="eastAsia"/>
          <w:b/>
          <w:bCs/>
          <w:sz w:val="30"/>
          <w:szCs w:val="30"/>
          <w:lang w:val="en-US" w:eastAsia="zh-CN"/>
        </w:rPr>
        <w:t>八、岗位职责</w:t>
      </w:r>
    </w:p>
    <w:p w14:paraId="169438AB">
      <w:pPr>
        <w:bidi w:val="0"/>
        <w:rPr>
          <w:rFonts w:hint="eastAsia"/>
          <w:b/>
          <w:bCs/>
          <w:sz w:val="30"/>
          <w:szCs w:val="30"/>
          <w:lang w:val="en-US" w:eastAsia="zh-CN"/>
        </w:rPr>
      </w:pPr>
      <w:r>
        <w:rPr>
          <w:rFonts w:hint="eastAsia"/>
          <w:b/>
          <w:bCs/>
          <w:sz w:val="30"/>
          <w:szCs w:val="30"/>
          <w:lang w:val="en-US" w:eastAsia="zh-CN"/>
        </w:rPr>
        <w:t>（1）指挥长职责</w:t>
      </w:r>
    </w:p>
    <w:p w14:paraId="59B07C5D">
      <w:pPr>
        <w:bidi w:val="0"/>
        <w:rPr>
          <w:rFonts w:hint="eastAsia"/>
          <w:sz w:val="30"/>
          <w:szCs w:val="30"/>
          <w:lang w:val="en-US" w:eastAsia="zh-CN"/>
        </w:rPr>
      </w:pPr>
      <w:r>
        <w:rPr>
          <w:rFonts w:hint="eastAsia"/>
          <w:sz w:val="30"/>
          <w:szCs w:val="30"/>
          <w:lang w:val="en-US" w:eastAsia="zh-CN"/>
        </w:rPr>
        <w:t>①接警后应急指挥部紧急集合各应急救援小组成员立即赶赴事件现场。</w:t>
      </w:r>
    </w:p>
    <w:p w14:paraId="3345DA8D">
      <w:pPr>
        <w:bidi w:val="0"/>
        <w:rPr>
          <w:rFonts w:hint="eastAsia"/>
          <w:sz w:val="30"/>
          <w:szCs w:val="30"/>
          <w:lang w:val="en-US" w:eastAsia="zh-CN"/>
        </w:rPr>
      </w:pPr>
      <w:r>
        <w:rPr>
          <w:rFonts w:hint="eastAsia"/>
          <w:sz w:val="30"/>
          <w:szCs w:val="30"/>
          <w:lang w:val="en-US" w:eastAsia="zh-CN"/>
        </w:rPr>
        <w:t>②组织应急救援小组成员，核实藻类爆发情况，指挥、协调、分配现场的救援、抢修等应急处置工作。</w:t>
      </w:r>
    </w:p>
    <w:p w14:paraId="6D525E30">
      <w:pPr>
        <w:bidi w:val="0"/>
        <w:rPr>
          <w:rFonts w:hint="eastAsia"/>
          <w:sz w:val="30"/>
          <w:szCs w:val="30"/>
          <w:lang w:val="en-US" w:eastAsia="zh-CN"/>
        </w:rPr>
      </w:pPr>
      <w:r>
        <w:rPr>
          <w:rFonts w:hint="eastAsia"/>
          <w:sz w:val="30"/>
          <w:szCs w:val="30"/>
          <w:lang w:val="en-US" w:eastAsia="zh-CN"/>
        </w:rPr>
        <w:t>③负责组织制定应急抢修可行方案。</w:t>
      </w:r>
    </w:p>
    <w:p w14:paraId="7CA0284D">
      <w:pPr>
        <w:bidi w:val="0"/>
        <w:rPr>
          <w:rFonts w:hint="eastAsia"/>
          <w:b/>
          <w:bCs/>
          <w:sz w:val="30"/>
          <w:szCs w:val="30"/>
          <w:lang w:val="en-US" w:eastAsia="zh-CN"/>
        </w:rPr>
      </w:pPr>
      <w:r>
        <w:rPr>
          <w:rFonts w:hint="eastAsia"/>
          <w:b/>
          <w:bCs/>
          <w:sz w:val="30"/>
          <w:szCs w:val="30"/>
          <w:lang w:val="en-US" w:eastAsia="zh-CN"/>
        </w:rPr>
        <w:t>（2）副指挥长职责</w:t>
      </w:r>
    </w:p>
    <w:p w14:paraId="4E8F33DE">
      <w:pPr>
        <w:bidi w:val="0"/>
        <w:rPr>
          <w:rFonts w:hint="eastAsia"/>
          <w:sz w:val="30"/>
          <w:szCs w:val="30"/>
          <w:lang w:val="en-US" w:eastAsia="zh-CN"/>
        </w:rPr>
      </w:pPr>
      <w:r>
        <w:rPr>
          <w:rFonts w:hint="eastAsia"/>
          <w:sz w:val="30"/>
          <w:szCs w:val="30"/>
          <w:lang w:val="en-US" w:eastAsia="zh-CN"/>
        </w:rPr>
        <w:t>①协助指挥长制定现场应急抢险方案，指挥长不在现场时，行使指挥长职责。</w:t>
      </w:r>
    </w:p>
    <w:p w14:paraId="0036B0E8">
      <w:pPr>
        <w:bidi w:val="0"/>
        <w:rPr>
          <w:rFonts w:hint="eastAsia"/>
          <w:sz w:val="30"/>
          <w:szCs w:val="30"/>
          <w:lang w:val="en-US" w:eastAsia="zh-CN"/>
        </w:rPr>
      </w:pPr>
      <w:r>
        <w:rPr>
          <w:rFonts w:hint="eastAsia"/>
          <w:sz w:val="30"/>
          <w:szCs w:val="30"/>
          <w:lang w:val="en-US" w:eastAsia="zh-CN"/>
        </w:rPr>
        <w:t>②负责组织实施应急救援预案的展开及现场警戒力量的指挥。</w:t>
      </w:r>
    </w:p>
    <w:p w14:paraId="30571271">
      <w:pPr>
        <w:bidi w:val="0"/>
        <w:rPr>
          <w:rFonts w:hint="eastAsia"/>
          <w:sz w:val="30"/>
          <w:szCs w:val="30"/>
          <w:lang w:val="en-US" w:eastAsia="zh-CN"/>
        </w:rPr>
      </w:pPr>
      <w:r>
        <w:rPr>
          <w:rFonts w:hint="eastAsia"/>
          <w:sz w:val="30"/>
          <w:szCs w:val="30"/>
          <w:lang w:val="en-US" w:eastAsia="zh-CN"/>
        </w:rPr>
        <w:t>③协调小组成员按分工实施警戒、抢修、救灾等工作，负责抢修、安全、后勤部门的指挥。</w:t>
      </w:r>
    </w:p>
    <w:p w14:paraId="23B74F14">
      <w:pPr>
        <w:bidi w:val="0"/>
        <w:rPr>
          <w:rFonts w:hint="eastAsia"/>
          <w:b/>
          <w:bCs/>
          <w:sz w:val="30"/>
          <w:szCs w:val="30"/>
          <w:lang w:val="en-US" w:eastAsia="zh-CN"/>
        </w:rPr>
      </w:pPr>
      <w:r>
        <w:rPr>
          <w:rFonts w:hint="eastAsia"/>
          <w:b/>
          <w:bCs/>
          <w:sz w:val="30"/>
          <w:szCs w:val="30"/>
          <w:lang w:val="en-US" w:eastAsia="zh-CN"/>
        </w:rPr>
        <w:t>（3）应急办公室职责</w:t>
      </w:r>
    </w:p>
    <w:p w14:paraId="29366844">
      <w:pPr>
        <w:bidi w:val="0"/>
        <w:rPr>
          <w:rFonts w:hint="eastAsia"/>
          <w:sz w:val="30"/>
          <w:szCs w:val="30"/>
          <w:lang w:val="en-US" w:eastAsia="zh-CN"/>
        </w:rPr>
      </w:pPr>
      <w:r>
        <w:rPr>
          <w:rFonts w:hint="eastAsia"/>
          <w:sz w:val="30"/>
          <w:szCs w:val="30"/>
          <w:lang w:val="en-US" w:eastAsia="zh-CN"/>
        </w:rPr>
        <w:t>①受理水源地环境污染上报工作，收集汇总信息；</w:t>
      </w:r>
    </w:p>
    <w:p w14:paraId="395999EB">
      <w:pPr>
        <w:bidi w:val="0"/>
        <w:rPr>
          <w:rFonts w:hint="eastAsia"/>
          <w:sz w:val="30"/>
          <w:szCs w:val="30"/>
          <w:lang w:val="en-US" w:eastAsia="zh-CN"/>
        </w:rPr>
      </w:pPr>
      <w:r>
        <w:rPr>
          <w:rFonts w:hint="eastAsia"/>
          <w:sz w:val="30"/>
          <w:szCs w:val="30"/>
          <w:lang w:val="en-US" w:eastAsia="zh-CN"/>
        </w:rPr>
        <w:t>②遇到涉及水源地突发环境事件时，及时了解情况，判定事件等级，向应急指挥部报告，并提出启动应急预案和处理建议；</w:t>
      </w:r>
    </w:p>
    <w:p w14:paraId="608F48DD">
      <w:pPr>
        <w:bidi w:val="0"/>
        <w:rPr>
          <w:rFonts w:hint="eastAsia"/>
          <w:sz w:val="30"/>
          <w:szCs w:val="30"/>
          <w:lang w:val="en-US" w:eastAsia="zh-CN"/>
        </w:rPr>
      </w:pPr>
      <w:r>
        <w:rPr>
          <w:rFonts w:hint="eastAsia"/>
          <w:sz w:val="30"/>
          <w:szCs w:val="30"/>
          <w:lang w:val="en-US" w:eastAsia="zh-CN"/>
        </w:rPr>
        <w:t>③根据现场情况在外部救援单位协助下拟定应急水源调度方案，确保饮用水安全。</w:t>
      </w:r>
    </w:p>
    <w:p w14:paraId="16460147">
      <w:pPr>
        <w:bidi w:val="0"/>
        <w:rPr>
          <w:rFonts w:hint="eastAsia"/>
          <w:sz w:val="30"/>
          <w:szCs w:val="30"/>
          <w:lang w:val="en-US" w:eastAsia="zh-CN"/>
        </w:rPr>
      </w:pPr>
      <w:r>
        <w:rPr>
          <w:rFonts w:hint="eastAsia"/>
          <w:sz w:val="30"/>
          <w:szCs w:val="30"/>
          <w:lang w:val="en-US" w:eastAsia="zh-CN"/>
        </w:rPr>
        <w:t>④按照应急指挥部下达的命令和指示，组织协调、落实水源地突发环境事件应急工作。</w:t>
      </w:r>
    </w:p>
    <w:p w14:paraId="30FB6AEC">
      <w:pPr>
        <w:bidi w:val="0"/>
        <w:rPr>
          <w:rFonts w:hint="eastAsia"/>
          <w:b/>
          <w:bCs/>
          <w:sz w:val="30"/>
          <w:szCs w:val="30"/>
          <w:lang w:val="en-US" w:eastAsia="zh-CN"/>
        </w:rPr>
      </w:pPr>
      <w:r>
        <w:rPr>
          <w:rFonts w:hint="eastAsia"/>
          <w:b/>
          <w:bCs/>
          <w:sz w:val="30"/>
          <w:szCs w:val="30"/>
          <w:lang w:val="en-US" w:eastAsia="zh-CN"/>
        </w:rPr>
        <w:t>（4）应急处置组职责</w:t>
      </w:r>
    </w:p>
    <w:p w14:paraId="75E38F26">
      <w:pPr>
        <w:bidi w:val="0"/>
        <w:rPr>
          <w:rFonts w:hint="eastAsia"/>
          <w:sz w:val="30"/>
          <w:szCs w:val="30"/>
          <w:lang w:val="en-US" w:eastAsia="zh-CN"/>
        </w:rPr>
      </w:pPr>
      <w:r>
        <w:rPr>
          <w:rFonts w:hint="eastAsia"/>
          <w:sz w:val="30"/>
          <w:szCs w:val="30"/>
          <w:lang w:val="en-US" w:eastAsia="zh-CN"/>
        </w:rPr>
        <w:t>①组织人员按照指挥长、副指挥长的部署实施抢险救援活动；</w:t>
      </w:r>
    </w:p>
    <w:p w14:paraId="4CDF69F6">
      <w:pPr>
        <w:bidi w:val="0"/>
        <w:rPr>
          <w:rFonts w:hint="eastAsia"/>
          <w:sz w:val="30"/>
          <w:szCs w:val="30"/>
          <w:lang w:val="en-US" w:eastAsia="zh-CN"/>
        </w:rPr>
      </w:pPr>
      <w:r>
        <w:rPr>
          <w:rFonts w:hint="eastAsia"/>
          <w:sz w:val="30"/>
          <w:szCs w:val="30"/>
          <w:lang w:val="en-US" w:eastAsia="zh-CN"/>
        </w:rPr>
        <w:t>②对引发环境事件原因进行调查和对事件责任的认定，制定处置工作方案，并组织实施等；</w:t>
      </w:r>
    </w:p>
    <w:p w14:paraId="3D2A51CF">
      <w:pPr>
        <w:bidi w:val="0"/>
        <w:rPr>
          <w:rFonts w:hint="eastAsia"/>
          <w:sz w:val="30"/>
          <w:szCs w:val="30"/>
          <w:lang w:val="en-US" w:eastAsia="zh-CN"/>
        </w:rPr>
      </w:pPr>
      <w:r>
        <w:rPr>
          <w:rFonts w:hint="eastAsia"/>
          <w:sz w:val="30"/>
          <w:szCs w:val="30"/>
          <w:lang w:val="en-US" w:eastAsia="zh-CN"/>
        </w:rPr>
        <w:t>③负责事件现场伤员的抢救和临时处置；</w:t>
      </w:r>
    </w:p>
    <w:p w14:paraId="4F89F070">
      <w:pPr>
        <w:bidi w:val="0"/>
        <w:rPr>
          <w:rFonts w:hint="eastAsia"/>
          <w:sz w:val="30"/>
          <w:szCs w:val="30"/>
          <w:lang w:val="en-US" w:eastAsia="zh-CN"/>
        </w:rPr>
      </w:pPr>
      <w:r>
        <w:rPr>
          <w:rFonts w:hint="eastAsia"/>
          <w:sz w:val="30"/>
          <w:szCs w:val="30"/>
          <w:lang w:val="en-US" w:eastAsia="zh-CN"/>
        </w:rPr>
        <w:t>④协助外部救援单位开展应急救援工作。</w:t>
      </w:r>
    </w:p>
    <w:p w14:paraId="7502517D">
      <w:pPr>
        <w:bidi w:val="0"/>
        <w:rPr>
          <w:rFonts w:hint="eastAsia"/>
          <w:b/>
          <w:bCs/>
          <w:sz w:val="30"/>
          <w:szCs w:val="30"/>
          <w:lang w:val="en-US" w:eastAsia="zh-CN"/>
        </w:rPr>
      </w:pPr>
      <w:r>
        <w:rPr>
          <w:rFonts w:hint="eastAsia"/>
          <w:b/>
          <w:bCs/>
          <w:sz w:val="30"/>
          <w:szCs w:val="30"/>
          <w:lang w:val="en-US" w:eastAsia="zh-CN"/>
        </w:rPr>
        <w:t>（5）治安警戒组职责</w:t>
      </w:r>
    </w:p>
    <w:p w14:paraId="1D2177E1">
      <w:pPr>
        <w:bidi w:val="0"/>
        <w:rPr>
          <w:rFonts w:hint="eastAsia"/>
          <w:sz w:val="30"/>
          <w:szCs w:val="30"/>
          <w:lang w:val="en-US" w:eastAsia="zh-CN"/>
        </w:rPr>
      </w:pPr>
      <w:r>
        <w:rPr>
          <w:rFonts w:hint="eastAsia"/>
          <w:sz w:val="30"/>
          <w:szCs w:val="30"/>
          <w:lang w:val="en-US" w:eastAsia="zh-CN"/>
        </w:rPr>
        <w:t>①负责隔离事件区，维持秩序，疏导交通及方向标识的布置，保护现场并记录现场情况。</w:t>
      </w:r>
    </w:p>
    <w:p w14:paraId="0A701856">
      <w:pPr>
        <w:bidi w:val="0"/>
        <w:rPr>
          <w:rFonts w:hint="eastAsia"/>
          <w:sz w:val="30"/>
          <w:szCs w:val="30"/>
          <w:lang w:val="en-US" w:eastAsia="zh-CN"/>
        </w:rPr>
      </w:pPr>
      <w:r>
        <w:rPr>
          <w:rFonts w:hint="eastAsia"/>
          <w:sz w:val="30"/>
          <w:szCs w:val="30"/>
          <w:lang w:val="en-US" w:eastAsia="zh-CN"/>
        </w:rPr>
        <w:t>②负责事件现场的警戒工作，劝阻围观人员离开警戒区域，阻止无关人员进入现场。</w:t>
      </w:r>
    </w:p>
    <w:p w14:paraId="0C22B132">
      <w:pPr>
        <w:bidi w:val="0"/>
        <w:rPr>
          <w:rFonts w:hint="eastAsia"/>
          <w:sz w:val="30"/>
          <w:szCs w:val="30"/>
          <w:lang w:val="en-US" w:eastAsia="zh-CN"/>
        </w:rPr>
      </w:pPr>
      <w:r>
        <w:rPr>
          <w:rFonts w:hint="eastAsia"/>
          <w:sz w:val="30"/>
          <w:szCs w:val="30"/>
          <w:lang w:val="en-US" w:eastAsia="zh-CN"/>
        </w:rPr>
        <w:t>③负责指挥和安排事件现场人员紧急疏散至安全地带。</w:t>
      </w:r>
    </w:p>
    <w:p w14:paraId="281FDB52">
      <w:pPr>
        <w:bidi w:val="0"/>
        <w:rPr>
          <w:rFonts w:hint="eastAsia"/>
          <w:sz w:val="30"/>
          <w:szCs w:val="30"/>
          <w:lang w:val="en-US" w:eastAsia="zh-CN"/>
        </w:rPr>
      </w:pPr>
      <w:r>
        <w:rPr>
          <w:rFonts w:hint="eastAsia"/>
          <w:sz w:val="30"/>
          <w:szCs w:val="30"/>
          <w:lang w:val="en-US" w:eastAsia="zh-CN"/>
        </w:rPr>
        <w:t>④负责协助外部救援单位通知，并组织周围居民、群众撤离危险地界。</w:t>
      </w:r>
    </w:p>
    <w:p w14:paraId="1C0D980B">
      <w:pPr>
        <w:bidi w:val="0"/>
        <w:rPr>
          <w:rFonts w:hint="eastAsia"/>
          <w:b/>
          <w:bCs/>
          <w:sz w:val="30"/>
          <w:szCs w:val="30"/>
          <w:lang w:val="en-US" w:eastAsia="zh-CN"/>
        </w:rPr>
      </w:pPr>
      <w:r>
        <w:rPr>
          <w:rFonts w:hint="eastAsia"/>
          <w:b/>
          <w:bCs/>
          <w:sz w:val="30"/>
          <w:szCs w:val="30"/>
          <w:lang w:val="en-US" w:eastAsia="zh-CN"/>
        </w:rPr>
        <w:t>（6）后勤保障组职责</w:t>
      </w:r>
    </w:p>
    <w:p w14:paraId="0021E90B">
      <w:pPr>
        <w:bidi w:val="0"/>
        <w:rPr>
          <w:rFonts w:hint="eastAsia"/>
          <w:sz w:val="30"/>
          <w:szCs w:val="30"/>
          <w:lang w:val="en-US" w:eastAsia="zh-CN"/>
        </w:rPr>
      </w:pPr>
      <w:r>
        <w:rPr>
          <w:rFonts w:hint="eastAsia"/>
          <w:sz w:val="30"/>
          <w:szCs w:val="30"/>
          <w:lang w:val="en-US" w:eastAsia="zh-CN"/>
        </w:rPr>
        <w:t>①负责做好有关应急物资的储备、管理和维护，应急时调配应急物资。</w:t>
      </w:r>
    </w:p>
    <w:p w14:paraId="1BD034DF">
      <w:pPr>
        <w:bidi w:val="0"/>
        <w:rPr>
          <w:rFonts w:hint="eastAsia"/>
          <w:sz w:val="30"/>
          <w:szCs w:val="30"/>
          <w:lang w:val="en-US" w:eastAsia="zh-CN"/>
        </w:rPr>
      </w:pPr>
      <w:r>
        <w:rPr>
          <w:rFonts w:hint="eastAsia"/>
          <w:sz w:val="30"/>
          <w:szCs w:val="30"/>
          <w:lang w:val="en-US" w:eastAsia="zh-CN"/>
        </w:rPr>
        <w:t>②负责运输车辆的调配，确保抢险物资、人员的运输。</w:t>
      </w:r>
    </w:p>
    <w:p w14:paraId="3BF4586B">
      <w:pPr>
        <w:bidi w:val="0"/>
        <w:rPr>
          <w:rFonts w:hint="eastAsia"/>
          <w:sz w:val="30"/>
          <w:szCs w:val="30"/>
          <w:lang w:val="en-US" w:eastAsia="zh-CN"/>
        </w:rPr>
      </w:pPr>
      <w:r>
        <w:rPr>
          <w:rFonts w:hint="eastAsia"/>
          <w:sz w:val="30"/>
          <w:szCs w:val="30"/>
          <w:lang w:val="en-US" w:eastAsia="zh-CN"/>
        </w:rPr>
        <w:t>③负责应急设施、设备的日常检查和维护保养，确保应急设施、设备保持正常。</w:t>
      </w:r>
    </w:p>
    <w:p w14:paraId="656ED260">
      <w:pPr>
        <w:bidi w:val="0"/>
        <w:rPr>
          <w:rFonts w:hint="eastAsia"/>
          <w:sz w:val="30"/>
          <w:szCs w:val="30"/>
          <w:lang w:val="en-US" w:eastAsia="zh-CN"/>
        </w:rPr>
      </w:pPr>
      <w:r>
        <w:rPr>
          <w:rFonts w:hint="eastAsia"/>
          <w:sz w:val="30"/>
          <w:szCs w:val="30"/>
          <w:lang w:val="en-US" w:eastAsia="zh-CN"/>
        </w:rPr>
        <w:t>④负责保障水、电、通信的运转及救援人员身体防护、灭火救护器材等物资供应的保障。</w:t>
      </w:r>
    </w:p>
    <w:p w14:paraId="1156D2A8">
      <w:pPr>
        <w:bidi w:val="0"/>
        <w:rPr>
          <w:rFonts w:hint="eastAsia"/>
          <w:b/>
          <w:bCs/>
          <w:sz w:val="30"/>
          <w:szCs w:val="30"/>
          <w:lang w:val="en-US" w:eastAsia="zh-CN"/>
        </w:rPr>
      </w:pPr>
      <w:r>
        <w:rPr>
          <w:rFonts w:hint="eastAsia"/>
          <w:b/>
          <w:bCs/>
          <w:sz w:val="30"/>
          <w:szCs w:val="30"/>
          <w:lang w:val="en-US" w:eastAsia="zh-CN"/>
        </w:rPr>
        <w:t>（7）医疗救护组职责</w:t>
      </w:r>
    </w:p>
    <w:p w14:paraId="039174CB">
      <w:pPr>
        <w:bidi w:val="0"/>
        <w:rPr>
          <w:rFonts w:hint="eastAsia"/>
          <w:sz w:val="30"/>
          <w:szCs w:val="30"/>
          <w:lang w:val="en-US" w:eastAsia="zh-CN"/>
        </w:rPr>
      </w:pPr>
      <w:r>
        <w:rPr>
          <w:rFonts w:hint="eastAsia"/>
          <w:sz w:val="30"/>
          <w:szCs w:val="30"/>
          <w:lang w:val="en-US" w:eastAsia="zh-CN"/>
        </w:rPr>
        <w:t>①事件发生后，迅速做好准备工作，接收伤者后，根据受伤症状及时采取相应的急救措施对伤者进行急救，重伤员及时转院抢救。</w:t>
      </w:r>
    </w:p>
    <w:p w14:paraId="5619BEB9">
      <w:pPr>
        <w:bidi w:val="0"/>
        <w:rPr>
          <w:rFonts w:hint="eastAsia"/>
          <w:sz w:val="30"/>
          <w:szCs w:val="30"/>
          <w:lang w:val="en-US" w:eastAsia="zh-CN"/>
        </w:rPr>
      </w:pPr>
      <w:r>
        <w:rPr>
          <w:rFonts w:hint="eastAsia"/>
          <w:sz w:val="30"/>
          <w:szCs w:val="30"/>
          <w:lang w:val="en-US" w:eastAsia="zh-CN"/>
        </w:rPr>
        <w:t>②当本地急救力量无法满足需要时，向外部医疗单位申请救援并迅速转移伤者。</w:t>
      </w:r>
    </w:p>
    <w:p w14:paraId="4C335C9F">
      <w:pPr>
        <w:bidi w:val="0"/>
        <w:rPr>
          <w:rFonts w:hint="eastAsia"/>
          <w:b/>
          <w:bCs/>
          <w:sz w:val="30"/>
          <w:szCs w:val="30"/>
          <w:lang w:val="en-US" w:eastAsia="zh-CN"/>
        </w:rPr>
      </w:pPr>
      <w:r>
        <w:rPr>
          <w:rFonts w:hint="eastAsia"/>
          <w:b/>
          <w:bCs/>
          <w:sz w:val="30"/>
          <w:szCs w:val="30"/>
          <w:lang w:val="en-US" w:eastAsia="zh-CN"/>
        </w:rPr>
        <w:t>（8）应急监测组职责</w:t>
      </w:r>
    </w:p>
    <w:p w14:paraId="491E804F">
      <w:pPr>
        <w:bidi w:val="0"/>
        <w:rPr>
          <w:rFonts w:hint="eastAsia"/>
          <w:sz w:val="30"/>
          <w:szCs w:val="30"/>
          <w:lang w:val="en-US" w:eastAsia="zh-CN"/>
        </w:rPr>
      </w:pPr>
      <w:r>
        <w:rPr>
          <w:rFonts w:hint="eastAsia"/>
          <w:sz w:val="30"/>
          <w:szCs w:val="30"/>
          <w:lang w:val="en-US" w:eastAsia="zh-CN"/>
        </w:rPr>
        <w:t>①负责组织对事件发展情况及对周边水环境影响的监测，对环境污染物去向进行跟踪监测，及时向突发环境事件应急指挥部报告环境事件的应急监测结果等情况。</w:t>
      </w:r>
    </w:p>
    <w:p w14:paraId="65DD7ADE">
      <w:pPr>
        <w:bidi w:val="0"/>
        <w:rPr>
          <w:rFonts w:hint="eastAsia"/>
          <w:sz w:val="30"/>
          <w:szCs w:val="30"/>
          <w:lang w:val="en-US" w:eastAsia="zh-CN"/>
        </w:rPr>
      </w:pPr>
      <w:r>
        <w:rPr>
          <w:rFonts w:hint="eastAsia"/>
          <w:sz w:val="30"/>
          <w:szCs w:val="30"/>
          <w:lang w:val="en-US" w:eastAsia="zh-CN"/>
        </w:rPr>
        <w:t>②配合当地生态环境部门的监测，并负责事件的环境影响评价及后期处置。</w:t>
      </w:r>
    </w:p>
    <w:p w14:paraId="1F31193B">
      <w:pPr>
        <w:bidi w:val="0"/>
        <w:rPr>
          <w:rFonts w:hint="eastAsia"/>
          <w:b/>
          <w:bCs/>
          <w:sz w:val="30"/>
          <w:szCs w:val="30"/>
          <w:lang w:val="en-US" w:eastAsia="zh-CN"/>
        </w:rPr>
      </w:pPr>
      <w:r>
        <w:rPr>
          <w:rFonts w:hint="eastAsia"/>
          <w:b/>
          <w:bCs/>
          <w:sz w:val="30"/>
          <w:szCs w:val="30"/>
          <w:lang w:val="en-US" w:eastAsia="zh-CN"/>
        </w:rPr>
        <w:t>九、演练过程</w:t>
      </w:r>
    </w:p>
    <w:p w14:paraId="06E7F771">
      <w:pPr>
        <w:bidi w:val="0"/>
        <w:rPr>
          <w:rFonts w:hint="eastAsia"/>
          <w:sz w:val="30"/>
          <w:szCs w:val="30"/>
          <w:lang w:val="en-US" w:eastAsia="zh-CN"/>
        </w:rPr>
      </w:pPr>
      <w:r>
        <w:rPr>
          <w:rFonts w:hint="eastAsia"/>
          <w:sz w:val="30"/>
          <w:szCs w:val="30"/>
          <w:lang w:val="en-US" w:eastAsia="zh-CN"/>
        </w:rPr>
        <w:t>在藻类易爆发期，对水源地水域实施加密监测，加强安全巡查，应急指挥部确认水源地水域有藻类爆发后，迅速通知专家和各应急小组成员做好应急准备，及时跟踪水质污染情况，随时启动应急预案。</w:t>
      </w:r>
    </w:p>
    <w:p w14:paraId="0CE962EF">
      <w:pPr>
        <w:bidi w:val="0"/>
        <w:rPr>
          <w:rFonts w:hint="eastAsia"/>
          <w:sz w:val="30"/>
          <w:szCs w:val="30"/>
          <w:lang w:val="en-US" w:eastAsia="zh-CN"/>
        </w:rPr>
      </w:pPr>
      <w:r>
        <w:rPr>
          <w:rFonts w:hint="eastAsia"/>
          <w:sz w:val="30"/>
          <w:szCs w:val="30"/>
          <w:lang w:val="en-US" w:eastAsia="zh-CN"/>
        </w:rPr>
        <w:t>①当水源受到藻类污染，应急指挥部组织人员在自来水厂取水口周围设立围挡减少藻类聚集。</w:t>
      </w:r>
    </w:p>
    <w:p w14:paraId="523AB52B">
      <w:pPr>
        <w:bidi w:val="0"/>
        <w:rPr>
          <w:rFonts w:hint="eastAsia"/>
          <w:sz w:val="30"/>
          <w:szCs w:val="30"/>
          <w:lang w:val="en-US" w:eastAsia="zh-CN"/>
        </w:rPr>
      </w:pPr>
      <w:r>
        <w:rPr>
          <w:rFonts w:hint="eastAsia"/>
          <w:sz w:val="30"/>
          <w:szCs w:val="30"/>
          <w:lang w:val="en-US" w:eastAsia="zh-CN"/>
        </w:rPr>
        <w:t>②应急处置人员对水源地和上游河流内的藻类实施打捞清除及水面保洁工作。必要时，应急指挥部安排人员对水源地水源投放养殖虑食性鱼类或灭藻剂。</w:t>
      </w:r>
    </w:p>
    <w:p w14:paraId="4A651B93">
      <w:pPr>
        <w:bidi w:val="0"/>
        <w:rPr>
          <w:rFonts w:hint="eastAsia"/>
          <w:sz w:val="30"/>
          <w:szCs w:val="30"/>
          <w:lang w:val="en-US" w:eastAsia="zh-CN"/>
        </w:rPr>
      </w:pPr>
      <w:r>
        <w:rPr>
          <w:rFonts w:hint="eastAsia"/>
          <w:sz w:val="30"/>
          <w:szCs w:val="30"/>
          <w:lang w:val="en-US" w:eastAsia="zh-CN"/>
        </w:rPr>
        <w:t>③应急监测人员做好对水源水质和藻类生长情况的监测，随时关注水源水质的变化，并将监测结果报应急指挥部，供指挥部领导决策和参考。</w:t>
      </w:r>
    </w:p>
    <w:p w14:paraId="02BCA63C">
      <w:pPr>
        <w:bidi w:val="0"/>
        <w:rPr>
          <w:rFonts w:hint="eastAsia"/>
          <w:sz w:val="30"/>
          <w:szCs w:val="30"/>
          <w:lang w:val="en-US" w:eastAsia="zh-CN"/>
        </w:rPr>
      </w:pPr>
      <w:r>
        <w:rPr>
          <w:rFonts w:hint="eastAsia"/>
          <w:sz w:val="30"/>
          <w:szCs w:val="30"/>
          <w:lang w:val="en-US" w:eastAsia="zh-CN"/>
        </w:rPr>
        <w:t>④对打捞出来的藻类送往田头或城市垃圾填埋场处理。</w:t>
      </w:r>
    </w:p>
    <w:p w14:paraId="3BFF1D02">
      <w:pPr>
        <w:bidi w:val="0"/>
        <w:rPr>
          <w:rFonts w:hint="eastAsia"/>
          <w:sz w:val="30"/>
          <w:szCs w:val="30"/>
          <w:lang w:val="en-US" w:eastAsia="zh-CN"/>
        </w:rPr>
      </w:pPr>
      <w:r>
        <w:rPr>
          <w:rFonts w:hint="eastAsia"/>
          <w:sz w:val="30"/>
          <w:szCs w:val="30"/>
          <w:lang w:val="en-US" w:eastAsia="zh-CN"/>
        </w:rPr>
        <w:t>⑤若藻类爆发量有增加的趋势或通过经处理后水质有异味或处理后仍不能饮用，造成供水区域停止供水的情况时。应急办公室根据指挥长或副指挥长的指令，将污染事件详细情况报贵阳市生态环境局花溪分局，建议启用备用水源，以保障正常供水。同时联系外部救援单位，请求救援。</w:t>
      </w:r>
    </w:p>
    <w:p w14:paraId="7CC68616">
      <w:pPr>
        <w:bidi w:val="0"/>
        <w:rPr>
          <w:rFonts w:hint="eastAsia"/>
          <w:sz w:val="30"/>
          <w:szCs w:val="30"/>
          <w:lang w:val="en-US" w:eastAsia="zh-CN"/>
        </w:rPr>
      </w:pPr>
      <w:r>
        <w:rPr>
          <w:rFonts w:hint="eastAsia"/>
          <w:sz w:val="30"/>
          <w:szCs w:val="30"/>
          <w:lang w:val="en-US" w:eastAsia="zh-CN"/>
        </w:rPr>
        <w:t>⑥当外部救援单位到达时，各应急小组成员协助外部救援单位开展工作。</w:t>
      </w:r>
    </w:p>
    <w:p w14:paraId="76E395B0">
      <w:pPr>
        <w:bidi w:val="0"/>
        <w:rPr>
          <w:rFonts w:hint="eastAsia"/>
          <w:b/>
          <w:bCs/>
          <w:sz w:val="30"/>
          <w:szCs w:val="30"/>
          <w:lang w:val="en-US" w:eastAsia="zh-CN"/>
        </w:rPr>
      </w:pPr>
      <w:r>
        <w:rPr>
          <w:rFonts w:hint="eastAsia"/>
          <w:b/>
          <w:bCs/>
          <w:sz w:val="30"/>
          <w:szCs w:val="30"/>
          <w:lang w:val="en-US" w:eastAsia="zh-CN"/>
        </w:rPr>
        <w:t>十、演练总结</w:t>
      </w:r>
    </w:p>
    <w:p w14:paraId="5441A989">
      <w:pPr>
        <w:bidi w:val="0"/>
        <w:rPr>
          <w:rFonts w:hint="eastAsia"/>
          <w:sz w:val="30"/>
          <w:szCs w:val="30"/>
          <w:lang w:val="en-US" w:eastAsia="zh-CN"/>
        </w:rPr>
      </w:pPr>
      <w:r>
        <w:rPr>
          <w:rFonts w:hint="eastAsia"/>
          <w:sz w:val="30"/>
          <w:szCs w:val="30"/>
          <w:lang w:val="en-US" w:eastAsia="zh-CN"/>
        </w:rPr>
        <w:t>演练结束后，指挥部组织所有参战人员召开总结会，对演练过程进行点评，并提出改进意见和建议，最终形成演练总结。</w:t>
      </w:r>
    </w:p>
    <w:p w14:paraId="66B1F1A5">
      <w:pPr>
        <w:pStyle w:val="10"/>
        <w:rPr>
          <w:rFonts w:hint="default"/>
          <w:lang w:val="en-US" w:eastAsia="zh-CN"/>
        </w:rPr>
      </w:pPr>
    </w:p>
    <w:p w14:paraId="3CB2EE1F">
      <w:pPr>
        <w:pStyle w:val="10"/>
        <w:rPr>
          <w:rFonts w:hint="default"/>
          <w:lang w:val="en-US" w:eastAsia="zh-CN"/>
        </w:rPr>
      </w:pPr>
    </w:p>
    <w:p w14:paraId="5A4D4FDF">
      <w:pPr>
        <w:pStyle w:val="10"/>
        <w:rPr>
          <w:rFonts w:hint="default"/>
          <w:lang w:val="en-US" w:eastAsia="zh-CN"/>
        </w:rPr>
      </w:pPr>
    </w:p>
    <w:p w14:paraId="6CDFC9BE">
      <w:pPr>
        <w:pStyle w:val="10"/>
        <w:rPr>
          <w:rFonts w:hint="default"/>
          <w:lang w:val="en-US" w:eastAsia="zh-CN"/>
        </w:rPr>
      </w:pPr>
    </w:p>
    <w:p w14:paraId="13A9A701">
      <w:pPr>
        <w:pStyle w:val="10"/>
        <w:rPr>
          <w:rFonts w:hint="default"/>
          <w:lang w:val="en-US" w:eastAsia="zh-CN"/>
        </w:rPr>
      </w:pPr>
    </w:p>
    <w:p w14:paraId="441B6B3A">
      <w:pPr>
        <w:pStyle w:val="10"/>
        <w:rPr>
          <w:rFonts w:hint="default"/>
          <w:lang w:val="en-US" w:eastAsia="zh-CN"/>
        </w:rPr>
      </w:pPr>
    </w:p>
    <w:p w14:paraId="76593009">
      <w:pPr>
        <w:pStyle w:val="10"/>
        <w:rPr>
          <w:rFonts w:hint="default"/>
          <w:lang w:val="en-US" w:eastAsia="zh-CN"/>
        </w:rPr>
      </w:pPr>
    </w:p>
    <w:p w14:paraId="1224B3DE">
      <w:pPr>
        <w:pStyle w:val="10"/>
        <w:rPr>
          <w:rFonts w:hint="default"/>
          <w:lang w:val="en-US" w:eastAsia="zh-CN"/>
        </w:rPr>
      </w:pPr>
    </w:p>
    <w:p w14:paraId="182DC447">
      <w:pPr>
        <w:pStyle w:val="10"/>
        <w:rPr>
          <w:rFonts w:hint="default"/>
          <w:lang w:val="en-US" w:eastAsia="zh-CN"/>
        </w:rPr>
      </w:pPr>
    </w:p>
    <w:p w14:paraId="767B453E">
      <w:pPr>
        <w:pStyle w:val="10"/>
        <w:rPr>
          <w:rFonts w:hint="default"/>
          <w:lang w:val="en-US" w:eastAsia="zh-CN"/>
        </w:rPr>
      </w:pPr>
    </w:p>
    <w:p w14:paraId="64529667">
      <w:pPr>
        <w:pStyle w:val="10"/>
        <w:rPr>
          <w:rFonts w:hint="default"/>
          <w:lang w:val="en-US" w:eastAsia="zh-CN"/>
        </w:rPr>
      </w:pPr>
    </w:p>
    <w:p w14:paraId="12423608">
      <w:pPr>
        <w:pStyle w:val="10"/>
        <w:rPr>
          <w:rFonts w:hint="default"/>
          <w:lang w:val="en-US" w:eastAsia="zh-CN"/>
        </w:rPr>
      </w:pPr>
    </w:p>
    <w:p w14:paraId="29781181">
      <w:pPr>
        <w:pStyle w:val="10"/>
        <w:rPr>
          <w:rFonts w:hint="default"/>
          <w:lang w:val="en-US" w:eastAsia="zh-CN"/>
        </w:rPr>
      </w:pPr>
    </w:p>
    <w:p w14:paraId="45275E46">
      <w:pPr>
        <w:pStyle w:val="10"/>
        <w:rPr>
          <w:rFonts w:hint="default"/>
          <w:lang w:val="en-US" w:eastAsia="zh-CN"/>
        </w:rPr>
      </w:pPr>
    </w:p>
    <w:p w14:paraId="4DBC4340">
      <w:pPr>
        <w:pStyle w:val="10"/>
        <w:rPr>
          <w:rFonts w:hint="default"/>
          <w:lang w:val="en-US" w:eastAsia="zh-CN"/>
        </w:rPr>
      </w:pPr>
    </w:p>
    <w:p w14:paraId="09E03187">
      <w:pPr>
        <w:pStyle w:val="10"/>
        <w:rPr>
          <w:rFonts w:hint="default"/>
          <w:lang w:val="en-US" w:eastAsia="zh-CN"/>
        </w:rPr>
      </w:pPr>
    </w:p>
    <w:p w14:paraId="6D065DDD">
      <w:pPr>
        <w:pStyle w:val="10"/>
        <w:rPr>
          <w:rFonts w:hint="default"/>
          <w:lang w:val="en-US" w:eastAsia="zh-CN"/>
        </w:rPr>
      </w:pPr>
    </w:p>
    <w:p w14:paraId="0EDC0455">
      <w:pPr>
        <w:pStyle w:val="10"/>
        <w:rPr>
          <w:rFonts w:hint="default"/>
          <w:lang w:val="en-US" w:eastAsia="zh-CN"/>
        </w:rPr>
      </w:pPr>
    </w:p>
    <w:p w14:paraId="414D8D2B">
      <w:pPr>
        <w:pStyle w:val="10"/>
        <w:rPr>
          <w:rFonts w:hint="default"/>
          <w:lang w:val="en-US" w:eastAsia="zh-CN"/>
        </w:rPr>
      </w:pPr>
    </w:p>
    <w:p w14:paraId="3BEC3C32">
      <w:pPr>
        <w:pStyle w:val="10"/>
        <w:rPr>
          <w:rFonts w:hint="default"/>
          <w:lang w:val="en-US" w:eastAsia="zh-CN"/>
        </w:rPr>
      </w:pPr>
    </w:p>
    <w:p w14:paraId="6E207F2A">
      <w:pPr>
        <w:pStyle w:val="10"/>
        <w:rPr>
          <w:rFonts w:hint="default"/>
          <w:lang w:val="en-US" w:eastAsia="zh-CN"/>
        </w:rPr>
      </w:pPr>
    </w:p>
    <w:p w14:paraId="1E5AA6C4">
      <w:pPr>
        <w:pStyle w:val="10"/>
        <w:rPr>
          <w:rFonts w:hint="default"/>
          <w:lang w:val="en-US" w:eastAsia="zh-CN"/>
        </w:rPr>
      </w:pPr>
    </w:p>
    <w:p w14:paraId="539AB24B">
      <w:pPr>
        <w:pStyle w:val="10"/>
        <w:rPr>
          <w:rFonts w:hint="default"/>
          <w:lang w:val="en-US" w:eastAsia="zh-CN"/>
        </w:rPr>
      </w:pPr>
    </w:p>
    <w:p w14:paraId="34CE28EF">
      <w:pPr>
        <w:pStyle w:val="10"/>
        <w:rPr>
          <w:rFonts w:hint="default"/>
          <w:lang w:val="en-US" w:eastAsia="zh-CN"/>
        </w:rPr>
      </w:pPr>
    </w:p>
    <w:p w14:paraId="33A02028">
      <w:pPr>
        <w:pStyle w:val="10"/>
        <w:rPr>
          <w:rFonts w:hint="default"/>
          <w:lang w:val="en-US" w:eastAsia="zh-CN"/>
        </w:rPr>
      </w:pPr>
    </w:p>
    <w:p w14:paraId="295CFE45">
      <w:pPr>
        <w:pStyle w:val="10"/>
        <w:rPr>
          <w:rFonts w:hint="default"/>
          <w:lang w:val="en-US" w:eastAsia="zh-CN"/>
        </w:rPr>
      </w:pPr>
    </w:p>
    <w:p w14:paraId="6D6C6290">
      <w:pPr>
        <w:pStyle w:val="10"/>
        <w:rPr>
          <w:rFonts w:hint="default"/>
          <w:lang w:val="en-US" w:eastAsia="zh-CN"/>
        </w:rPr>
      </w:pPr>
    </w:p>
    <w:p w14:paraId="10645A7B">
      <w:pPr>
        <w:pStyle w:val="10"/>
        <w:rPr>
          <w:rFonts w:hint="default"/>
          <w:lang w:val="en-US" w:eastAsia="zh-CN"/>
        </w:rPr>
      </w:pPr>
    </w:p>
    <w:p w14:paraId="16A6AD0D">
      <w:pPr>
        <w:pStyle w:val="10"/>
        <w:rPr>
          <w:rFonts w:hint="default"/>
          <w:lang w:val="en-US" w:eastAsia="zh-CN"/>
        </w:rPr>
      </w:pPr>
    </w:p>
    <w:p w14:paraId="446586D1">
      <w:pPr>
        <w:pStyle w:val="10"/>
        <w:rPr>
          <w:rFonts w:hint="default"/>
          <w:lang w:val="en-US" w:eastAsia="zh-CN"/>
        </w:rPr>
      </w:pPr>
    </w:p>
    <w:p w14:paraId="35467D4D">
      <w:pPr>
        <w:pStyle w:val="10"/>
        <w:rPr>
          <w:rFonts w:hint="default"/>
          <w:lang w:val="en-US" w:eastAsia="zh-CN"/>
        </w:rPr>
      </w:pPr>
    </w:p>
    <w:p w14:paraId="6FAAFB78">
      <w:pPr>
        <w:ind w:firstLine="0" w:firstLineChars="0"/>
        <w:jc w:val="left"/>
        <w:outlineLvl w:val="1"/>
        <w:rPr>
          <w:b/>
          <w:color w:val="000000"/>
          <w:szCs w:val="24"/>
        </w:rPr>
      </w:pPr>
      <w:bookmarkStart w:id="207" w:name="_Toc66717073"/>
      <w:bookmarkStart w:id="208" w:name="_Toc345405275"/>
      <w:bookmarkStart w:id="209" w:name="_Toc23035"/>
      <w:r>
        <w:rPr>
          <w:b/>
          <w:color w:val="000000"/>
          <w:szCs w:val="24"/>
        </w:rPr>
        <w:t>附件</w:t>
      </w:r>
      <w:r>
        <w:rPr>
          <w:rFonts w:hint="eastAsia"/>
          <w:b/>
          <w:color w:val="000000"/>
          <w:szCs w:val="24"/>
          <w:lang w:val="en-US" w:eastAsia="zh-CN"/>
        </w:rPr>
        <w:t>3</w:t>
      </w:r>
      <w:r>
        <w:rPr>
          <w:b/>
          <w:color w:val="000000"/>
          <w:szCs w:val="24"/>
        </w:rPr>
        <w:t xml:space="preserve"> 格式文件</w:t>
      </w:r>
      <w:bookmarkEnd w:id="207"/>
      <w:bookmarkEnd w:id="208"/>
      <w:bookmarkEnd w:id="209"/>
    </w:p>
    <w:p w14:paraId="1D22D062">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突发环境事件信息报告（格式）表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05"/>
        <w:gridCol w:w="2025"/>
        <w:gridCol w:w="2131"/>
        <w:gridCol w:w="2131"/>
      </w:tblGrid>
      <w:tr w14:paraId="11C3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6050F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报告单位</w:t>
            </w:r>
          </w:p>
        </w:tc>
        <w:tc>
          <w:tcPr>
            <w:tcW w:w="1250" w:type="pct"/>
            <w:gridSpan w:val="2"/>
            <w:noWrap w:val="0"/>
            <w:vAlign w:val="top"/>
          </w:tcPr>
          <w:p w14:paraId="4CBCD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50" w:type="pct"/>
            <w:noWrap w:val="0"/>
            <w:vAlign w:val="top"/>
          </w:tcPr>
          <w:p w14:paraId="14F29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报告人</w:t>
            </w:r>
          </w:p>
        </w:tc>
        <w:tc>
          <w:tcPr>
            <w:tcW w:w="1250" w:type="pct"/>
            <w:noWrap w:val="0"/>
            <w:vAlign w:val="top"/>
          </w:tcPr>
          <w:p w14:paraId="2F47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7054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74F30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报告时间</w:t>
            </w:r>
          </w:p>
        </w:tc>
        <w:tc>
          <w:tcPr>
            <w:tcW w:w="3750" w:type="pct"/>
            <w:gridSpan w:val="4"/>
            <w:noWrap w:val="0"/>
            <w:vAlign w:val="top"/>
          </w:tcPr>
          <w:p w14:paraId="625D5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490F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7461D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CF94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基本情况：</w:t>
            </w:r>
          </w:p>
          <w:p w14:paraId="43C93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12993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事件类型：</w:t>
            </w:r>
            <w:r>
              <w:rPr>
                <w:rFonts w:hint="default"/>
                <w:color w:val="000000"/>
              </w:rPr>
              <w:t xml:space="preserve">                                 </w:t>
            </w:r>
            <w:r>
              <w:rPr>
                <w:rFonts w:hint="default" w:hAnsi="宋体"/>
                <w:color w:val="000000"/>
              </w:rPr>
              <w:t>事件时间：</w:t>
            </w:r>
          </w:p>
          <w:p w14:paraId="3608D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942D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事件地点：</w:t>
            </w:r>
            <w:r>
              <w:rPr>
                <w:rFonts w:hint="default"/>
                <w:color w:val="000000"/>
              </w:rPr>
              <w:t xml:space="preserve">                                 </w:t>
            </w:r>
            <w:r>
              <w:rPr>
                <w:rFonts w:hint="default" w:hAnsi="宋体"/>
                <w:color w:val="000000"/>
              </w:rPr>
              <w:t>初步原因：</w:t>
            </w:r>
          </w:p>
          <w:p w14:paraId="1F846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BD15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主要污染物质：</w:t>
            </w:r>
            <w:r>
              <w:rPr>
                <w:rFonts w:hint="default"/>
                <w:color w:val="000000"/>
              </w:rPr>
              <w:t xml:space="preserve">                             </w:t>
            </w:r>
            <w:r>
              <w:rPr>
                <w:rFonts w:hint="default" w:hAnsi="宋体"/>
                <w:color w:val="000000"/>
              </w:rPr>
              <w:t>伤亡情况：</w:t>
            </w:r>
          </w:p>
          <w:p w14:paraId="42FE9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5E9B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抢险情况：</w:t>
            </w:r>
            <w:r>
              <w:rPr>
                <w:rFonts w:hint="default"/>
                <w:color w:val="000000"/>
              </w:rPr>
              <w:t xml:space="preserve">                                 </w:t>
            </w:r>
            <w:r>
              <w:rPr>
                <w:rFonts w:hint="default" w:hAnsi="宋体"/>
                <w:color w:val="000000"/>
              </w:rPr>
              <w:t>救护情况：</w:t>
            </w:r>
          </w:p>
          <w:p w14:paraId="60D05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220A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自然保护区受害面积及程度：</w:t>
            </w:r>
          </w:p>
          <w:p w14:paraId="224EA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423C3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DA89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51BB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现场指挥部及联系人、联系方式：</w:t>
            </w:r>
          </w:p>
          <w:p w14:paraId="7D10C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4E84F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0C97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6CB71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预计事件事态发展情况：</w:t>
            </w:r>
          </w:p>
          <w:p w14:paraId="7A845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3325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7AC41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A043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23BC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40DD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3688F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1940F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16FEA1EB">
            <w:pPr>
              <w:pStyle w:val="10"/>
              <w:keepNext w:val="0"/>
              <w:keepLines w:val="0"/>
              <w:suppressLineNumbers w:val="0"/>
              <w:spacing w:before="0" w:beforeAutospacing="0" w:after="0" w:afterAutospacing="0"/>
              <w:ind w:left="0" w:leftChars="0" w:right="0" w:firstLine="0" w:firstLineChars="0"/>
              <w:rPr>
                <w:rFonts w:hint="default"/>
              </w:rPr>
            </w:pPr>
          </w:p>
          <w:p w14:paraId="1EEA8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20DE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72EAA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需要支援项目：</w:t>
            </w:r>
          </w:p>
          <w:p w14:paraId="0F4FB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75D8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5CF2818B">
            <w:pPr>
              <w:pStyle w:val="2"/>
              <w:keepNext w:val="0"/>
              <w:keepLines w:val="0"/>
              <w:suppressLineNumbers w:val="0"/>
              <w:spacing w:before="0" w:beforeAutospacing="0" w:after="0" w:afterAutospacing="0"/>
              <w:ind w:right="0"/>
              <w:rPr>
                <w:rFonts w:hint="eastAsia"/>
              </w:rPr>
            </w:pPr>
          </w:p>
          <w:p w14:paraId="0F21C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45EA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EA49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16A2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tc>
      </w:tr>
      <w:tr w14:paraId="2565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noWrap w:val="0"/>
            <w:vAlign w:val="top"/>
          </w:tcPr>
          <w:p w14:paraId="1DFAB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接收信息部门</w:t>
            </w:r>
          </w:p>
        </w:tc>
        <w:tc>
          <w:tcPr>
            <w:tcW w:w="1188" w:type="pct"/>
            <w:noWrap w:val="0"/>
            <w:vAlign w:val="top"/>
          </w:tcPr>
          <w:p w14:paraId="3E715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50" w:type="pct"/>
            <w:noWrap w:val="0"/>
            <w:vAlign w:val="top"/>
          </w:tcPr>
          <w:p w14:paraId="407AC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接收时间</w:t>
            </w:r>
          </w:p>
        </w:tc>
        <w:tc>
          <w:tcPr>
            <w:tcW w:w="1250" w:type="pct"/>
            <w:noWrap w:val="0"/>
            <w:vAlign w:val="top"/>
          </w:tcPr>
          <w:p w14:paraId="6FC54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3D3A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noWrap w:val="0"/>
            <w:vAlign w:val="top"/>
          </w:tcPr>
          <w:p w14:paraId="4917A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要求下次报告时间</w:t>
            </w:r>
          </w:p>
        </w:tc>
        <w:tc>
          <w:tcPr>
            <w:tcW w:w="3688" w:type="pct"/>
            <w:gridSpan w:val="3"/>
            <w:noWrap w:val="0"/>
            <w:vAlign w:val="top"/>
          </w:tcPr>
          <w:p w14:paraId="0BDDA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bl>
    <w:p w14:paraId="6904FE5F">
      <w:pPr>
        <w:pStyle w:val="14"/>
        <w:spacing w:before="0" w:beforeAutospacing="0" w:after="163" w:afterLines="50" w:afterAutospacing="0"/>
        <w:ind w:firstLine="422"/>
        <w:jc w:val="center"/>
        <w:rPr>
          <w:rFonts w:ascii="Times New Roman" w:hAnsi="Times New Roman" w:cs="Times New Roman"/>
          <w:b/>
          <w:sz w:val="21"/>
          <w:szCs w:val="21"/>
        </w:rPr>
      </w:pPr>
    </w:p>
    <w:p w14:paraId="507089C1">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应急预案启动格式令</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703"/>
        <w:gridCol w:w="2129"/>
        <w:gridCol w:w="3518"/>
      </w:tblGrid>
      <w:tr w14:paraId="2DFE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noWrap w:val="0"/>
            <w:vAlign w:val="top"/>
          </w:tcPr>
          <w:p w14:paraId="19616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签发人</w:t>
            </w:r>
          </w:p>
        </w:tc>
        <w:tc>
          <w:tcPr>
            <w:tcW w:w="999" w:type="pct"/>
            <w:noWrap w:val="0"/>
            <w:vAlign w:val="top"/>
          </w:tcPr>
          <w:p w14:paraId="3AE74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49" w:type="pct"/>
            <w:noWrap w:val="0"/>
            <w:vAlign w:val="top"/>
          </w:tcPr>
          <w:p w14:paraId="2A035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签发时间</w:t>
            </w:r>
          </w:p>
        </w:tc>
        <w:tc>
          <w:tcPr>
            <w:tcW w:w="2064" w:type="pct"/>
            <w:noWrap w:val="0"/>
            <w:vAlign w:val="top"/>
          </w:tcPr>
          <w:p w14:paraId="326EC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3E3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noWrap w:val="0"/>
            <w:vAlign w:val="top"/>
          </w:tcPr>
          <w:p w14:paraId="1809C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传令人</w:t>
            </w:r>
          </w:p>
        </w:tc>
        <w:tc>
          <w:tcPr>
            <w:tcW w:w="999" w:type="pct"/>
            <w:noWrap w:val="0"/>
            <w:vAlign w:val="top"/>
          </w:tcPr>
          <w:p w14:paraId="7A531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49" w:type="pct"/>
            <w:noWrap w:val="0"/>
            <w:vAlign w:val="top"/>
          </w:tcPr>
          <w:p w14:paraId="37193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传令时间</w:t>
            </w:r>
          </w:p>
        </w:tc>
        <w:tc>
          <w:tcPr>
            <w:tcW w:w="2064" w:type="pct"/>
            <w:noWrap w:val="0"/>
            <w:vAlign w:val="top"/>
          </w:tcPr>
          <w:p w14:paraId="69A1D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79D0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FE0E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命令内容：</w:t>
            </w:r>
          </w:p>
          <w:p w14:paraId="43934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w:t>
            </w:r>
            <w:r>
              <w:rPr>
                <w:rFonts w:hint="default" w:hAnsi="宋体"/>
                <w:color w:val="000000"/>
              </w:rPr>
              <w:t>包括信息来源、事件现状、宣布事项</w:t>
            </w:r>
            <w:r>
              <w:rPr>
                <w:rFonts w:hint="default"/>
                <w:color w:val="000000"/>
              </w:rPr>
              <w:t>)</w:t>
            </w:r>
          </w:p>
          <w:p w14:paraId="7E55E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267F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AC92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66A1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9848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受令单位：</w:t>
            </w:r>
          </w:p>
          <w:p w14:paraId="31584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231F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1056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受令人：</w:t>
            </w:r>
          </w:p>
          <w:p w14:paraId="52AEE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56DF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2CB6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时间：</w:t>
            </w:r>
          </w:p>
          <w:p w14:paraId="25DCB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CE83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165B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3962E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备注</w:t>
            </w:r>
          </w:p>
          <w:p w14:paraId="3242A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6362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bl>
    <w:p w14:paraId="6AB24D28">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C46E8F3">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应急状态终止令(格式)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2811"/>
        <w:gridCol w:w="1336"/>
        <w:gridCol w:w="3022"/>
      </w:tblGrid>
      <w:tr w14:paraId="35CD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top"/>
          </w:tcPr>
          <w:p w14:paraId="7E444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签发人</w:t>
            </w:r>
          </w:p>
        </w:tc>
        <w:tc>
          <w:tcPr>
            <w:tcW w:w="1649" w:type="pct"/>
            <w:noWrap w:val="0"/>
            <w:vAlign w:val="top"/>
          </w:tcPr>
          <w:p w14:paraId="18DB8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784" w:type="pct"/>
            <w:noWrap w:val="0"/>
            <w:vAlign w:val="top"/>
          </w:tcPr>
          <w:p w14:paraId="3E099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签发时间</w:t>
            </w:r>
          </w:p>
        </w:tc>
        <w:tc>
          <w:tcPr>
            <w:tcW w:w="1773" w:type="pct"/>
            <w:noWrap w:val="0"/>
            <w:vAlign w:val="top"/>
          </w:tcPr>
          <w:p w14:paraId="05933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6DCC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top"/>
          </w:tcPr>
          <w:p w14:paraId="43AE5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传令人</w:t>
            </w:r>
          </w:p>
        </w:tc>
        <w:tc>
          <w:tcPr>
            <w:tcW w:w="1649" w:type="pct"/>
            <w:noWrap w:val="0"/>
            <w:vAlign w:val="top"/>
          </w:tcPr>
          <w:p w14:paraId="0A5D3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784" w:type="pct"/>
            <w:noWrap w:val="0"/>
            <w:vAlign w:val="top"/>
          </w:tcPr>
          <w:p w14:paraId="41B62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传令时间</w:t>
            </w:r>
          </w:p>
        </w:tc>
        <w:tc>
          <w:tcPr>
            <w:tcW w:w="1773" w:type="pct"/>
            <w:noWrap w:val="0"/>
            <w:vAlign w:val="top"/>
          </w:tcPr>
          <w:p w14:paraId="056F6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045B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1CD8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命令内容：</w:t>
            </w:r>
          </w:p>
          <w:p w14:paraId="594E31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w:t>
            </w:r>
            <w:r>
              <w:rPr>
                <w:rFonts w:hint="default" w:hAnsi="宋体"/>
                <w:color w:val="000000"/>
              </w:rPr>
              <w:t>宣布事件应急救援工作基本结束，现场基本恢复，现场指挥部撤销，相关部门认真做好善后恢复工作。</w:t>
            </w:r>
            <w:r>
              <w:rPr>
                <w:rFonts w:hint="default"/>
                <w:color w:val="000000"/>
              </w:rPr>
              <w:t>)</w:t>
            </w:r>
          </w:p>
          <w:p w14:paraId="192BBE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D565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89E8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0D52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28E5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DAE3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受令单位：</w:t>
            </w:r>
          </w:p>
          <w:p w14:paraId="4F64B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受令人：</w:t>
            </w:r>
          </w:p>
          <w:p w14:paraId="6BDC2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时间：</w:t>
            </w:r>
          </w:p>
          <w:p w14:paraId="1886F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2E8D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6E8C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备注：</w:t>
            </w:r>
          </w:p>
          <w:p w14:paraId="6C6F5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768CA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7FBAB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CACB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7A13A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bl>
    <w:p w14:paraId="45BA9849">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应急预案变更记录表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7DE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0DA41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变更原因、依据、时间：</w:t>
            </w:r>
          </w:p>
          <w:p w14:paraId="31F24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3B2D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44A7D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FA25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7D6A2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F52B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7E48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6F3B8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变更内容：</w:t>
            </w:r>
          </w:p>
          <w:p w14:paraId="5CCE1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E6B7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A762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2EE00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A2EA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0937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FFCB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申报单位：</w:t>
            </w:r>
          </w:p>
          <w:p w14:paraId="2F516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DE94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32F1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7338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CCC7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相关方获知情况：</w:t>
            </w:r>
          </w:p>
          <w:p w14:paraId="43C398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76D0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bl>
    <w:p w14:paraId="02A37801">
      <w:pPr>
        <w:pStyle w:val="10"/>
        <w:rPr>
          <w:rFonts w:hint="default"/>
          <w:lang w:val="en-US" w:eastAsia="zh-CN"/>
        </w:rPr>
      </w:pPr>
    </w:p>
    <w:p w14:paraId="4E2F8BF1">
      <w:pPr>
        <w:pStyle w:val="10"/>
        <w:rPr>
          <w:rFonts w:hint="default"/>
          <w:lang w:val="en-US" w:eastAsia="zh-CN"/>
        </w:rPr>
      </w:pPr>
    </w:p>
    <w:p w14:paraId="644E0943">
      <w:pPr>
        <w:pStyle w:val="10"/>
        <w:rPr>
          <w:rFonts w:hint="default"/>
          <w:lang w:val="en-US" w:eastAsia="zh-CN"/>
        </w:rPr>
      </w:pPr>
    </w:p>
    <w:p w14:paraId="53D701D4">
      <w:pPr>
        <w:spacing w:line="560" w:lineRule="exact"/>
        <w:ind w:left="0" w:leftChars="0" w:firstLine="0" w:firstLineChars="0"/>
        <w:outlineLvl w:val="1"/>
        <w:rPr>
          <w:b/>
          <w:szCs w:val="24"/>
        </w:rPr>
      </w:pPr>
      <w:bookmarkStart w:id="210" w:name="_Toc16791"/>
      <w:bookmarkStart w:id="211" w:name="_Toc66717072"/>
      <w:bookmarkStart w:id="212" w:name="_Toc20722"/>
      <w:r>
        <w:rPr>
          <w:b/>
          <w:szCs w:val="24"/>
        </w:rPr>
        <w:t>附件</w:t>
      </w:r>
      <w:r>
        <w:rPr>
          <w:rFonts w:hint="eastAsia"/>
          <w:b/>
          <w:szCs w:val="24"/>
          <w:lang w:val="en-US" w:eastAsia="zh-CN"/>
        </w:rPr>
        <w:t>4</w:t>
      </w:r>
      <w:r>
        <w:rPr>
          <w:b/>
          <w:szCs w:val="24"/>
        </w:rPr>
        <w:t xml:space="preserve"> 常见化学品引发水污染事故的简要处置方法</w:t>
      </w:r>
      <w:bookmarkEnd w:id="210"/>
      <w:bookmarkEnd w:id="211"/>
      <w:bookmarkEnd w:id="212"/>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9"/>
        <w:gridCol w:w="3916"/>
        <w:gridCol w:w="3260"/>
      </w:tblGrid>
      <w:tr w14:paraId="3B65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4" w:type="pct"/>
            <w:shd w:val="clear" w:color="auto" w:fill="auto"/>
            <w:noWrap w:val="0"/>
            <w:vAlign w:val="center"/>
          </w:tcPr>
          <w:p w14:paraId="7F86DE07">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序号</w:t>
            </w:r>
          </w:p>
        </w:tc>
        <w:tc>
          <w:tcPr>
            <w:tcW w:w="526" w:type="pct"/>
            <w:shd w:val="clear" w:color="auto" w:fill="auto"/>
            <w:noWrap w:val="0"/>
            <w:vAlign w:val="center"/>
          </w:tcPr>
          <w:p w14:paraId="2FE88FD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污染物类别</w:t>
            </w:r>
          </w:p>
        </w:tc>
        <w:tc>
          <w:tcPr>
            <w:tcW w:w="2302" w:type="pct"/>
            <w:shd w:val="clear" w:color="auto" w:fill="auto"/>
            <w:noWrap w:val="0"/>
            <w:vAlign w:val="center"/>
          </w:tcPr>
          <w:p w14:paraId="495EF2A5">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代表物质</w:t>
            </w:r>
          </w:p>
        </w:tc>
        <w:tc>
          <w:tcPr>
            <w:tcW w:w="1917" w:type="pct"/>
            <w:shd w:val="clear" w:color="auto" w:fill="auto"/>
            <w:noWrap w:val="0"/>
            <w:vAlign w:val="center"/>
          </w:tcPr>
          <w:p w14:paraId="0A2BDEB9">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应急处置</w:t>
            </w:r>
          </w:p>
        </w:tc>
      </w:tr>
      <w:tr w14:paraId="74DC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17AB03F1">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1</w:t>
            </w:r>
          </w:p>
        </w:tc>
        <w:tc>
          <w:tcPr>
            <w:tcW w:w="526" w:type="pct"/>
            <w:shd w:val="clear" w:color="auto" w:fill="auto"/>
            <w:noWrap w:val="0"/>
            <w:vAlign w:val="center"/>
          </w:tcPr>
          <w:p w14:paraId="68555C6B">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重金属类</w:t>
            </w:r>
          </w:p>
        </w:tc>
        <w:tc>
          <w:tcPr>
            <w:tcW w:w="2302" w:type="pct"/>
            <w:shd w:val="clear" w:color="auto" w:fill="auto"/>
            <w:noWrap w:val="0"/>
            <w:vAlign w:val="center"/>
          </w:tcPr>
          <w:p w14:paraId="761C0E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汞及汞盐、铅盐、锡盐类、铬盐等。汞为液体金属，其余均为结晶眼类，铬盐和铅往往有鲜亮的颜色。该类物质多数具有较强毒性，在自然环境中不降解，并能随食物链逐渐富集，形成急性或蓄积类水污染事故。</w:t>
            </w:r>
          </w:p>
        </w:tc>
        <w:tc>
          <w:tcPr>
            <w:tcW w:w="1917" w:type="pct"/>
            <w:shd w:val="clear" w:color="auto" w:fill="auto"/>
            <w:noWrap w:val="0"/>
            <w:vAlign w:val="center"/>
          </w:tcPr>
          <w:p w14:paraId="7E0F32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关闭闸门或筑坝围隔污染区，在污染区投加生石灰沉淀重金属离子，排干上清液后将底质移除到安全地方水泥固化后填埋。汞泄漏应急人员应佩戴防护用具，尽量将泄漏汞收集到安全地方处理，无法收集的现场用硫磺粉覆盖处理。</w:t>
            </w:r>
          </w:p>
        </w:tc>
      </w:tr>
      <w:tr w14:paraId="5B61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181465F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2</w:t>
            </w:r>
          </w:p>
        </w:tc>
        <w:tc>
          <w:tcPr>
            <w:tcW w:w="526" w:type="pct"/>
            <w:shd w:val="clear" w:color="auto" w:fill="auto"/>
            <w:noWrap w:val="0"/>
            <w:vAlign w:val="center"/>
          </w:tcPr>
          <w:p w14:paraId="4164551A">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氰化物</w:t>
            </w:r>
          </w:p>
        </w:tc>
        <w:tc>
          <w:tcPr>
            <w:tcW w:w="2302" w:type="pct"/>
            <w:shd w:val="clear" w:color="auto" w:fill="auto"/>
            <w:noWrap w:val="0"/>
            <w:vAlign w:val="center"/>
          </w:tcPr>
          <w:p w14:paraId="7B0F51E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代表物质有氰化钾、氰化钠和氰化氢的水溶液。氰化钾、氰化钠为白色结晶粉末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易潮解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用于冶金和电镀行业</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常以水溶液罐车运输。氰化氢常温下为液体易挥发</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有苦杏仁味。该类物质呈现剧毒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能抑制呼吸酶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对底栖动物、鱼类、两栖动物、哺乳动物等均呈高毒。</w:t>
            </w:r>
          </w:p>
        </w:tc>
        <w:tc>
          <w:tcPr>
            <w:tcW w:w="1917" w:type="pct"/>
            <w:shd w:val="clear" w:color="auto" w:fill="auto"/>
            <w:noWrap w:val="0"/>
            <w:vAlign w:val="center"/>
          </w:tcPr>
          <w:p w14:paraId="766C5D3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应急处置人员须佩带全身防护用具</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尽可能围隔污染区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在污染区加过量漂白粉处置</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一般24小时可氧化完全。</w:t>
            </w:r>
          </w:p>
        </w:tc>
      </w:tr>
      <w:tr w14:paraId="0E65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0111F4A4">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3</w:t>
            </w:r>
          </w:p>
        </w:tc>
        <w:tc>
          <w:tcPr>
            <w:tcW w:w="526" w:type="pct"/>
            <w:shd w:val="clear" w:color="auto" w:fill="auto"/>
            <w:noWrap w:val="0"/>
            <w:vAlign w:val="center"/>
          </w:tcPr>
          <w:p w14:paraId="0B68D665">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氟化物</w:t>
            </w:r>
          </w:p>
        </w:tc>
        <w:tc>
          <w:tcPr>
            <w:tcW w:w="2302" w:type="pct"/>
            <w:shd w:val="clear" w:color="auto" w:fill="auto"/>
            <w:noWrap w:val="0"/>
            <w:vAlign w:val="center"/>
          </w:tcPr>
          <w:p w14:paraId="583ADB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代表物质有氟化钠、氢氟酸等。氟化钠为白色粉末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无味。氢氟酸为无色有刺激臭味的液体。该类物质易溶于水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高毒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并且容易在酸性环境中挥发氟化氢气体毒害呼吸系统。在自然环境中容易和金属离子形成络合物而降低毒性。</w:t>
            </w:r>
          </w:p>
        </w:tc>
        <w:tc>
          <w:tcPr>
            <w:tcW w:w="1917" w:type="pct"/>
            <w:shd w:val="clear" w:color="auto" w:fill="auto"/>
            <w:noWrap w:val="0"/>
            <w:vAlign w:val="center"/>
          </w:tcPr>
          <w:p w14:paraId="2B0466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关闭闸门或筑坝围隔污染区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应急处置人员须带全身防护用具。在污染水体中加人过量生石灰沉淀氟离子</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并投加明矾加快沉淀速度。沉淀完全后将上清液排放</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铲除底质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并转移到安全地方处置。</w:t>
            </w:r>
          </w:p>
        </w:tc>
      </w:tr>
      <w:tr w14:paraId="3DDB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60BE854D">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4</w:t>
            </w:r>
          </w:p>
        </w:tc>
        <w:tc>
          <w:tcPr>
            <w:tcW w:w="526" w:type="pct"/>
            <w:shd w:val="clear" w:color="auto" w:fill="auto"/>
            <w:noWrap w:val="0"/>
            <w:vAlign w:val="center"/>
          </w:tcPr>
          <w:p w14:paraId="13B9D80B">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金属酸矸</w:t>
            </w:r>
          </w:p>
        </w:tc>
        <w:tc>
          <w:tcPr>
            <w:tcW w:w="2302" w:type="pct"/>
            <w:shd w:val="clear" w:color="auto" w:fill="auto"/>
            <w:noWrap w:val="0"/>
            <w:vAlign w:val="center"/>
          </w:tcPr>
          <w:p w14:paraId="2CCBFA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代表物质有砒霜（三氧化二砷）和铬酸矸（三氧化铬）。砒霜为无色无味白色粉末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微溶于水。铬酸矸为紫红色斜方晶体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易潮解。两种物质均在水中有一定的溶解度</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呈现高毒性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可毒害呼吸系统、神经系统和循环系统</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并能在动物体内可以富集</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造成二次中毒。</w:t>
            </w:r>
          </w:p>
        </w:tc>
        <w:tc>
          <w:tcPr>
            <w:tcW w:w="1917" w:type="pct"/>
            <w:shd w:val="clear" w:color="auto" w:fill="auto"/>
            <w:noWrap w:val="0"/>
            <w:vAlign w:val="center"/>
          </w:tcPr>
          <w:p w14:paraId="146391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关闭闸门或筑坝围隔污染区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投放石灰和明矾沉淀</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沉淀完全后将上清液转移到安全地方</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用草酸钠还原后排放。清除底泥中的沉淀物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用水泥固化后深埋。</w:t>
            </w:r>
          </w:p>
        </w:tc>
      </w:tr>
      <w:tr w14:paraId="64B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59AFD891">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5</w:t>
            </w:r>
          </w:p>
        </w:tc>
        <w:tc>
          <w:tcPr>
            <w:tcW w:w="526" w:type="pct"/>
            <w:shd w:val="clear" w:color="auto" w:fill="auto"/>
            <w:noWrap w:val="0"/>
            <w:vAlign w:val="center"/>
          </w:tcPr>
          <w:p w14:paraId="62D934F4">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苯类化合物</w:t>
            </w:r>
          </w:p>
        </w:tc>
        <w:tc>
          <w:tcPr>
            <w:tcW w:w="2302" w:type="pct"/>
            <w:shd w:val="clear" w:color="auto" w:fill="auto"/>
            <w:noWrap w:val="0"/>
            <w:vAlign w:val="center"/>
          </w:tcPr>
          <w:p w14:paraId="024283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代表物质有苯、甲苯、乙苯、二甲苯、苯乙烯、硝基苯等。油状液体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有特殊芳香味，易挥发，除取代苯外，密度一般小于水。该类物质是神经和循环系统毒剂，对人体有致癌作用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不溶或微溶于水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扩散速度快。</w:t>
            </w:r>
          </w:p>
        </w:tc>
        <w:tc>
          <w:tcPr>
            <w:tcW w:w="1917" w:type="pct"/>
            <w:shd w:val="clear" w:color="auto" w:fill="auto"/>
            <w:noWrap w:val="0"/>
            <w:vAlign w:val="center"/>
          </w:tcPr>
          <w:p w14:paraId="1EA6AF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应急处置人员应戴全身防护用具</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筑坝或用围油栏围隔污染区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注意防火。污染区用吸油毡等高吸油材料现场吸附</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转移到安全地方焚烧处理。污染水体最终用活性炭吸附处理。</w:t>
            </w:r>
          </w:p>
        </w:tc>
      </w:tr>
      <w:tr w14:paraId="5564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526E5F3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6</w:t>
            </w:r>
          </w:p>
        </w:tc>
        <w:tc>
          <w:tcPr>
            <w:tcW w:w="526" w:type="pct"/>
            <w:shd w:val="clear" w:color="auto" w:fill="auto"/>
            <w:noWrap w:val="0"/>
            <w:vAlign w:val="center"/>
          </w:tcPr>
          <w:p w14:paraId="6C4A97DE">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卤代烃</w:t>
            </w:r>
          </w:p>
        </w:tc>
        <w:tc>
          <w:tcPr>
            <w:tcW w:w="2302" w:type="pct"/>
            <w:shd w:val="clear" w:color="auto" w:fill="auto"/>
            <w:noWrap w:val="0"/>
            <w:vAlign w:val="center"/>
          </w:tcPr>
          <w:p w14:paraId="27E750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代表物质有抓乙烯、四氯化碳、三氯甲烷、氯苯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均为油状液体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易挥发</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密度一般大于水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燃烧时有刺激性气体放出。该类物质遇水稳定</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对眼睛、皮肤、呼吸道等有刺激作用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对人体有致癌作用。多元取代物密度往往大于水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沉于水底造成持久危害。</w:t>
            </w:r>
          </w:p>
        </w:tc>
        <w:tc>
          <w:tcPr>
            <w:tcW w:w="1917" w:type="pct"/>
            <w:shd w:val="clear" w:color="auto" w:fill="auto"/>
            <w:noWrap w:val="0"/>
            <w:vAlign w:val="center"/>
          </w:tcPr>
          <w:p w14:paraId="41F03B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应急人员应佩带全身防护用具。筑坝围隔污染区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污染水体投加</w:t>
            </w:r>
            <w:r>
              <w:rPr>
                <w:rFonts w:hint="eastAsia" w:cs="Times New Roman"/>
                <w:kern w:val="0"/>
                <w:sz w:val="24"/>
                <w:szCs w:val="24"/>
                <w:lang w:eastAsia="zh-CN"/>
              </w:rPr>
              <w:t>活性炭</w:t>
            </w:r>
            <w:r>
              <w:rPr>
                <w:rFonts w:hint="default" w:ascii="Times New Roman" w:hAnsi="Times New Roman" w:eastAsia="仿宋" w:cs="Times New Roman"/>
                <w:kern w:val="0"/>
                <w:sz w:val="24"/>
                <w:szCs w:val="24"/>
              </w:rPr>
              <w:t>吸附处理。用活性炭、吸油棉等高吸油材料等现场吸附积水中的污染物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彻底清除后送到安全地方处理。</w:t>
            </w:r>
          </w:p>
        </w:tc>
      </w:tr>
      <w:tr w14:paraId="1C47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36E53CE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7</w:t>
            </w:r>
          </w:p>
        </w:tc>
        <w:tc>
          <w:tcPr>
            <w:tcW w:w="526" w:type="pct"/>
            <w:shd w:val="clear" w:color="auto" w:fill="auto"/>
            <w:noWrap w:val="0"/>
            <w:vAlign w:val="center"/>
          </w:tcPr>
          <w:p w14:paraId="5DC53750">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酚类</w:t>
            </w:r>
          </w:p>
        </w:tc>
        <w:tc>
          <w:tcPr>
            <w:tcW w:w="2302" w:type="pct"/>
            <w:shd w:val="clear" w:color="auto" w:fill="auto"/>
            <w:noWrap w:val="0"/>
            <w:vAlign w:val="center"/>
          </w:tcPr>
          <w:p w14:paraId="4537C9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代表物质有苯酚、间甲酚、对硝基苯酚、氯苯酚、三氯酚、五氯酚等。多为白色结晶或油状液体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有特殊气味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不溶或微溶于水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密度一般大于水。该类物质一般具有较高的毒性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能刺激皮肤和消化道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在水中降解速度慢</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有致癌和致畸作用。</w:t>
            </w:r>
          </w:p>
        </w:tc>
        <w:tc>
          <w:tcPr>
            <w:tcW w:w="1917" w:type="pct"/>
            <w:shd w:val="clear" w:color="auto" w:fill="auto"/>
            <w:noWrap w:val="0"/>
            <w:vAlign w:val="center"/>
          </w:tcPr>
          <w:p w14:paraId="4FCF7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应急处置人员应佩带全身防护用具。筑坝或用围油栏围隔污染区后</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用吸油棉等高吸油材料现场吸附残留泄漏物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转移到安全地方处理。污染水体投加生石灰、漂白粉沉淀和促进降解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最后投加</w:t>
            </w:r>
            <w:r>
              <w:rPr>
                <w:rFonts w:hint="eastAsia" w:cs="Times New Roman"/>
                <w:kern w:val="0"/>
                <w:sz w:val="24"/>
                <w:szCs w:val="24"/>
                <w:lang w:eastAsia="zh-CN"/>
              </w:rPr>
              <w:t>活性炭</w:t>
            </w:r>
            <w:r>
              <w:rPr>
                <w:rFonts w:hint="default" w:ascii="Times New Roman" w:hAnsi="Times New Roman" w:eastAsia="仿宋" w:cs="Times New Roman"/>
                <w:kern w:val="0"/>
                <w:sz w:val="24"/>
                <w:szCs w:val="24"/>
              </w:rPr>
              <w:t>吸附处理。</w:t>
            </w:r>
          </w:p>
        </w:tc>
      </w:tr>
      <w:tr w14:paraId="6A97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076A73FA">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8</w:t>
            </w:r>
          </w:p>
        </w:tc>
        <w:tc>
          <w:tcPr>
            <w:tcW w:w="526" w:type="pct"/>
            <w:shd w:val="clear" w:color="auto" w:fill="auto"/>
            <w:noWrap w:val="0"/>
            <w:vAlign w:val="center"/>
          </w:tcPr>
          <w:p w14:paraId="08569309">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农药类</w:t>
            </w:r>
          </w:p>
        </w:tc>
        <w:tc>
          <w:tcPr>
            <w:tcW w:w="2302" w:type="pct"/>
            <w:shd w:val="clear" w:color="auto" w:fill="auto"/>
            <w:noWrap w:val="0"/>
            <w:vAlign w:val="center"/>
          </w:tcPr>
          <w:p w14:paraId="4DCA31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有机氯农药在我国已经禁用。在用的农药包括有机磷农药、氨基甲酸醋农药、拟除虫菊醋类农药等。有机磷农药有甲胺磷、敌敌畏、敌百虫、乐果、氧化乐果、对硫磷、甲基对硫磷、马拉硫磷、苯硫磷、倍硫磷等</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多用作杀虫剂。多数品种为油状液体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具有类似大蒜样特殊臭味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一般制成乳油使用。多为剧毒农药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通过消化道、呼吸道及皮肤吸收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对人及鱼类高毒。氨基甲酸醋农药有吠喃丹、抗蚜威、速灭威、灭多威、丙硫威等</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多用于杀虫剂和抗菌剂。多为结晶粉末状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微溶于水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无气味或气味弱。多为剧毒农药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通过消化道、呼吸道及皮肤吸收。拟除虫菊醋类农药有氟氰菊醋、澳氰菊醋、抓氛菊醋、杀灭菊醋</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多用作杀虫剂。一般为微黄色油状粘稠液体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溶于常用有机溶剂。是高效低残留杀虫剂</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对鱼类高毒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对人类中等毒性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能损害神经、肝、肾等器官。</w:t>
            </w:r>
          </w:p>
        </w:tc>
        <w:tc>
          <w:tcPr>
            <w:tcW w:w="1917" w:type="pct"/>
            <w:shd w:val="clear" w:color="auto" w:fill="auto"/>
            <w:noWrap w:val="0"/>
            <w:vAlign w:val="center"/>
          </w:tcPr>
          <w:p w14:paraId="266306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应急人员应配戴全身防护用具。关闭闸门或筑坝围隔污染区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用活性炭吸收未溶的农药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收集到安全场所用碱性溶液无害化处理。对污染区用生石灰或漂自粉处置</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破坏农药的致毒基团</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达到解毒的目的。最后用活性炭进行吸附处理。</w:t>
            </w:r>
          </w:p>
          <w:p w14:paraId="7246B2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p>
        </w:tc>
      </w:tr>
      <w:tr w14:paraId="115E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28F243B2">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9</w:t>
            </w:r>
          </w:p>
        </w:tc>
        <w:tc>
          <w:tcPr>
            <w:tcW w:w="526" w:type="pct"/>
            <w:shd w:val="clear" w:color="auto" w:fill="auto"/>
            <w:noWrap w:val="0"/>
            <w:vAlign w:val="center"/>
          </w:tcPr>
          <w:p w14:paraId="21A0DC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rPr>
              <w:t>矿物油类</w:t>
            </w:r>
          </w:p>
        </w:tc>
        <w:tc>
          <w:tcPr>
            <w:tcW w:w="2302" w:type="pct"/>
            <w:shd w:val="clear" w:color="auto" w:fill="auto"/>
            <w:noWrap w:val="0"/>
            <w:vAlign w:val="center"/>
          </w:tcPr>
          <w:p w14:paraId="0911E6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代表物质汽油、煤油、柴油、机油、煤焦油、原油等。一般为油状液体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不溶或微溶于水。煤焦油呈膏状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有特殊臭味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密度大于水。该类物质易燃烧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扩散速度快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易在水面形成污染带</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隔绝水气界面</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造成水体缺氧。煤焦油沉在水底级慢溶解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对水体造成长久危害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并具有腐蚀性。</w:t>
            </w:r>
          </w:p>
        </w:tc>
        <w:tc>
          <w:tcPr>
            <w:tcW w:w="1917" w:type="pct"/>
            <w:shd w:val="clear" w:color="auto" w:fill="auto"/>
            <w:noWrap w:val="0"/>
            <w:vAlign w:val="center"/>
          </w:tcPr>
          <w:p w14:paraId="0ED4DA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应急处置时可关闭闸门或用简易坝、围油栏等围隔污染区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用吸油棉等高吸油材料现场吸附,并转移到安全地方焚烧处理。必要时可点燃表层油燃烧处理</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污染水体最后用活性炭吸附处理。煤焦油由于其中含有大量的酚类物质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其处置过程可参考酚类物质。</w:t>
            </w:r>
          </w:p>
        </w:tc>
      </w:tr>
      <w:tr w14:paraId="565B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restart"/>
            <w:shd w:val="clear" w:color="auto" w:fill="auto"/>
            <w:noWrap w:val="0"/>
            <w:vAlign w:val="center"/>
          </w:tcPr>
          <w:p w14:paraId="06209F1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10</w:t>
            </w:r>
          </w:p>
        </w:tc>
        <w:tc>
          <w:tcPr>
            <w:tcW w:w="526" w:type="pct"/>
            <w:vMerge w:val="restart"/>
            <w:shd w:val="clear" w:color="auto" w:fill="auto"/>
            <w:noWrap w:val="0"/>
            <w:vAlign w:val="center"/>
          </w:tcPr>
          <w:p w14:paraId="6E86226B">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sz w:val="24"/>
                <w:szCs w:val="24"/>
              </w:rPr>
              <w:t>腐蚀性物质（包括酸性物质、碱性物质和强氧化性物质）</w:t>
            </w:r>
          </w:p>
        </w:tc>
        <w:tc>
          <w:tcPr>
            <w:tcW w:w="2302" w:type="pct"/>
            <w:shd w:val="clear" w:color="auto" w:fill="auto"/>
            <w:noWrap w:val="0"/>
            <w:vAlign w:val="center"/>
          </w:tcPr>
          <w:p w14:paraId="0081D9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酸性物质有盐酸、硫酸、硝酸、磷酸等。浓盐酸和硝酸有酸性烟雾挥发出来</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浓硫酸密度大于水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溶于水时产生大量热量。该类物质表现为强酸性和强腐蚀性</w:t>
            </w:r>
            <w:r>
              <w:rPr>
                <w:rFonts w:hint="default" w:ascii="Times New Roman" w:hAnsi="Times New Roman" w:eastAsia="仿宋" w:cs="Times New Roman"/>
                <w:kern w:val="0"/>
                <w:sz w:val="24"/>
                <w:szCs w:val="24"/>
                <w:lang w:eastAsia="zh-CN"/>
              </w:rPr>
              <w:t>，</w:t>
            </w:r>
            <w:r>
              <w:rPr>
                <w:rFonts w:hint="eastAsia" w:cs="Times New Roman"/>
                <w:kern w:val="0"/>
                <w:sz w:val="24"/>
                <w:szCs w:val="24"/>
                <w:lang w:eastAsia="zh-CN"/>
              </w:rPr>
              <w:t>进入</w:t>
            </w:r>
            <w:r>
              <w:rPr>
                <w:rFonts w:hint="default" w:ascii="Times New Roman" w:hAnsi="Times New Roman" w:eastAsia="仿宋" w:cs="Times New Roman"/>
                <w:kern w:val="0"/>
                <w:sz w:val="24"/>
                <w:szCs w:val="24"/>
              </w:rPr>
              <w:t>水体后将引起水体酸度急剧上升</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严重腐蚀水工建筑物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破坏水生态系统</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但在基质中碳酸钙的作用下其酸性和腐蚀能力会逐渐降低。</w:t>
            </w:r>
          </w:p>
        </w:tc>
        <w:tc>
          <w:tcPr>
            <w:tcW w:w="1917" w:type="pct"/>
            <w:shd w:val="clear" w:color="auto" w:fill="auto"/>
            <w:noWrap w:val="0"/>
            <w:vAlign w:val="center"/>
          </w:tcPr>
          <w:p w14:paraId="63B71D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应急人员戴防护手套</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处置挥发性酸时戴防毒面具</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污染区投加碱性物质如生石灰、碳酸钠等中和。</w:t>
            </w:r>
          </w:p>
          <w:p w14:paraId="3168DBEE">
            <w:pPr>
              <w:pStyle w:val="33"/>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rPr>
            </w:pPr>
          </w:p>
        </w:tc>
      </w:tr>
      <w:tr w14:paraId="54A4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shd w:val="clear" w:color="auto" w:fill="auto"/>
            <w:noWrap w:val="0"/>
            <w:vAlign w:val="center"/>
          </w:tcPr>
          <w:p w14:paraId="05F86D0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526" w:type="pct"/>
            <w:vMerge w:val="continue"/>
            <w:shd w:val="clear" w:color="auto" w:fill="auto"/>
            <w:noWrap w:val="0"/>
            <w:vAlign w:val="center"/>
          </w:tcPr>
          <w:p w14:paraId="1983DD5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2302" w:type="pct"/>
            <w:shd w:val="clear" w:color="auto" w:fill="auto"/>
            <w:noWrap w:val="0"/>
            <w:vAlign w:val="center"/>
          </w:tcPr>
          <w:p w14:paraId="63FB2E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碱性物质有氢氧化钠、氢氧化钾、电石等。氢氧化钠和氢氧化钾为白色颗粒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易潮解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多以溶液状态罐车运输。</w:t>
            </w:r>
          </w:p>
        </w:tc>
        <w:tc>
          <w:tcPr>
            <w:tcW w:w="1917" w:type="pct"/>
            <w:shd w:val="clear" w:color="auto" w:fill="auto"/>
            <w:noWrap w:val="0"/>
            <w:vAlign w:val="center"/>
          </w:tcPr>
          <w:p w14:paraId="6AD1C4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应急人员应带防护手套</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在污染区投加酸性物质（如稀盐酸、稀硫酸等）中和处理。</w:t>
            </w:r>
          </w:p>
        </w:tc>
      </w:tr>
      <w:tr w14:paraId="3877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shd w:val="clear" w:color="auto" w:fill="auto"/>
            <w:noWrap w:val="0"/>
            <w:vAlign w:val="center"/>
          </w:tcPr>
          <w:p w14:paraId="56FEF433">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526" w:type="pct"/>
            <w:vMerge w:val="continue"/>
            <w:shd w:val="clear" w:color="auto" w:fill="auto"/>
            <w:noWrap w:val="0"/>
            <w:vAlign w:val="center"/>
          </w:tcPr>
          <w:p w14:paraId="2B769B8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2302" w:type="pct"/>
            <w:shd w:val="clear" w:color="auto" w:fill="auto"/>
            <w:noWrap w:val="0"/>
            <w:vAlign w:val="center"/>
          </w:tcPr>
          <w:p w14:paraId="726480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强氧化性物质有次氯酸钠、硝酸钾、重铬酸钾和高锰酸钾等。高锰酸钾为紫色晶体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重铬酸钾为鲜红色晶体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其余为白色晶体。该类物质一般易溶于水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具有强氧化性,腐蚀水工建筑物中的金属构件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重铬酸钾还能引起环境中铬类污染物的富集。</w:t>
            </w:r>
          </w:p>
        </w:tc>
        <w:tc>
          <w:tcPr>
            <w:tcW w:w="1917" w:type="pct"/>
            <w:shd w:val="clear" w:color="auto" w:fill="auto"/>
            <w:noWrap w:val="0"/>
            <w:vAlign w:val="center"/>
          </w:tcPr>
          <w:p w14:paraId="136F20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应急人员应带防护手套</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干态污染物应避免和有机物、金属粉末、易燃物等接触</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以免发生爆炸。</w:t>
            </w:r>
            <w:r>
              <w:rPr>
                <w:rFonts w:hint="eastAsia" w:cs="Times New Roman"/>
                <w:kern w:val="0"/>
                <w:sz w:val="24"/>
                <w:szCs w:val="24"/>
                <w:lang w:eastAsia="zh-CN"/>
              </w:rPr>
              <w:t>进入</w:t>
            </w:r>
            <w:r>
              <w:rPr>
                <w:rFonts w:hint="default" w:ascii="Times New Roman" w:hAnsi="Times New Roman" w:eastAsia="仿宋" w:cs="Times New Roman"/>
                <w:kern w:val="0"/>
                <w:sz w:val="24"/>
                <w:szCs w:val="24"/>
              </w:rPr>
              <w:t>水体后可投加草酸钠还原。</w:t>
            </w:r>
          </w:p>
        </w:tc>
      </w:tr>
      <w:tr w14:paraId="2E4A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41D8B9F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11</w:t>
            </w:r>
          </w:p>
        </w:tc>
        <w:tc>
          <w:tcPr>
            <w:tcW w:w="4745" w:type="pct"/>
            <w:gridSpan w:val="3"/>
            <w:shd w:val="clear" w:color="auto" w:fill="auto"/>
            <w:noWrap w:val="0"/>
            <w:vAlign w:val="center"/>
          </w:tcPr>
          <w:p w14:paraId="3C9449D7">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sz w:val="24"/>
                <w:szCs w:val="24"/>
              </w:rPr>
              <w:t>除上述常见的十类化学品外,各类病毒、细菌造成的水体污染可投加漂白粉、生石灰等消毒处置。</w:t>
            </w:r>
          </w:p>
        </w:tc>
      </w:tr>
    </w:tbl>
    <w:p w14:paraId="4BC83571">
      <w:pPr>
        <w:pStyle w:val="1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0746">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6317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96317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2F0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4762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14762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27C3F"/>
    <w:multiLevelType w:val="singleLevel"/>
    <w:tmpl w:val="23C27C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QxMzEzYWM4ZTkxMjc4OGViZDk3YTFmZTVlMjEifQ=="/>
  </w:docVars>
  <w:rsids>
    <w:rsidRoot w:val="65A86ECA"/>
    <w:rsid w:val="002F50E3"/>
    <w:rsid w:val="00924468"/>
    <w:rsid w:val="009E371F"/>
    <w:rsid w:val="00DA62AB"/>
    <w:rsid w:val="00F20BE8"/>
    <w:rsid w:val="01573EE4"/>
    <w:rsid w:val="016226A6"/>
    <w:rsid w:val="0260100A"/>
    <w:rsid w:val="02D22BD3"/>
    <w:rsid w:val="02D33210"/>
    <w:rsid w:val="02DC3EA2"/>
    <w:rsid w:val="03EE7C19"/>
    <w:rsid w:val="044A7895"/>
    <w:rsid w:val="05243152"/>
    <w:rsid w:val="05382F1C"/>
    <w:rsid w:val="05485359"/>
    <w:rsid w:val="05617BD9"/>
    <w:rsid w:val="057C36E6"/>
    <w:rsid w:val="05845186"/>
    <w:rsid w:val="06360A48"/>
    <w:rsid w:val="068A7D6B"/>
    <w:rsid w:val="07BC7961"/>
    <w:rsid w:val="08080364"/>
    <w:rsid w:val="08115836"/>
    <w:rsid w:val="086E3631"/>
    <w:rsid w:val="08DB54EB"/>
    <w:rsid w:val="09215461"/>
    <w:rsid w:val="094C2571"/>
    <w:rsid w:val="09F668BC"/>
    <w:rsid w:val="0A640613"/>
    <w:rsid w:val="0A9646FB"/>
    <w:rsid w:val="0AB1179A"/>
    <w:rsid w:val="0B0A2B56"/>
    <w:rsid w:val="0B8018D0"/>
    <w:rsid w:val="0C2D21A9"/>
    <w:rsid w:val="0C321F14"/>
    <w:rsid w:val="0D3747D9"/>
    <w:rsid w:val="0DD176F3"/>
    <w:rsid w:val="0DE733BD"/>
    <w:rsid w:val="0E6619A4"/>
    <w:rsid w:val="0E8E7E2E"/>
    <w:rsid w:val="0EEC1DAE"/>
    <w:rsid w:val="0F872FEC"/>
    <w:rsid w:val="0FB85859"/>
    <w:rsid w:val="0FF90E54"/>
    <w:rsid w:val="1044588E"/>
    <w:rsid w:val="104A74D2"/>
    <w:rsid w:val="107239B7"/>
    <w:rsid w:val="10785BBA"/>
    <w:rsid w:val="10947F1A"/>
    <w:rsid w:val="11516FF6"/>
    <w:rsid w:val="11EE0E53"/>
    <w:rsid w:val="125143FF"/>
    <w:rsid w:val="12746BB3"/>
    <w:rsid w:val="12747E13"/>
    <w:rsid w:val="127E211E"/>
    <w:rsid w:val="129B7938"/>
    <w:rsid w:val="13075E2A"/>
    <w:rsid w:val="13316CFE"/>
    <w:rsid w:val="13C12272"/>
    <w:rsid w:val="13D54701"/>
    <w:rsid w:val="13D96B8D"/>
    <w:rsid w:val="142101E4"/>
    <w:rsid w:val="14A6127A"/>
    <w:rsid w:val="15367542"/>
    <w:rsid w:val="15441C67"/>
    <w:rsid w:val="160573DC"/>
    <w:rsid w:val="166039F5"/>
    <w:rsid w:val="168B1403"/>
    <w:rsid w:val="17040FFC"/>
    <w:rsid w:val="175D24B3"/>
    <w:rsid w:val="17697709"/>
    <w:rsid w:val="181D41B0"/>
    <w:rsid w:val="195E661F"/>
    <w:rsid w:val="1A0E3435"/>
    <w:rsid w:val="1A1D4970"/>
    <w:rsid w:val="1A322737"/>
    <w:rsid w:val="1A7C0260"/>
    <w:rsid w:val="1A92388B"/>
    <w:rsid w:val="1AA46320"/>
    <w:rsid w:val="1ACA6C96"/>
    <w:rsid w:val="1B061359"/>
    <w:rsid w:val="1B0D2A6A"/>
    <w:rsid w:val="1C4832DB"/>
    <w:rsid w:val="1C616C43"/>
    <w:rsid w:val="1C753628"/>
    <w:rsid w:val="1CAA3679"/>
    <w:rsid w:val="1CF311A6"/>
    <w:rsid w:val="1CF35DFE"/>
    <w:rsid w:val="1CF93054"/>
    <w:rsid w:val="1DAB0301"/>
    <w:rsid w:val="1DEF4207"/>
    <w:rsid w:val="1F3A6197"/>
    <w:rsid w:val="1F5611C2"/>
    <w:rsid w:val="1F7B7C8E"/>
    <w:rsid w:val="1F85512B"/>
    <w:rsid w:val="1FC02DA5"/>
    <w:rsid w:val="1FF9275D"/>
    <w:rsid w:val="20A16917"/>
    <w:rsid w:val="20B45FC5"/>
    <w:rsid w:val="20C07352"/>
    <w:rsid w:val="20D70886"/>
    <w:rsid w:val="210D1E06"/>
    <w:rsid w:val="211C27A5"/>
    <w:rsid w:val="21233CDA"/>
    <w:rsid w:val="216917F7"/>
    <w:rsid w:val="217D7C57"/>
    <w:rsid w:val="21F35893"/>
    <w:rsid w:val="221D13B9"/>
    <w:rsid w:val="22340D6B"/>
    <w:rsid w:val="230415BE"/>
    <w:rsid w:val="23220164"/>
    <w:rsid w:val="23687266"/>
    <w:rsid w:val="239E283A"/>
    <w:rsid w:val="23C50752"/>
    <w:rsid w:val="23FB3F1D"/>
    <w:rsid w:val="24471F9A"/>
    <w:rsid w:val="24C52CD1"/>
    <w:rsid w:val="254865DE"/>
    <w:rsid w:val="2553487A"/>
    <w:rsid w:val="25835DCD"/>
    <w:rsid w:val="266309DD"/>
    <w:rsid w:val="26D72F02"/>
    <w:rsid w:val="272C6C71"/>
    <w:rsid w:val="2751727B"/>
    <w:rsid w:val="27A41325"/>
    <w:rsid w:val="2883357E"/>
    <w:rsid w:val="28CD61E4"/>
    <w:rsid w:val="29002440"/>
    <w:rsid w:val="29074665"/>
    <w:rsid w:val="294465EA"/>
    <w:rsid w:val="29745FA8"/>
    <w:rsid w:val="29AA03EB"/>
    <w:rsid w:val="29E11EB3"/>
    <w:rsid w:val="2ACD412C"/>
    <w:rsid w:val="2B2E1D34"/>
    <w:rsid w:val="2B720F5B"/>
    <w:rsid w:val="2B7F65F8"/>
    <w:rsid w:val="2BC47472"/>
    <w:rsid w:val="2BF66C44"/>
    <w:rsid w:val="2CB97A0B"/>
    <w:rsid w:val="2CD96BFC"/>
    <w:rsid w:val="2D885072"/>
    <w:rsid w:val="2E212120"/>
    <w:rsid w:val="2E7E2992"/>
    <w:rsid w:val="2E833FD5"/>
    <w:rsid w:val="2E9376F7"/>
    <w:rsid w:val="2EAE1321"/>
    <w:rsid w:val="2EB56ABE"/>
    <w:rsid w:val="2EF84897"/>
    <w:rsid w:val="2F46563E"/>
    <w:rsid w:val="2FC72598"/>
    <w:rsid w:val="303420F7"/>
    <w:rsid w:val="303828C4"/>
    <w:rsid w:val="309D2483"/>
    <w:rsid w:val="311B5626"/>
    <w:rsid w:val="31AB2F6C"/>
    <w:rsid w:val="31B337FE"/>
    <w:rsid w:val="322719E3"/>
    <w:rsid w:val="329A17B1"/>
    <w:rsid w:val="32B94241"/>
    <w:rsid w:val="32CA39CD"/>
    <w:rsid w:val="32D1595E"/>
    <w:rsid w:val="330730AA"/>
    <w:rsid w:val="33151A6F"/>
    <w:rsid w:val="331A40E2"/>
    <w:rsid w:val="336C5AA4"/>
    <w:rsid w:val="34F36076"/>
    <w:rsid w:val="353958B6"/>
    <w:rsid w:val="355B1B61"/>
    <w:rsid w:val="35CF7D2E"/>
    <w:rsid w:val="35D12C06"/>
    <w:rsid w:val="35F05CB3"/>
    <w:rsid w:val="36790BEE"/>
    <w:rsid w:val="368B6290"/>
    <w:rsid w:val="37485F40"/>
    <w:rsid w:val="37830162"/>
    <w:rsid w:val="38263EC3"/>
    <w:rsid w:val="38B57934"/>
    <w:rsid w:val="396E6D74"/>
    <w:rsid w:val="398E21A0"/>
    <w:rsid w:val="3A690815"/>
    <w:rsid w:val="3A7D1434"/>
    <w:rsid w:val="3ADB5E5D"/>
    <w:rsid w:val="3B516F5F"/>
    <w:rsid w:val="3BAD01CE"/>
    <w:rsid w:val="3C5D5EB2"/>
    <w:rsid w:val="3CD71604"/>
    <w:rsid w:val="3D7C5159"/>
    <w:rsid w:val="3DC675BB"/>
    <w:rsid w:val="3E391964"/>
    <w:rsid w:val="3EC464A7"/>
    <w:rsid w:val="3F3D55CE"/>
    <w:rsid w:val="3FBF15DD"/>
    <w:rsid w:val="40151628"/>
    <w:rsid w:val="404D452C"/>
    <w:rsid w:val="4062387B"/>
    <w:rsid w:val="40B72BC3"/>
    <w:rsid w:val="41160E86"/>
    <w:rsid w:val="412852F4"/>
    <w:rsid w:val="41316040"/>
    <w:rsid w:val="41417793"/>
    <w:rsid w:val="41874723"/>
    <w:rsid w:val="419D566E"/>
    <w:rsid w:val="419E35DD"/>
    <w:rsid w:val="423E347B"/>
    <w:rsid w:val="426F70E2"/>
    <w:rsid w:val="432F457C"/>
    <w:rsid w:val="43637909"/>
    <w:rsid w:val="447E3D1E"/>
    <w:rsid w:val="44C466A7"/>
    <w:rsid w:val="44E95275"/>
    <w:rsid w:val="45411A0F"/>
    <w:rsid w:val="45846FDA"/>
    <w:rsid w:val="458C4D3B"/>
    <w:rsid w:val="45EF755D"/>
    <w:rsid w:val="467707AC"/>
    <w:rsid w:val="469C32C4"/>
    <w:rsid w:val="46A7134E"/>
    <w:rsid w:val="46FA5A09"/>
    <w:rsid w:val="471D46A3"/>
    <w:rsid w:val="47200B7C"/>
    <w:rsid w:val="472D7F93"/>
    <w:rsid w:val="484E07B3"/>
    <w:rsid w:val="48562F19"/>
    <w:rsid w:val="48D02C16"/>
    <w:rsid w:val="493A4C7D"/>
    <w:rsid w:val="49894330"/>
    <w:rsid w:val="4ADA4533"/>
    <w:rsid w:val="4C4A353D"/>
    <w:rsid w:val="4C7C0C93"/>
    <w:rsid w:val="4CB40890"/>
    <w:rsid w:val="4CF41A80"/>
    <w:rsid w:val="4E275F54"/>
    <w:rsid w:val="4E347530"/>
    <w:rsid w:val="4E7B679B"/>
    <w:rsid w:val="4E861068"/>
    <w:rsid w:val="4EA34458"/>
    <w:rsid w:val="4ECC5640"/>
    <w:rsid w:val="4ED40407"/>
    <w:rsid w:val="4F0B0299"/>
    <w:rsid w:val="4F456490"/>
    <w:rsid w:val="4F701917"/>
    <w:rsid w:val="4FB74C75"/>
    <w:rsid w:val="508B2D95"/>
    <w:rsid w:val="50D05819"/>
    <w:rsid w:val="51B870B6"/>
    <w:rsid w:val="51D235D5"/>
    <w:rsid w:val="51EE674E"/>
    <w:rsid w:val="524148A5"/>
    <w:rsid w:val="52724D76"/>
    <w:rsid w:val="52FF21EE"/>
    <w:rsid w:val="538D1DFE"/>
    <w:rsid w:val="538D6B2F"/>
    <w:rsid w:val="53A37A56"/>
    <w:rsid w:val="53BA4B3C"/>
    <w:rsid w:val="5548030C"/>
    <w:rsid w:val="557A6CE1"/>
    <w:rsid w:val="55836CAF"/>
    <w:rsid w:val="55847A61"/>
    <w:rsid w:val="56252F75"/>
    <w:rsid w:val="56C70E3A"/>
    <w:rsid w:val="5700109C"/>
    <w:rsid w:val="57091B88"/>
    <w:rsid w:val="57655ADE"/>
    <w:rsid w:val="57983927"/>
    <w:rsid w:val="57E43843"/>
    <w:rsid w:val="58063134"/>
    <w:rsid w:val="58304292"/>
    <w:rsid w:val="58C6740A"/>
    <w:rsid w:val="597413D9"/>
    <w:rsid w:val="59ED27BB"/>
    <w:rsid w:val="5A022B21"/>
    <w:rsid w:val="5A54028B"/>
    <w:rsid w:val="5A9C272C"/>
    <w:rsid w:val="5ADE1A30"/>
    <w:rsid w:val="5AE1696F"/>
    <w:rsid w:val="5CB91802"/>
    <w:rsid w:val="5CD74397"/>
    <w:rsid w:val="5CE119BC"/>
    <w:rsid w:val="5CE231BA"/>
    <w:rsid w:val="5D700621"/>
    <w:rsid w:val="5D7356CB"/>
    <w:rsid w:val="5DC47ACC"/>
    <w:rsid w:val="5E0F1E44"/>
    <w:rsid w:val="5E1E4107"/>
    <w:rsid w:val="5E704211"/>
    <w:rsid w:val="5F422CEF"/>
    <w:rsid w:val="5FB22918"/>
    <w:rsid w:val="5FD21F5C"/>
    <w:rsid w:val="60A30433"/>
    <w:rsid w:val="60BE4E71"/>
    <w:rsid w:val="61A801C4"/>
    <w:rsid w:val="622A0794"/>
    <w:rsid w:val="6267557D"/>
    <w:rsid w:val="62A722F7"/>
    <w:rsid w:val="62B00661"/>
    <w:rsid w:val="62D1573C"/>
    <w:rsid w:val="630C5817"/>
    <w:rsid w:val="6312326D"/>
    <w:rsid w:val="63557FC5"/>
    <w:rsid w:val="64176EAA"/>
    <w:rsid w:val="64324D45"/>
    <w:rsid w:val="643E1708"/>
    <w:rsid w:val="647D16DF"/>
    <w:rsid w:val="649C11D9"/>
    <w:rsid w:val="6567480A"/>
    <w:rsid w:val="65857F82"/>
    <w:rsid w:val="65A86ECA"/>
    <w:rsid w:val="65BD46DB"/>
    <w:rsid w:val="663215A3"/>
    <w:rsid w:val="6671131B"/>
    <w:rsid w:val="66F26EB4"/>
    <w:rsid w:val="6734169E"/>
    <w:rsid w:val="67D85FC0"/>
    <w:rsid w:val="67FC1D0E"/>
    <w:rsid w:val="68B161B5"/>
    <w:rsid w:val="68CC1D82"/>
    <w:rsid w:val="69140569"/>
    <w:rsid w:val="69431966"/>
    <w:rsid w:val="69752183"/>
    <w:rsid w:val="6A37182E"/>
    <w:rsid w:val="6A5958EF"/>
    <w:rsid w:val="6A6E68DD"/>
    <w:rsid w:val="6ACB5A1B"/>
    <w:rsid w:val="6AFA09E9"/>
    <w:rsid w:val="6B0151D7"/>
    <w:rsid w:val="6B832BE1"/>
    <w:rsid w:val="6BE64BE8"/>
    <w:rsid w:val="6C5414E7"/>
    <w:rsid w:val="6C7841A7"/>
    <w:rsid w:val="6CF27532"/>
    <w:rsid w:val="6D892273"/>
    <w:rsid w:val="6DF822A2"/>
    <w:rsid w:val="6E211BE5"/>
    <w:rsid w:val="6E85753F"/>
    <w:rsid w:val="6E8B6EBC"/>
    <w:rsid w:val="6F820770"/>
    <w:rsid w:val="6FCE5C92"/>
    <w:rsid w:val="6FCF3DBD"/>
    <w:rsid w:val="700050BF"/>
    <w:rsid w:val="70087B78"/>
    <w:rsid w:val="701E35FB"/>
    <w:rsid w:val="70BD3293"/>
    <w:rsid w:val="70C23A27"/>
    <w:rsid w:val="71274B41"/>
    <w:rsid w:val="713A2D4B"/>
    <w:rsid w:val="71AC6585"/>
    <w:rsid w:val="71D25191"/>
    <w:rsid w:val="71ED3F94"/>
    <w:rsid w:val="723E1313"/>
    <w:rsid w:val="72961BD7"/>
    <w:rsid w:val="72A15A9A"/>
    <w:rsid w:val="72CD6733"/>
    <w:rsid w:val="72E76BCD"/>
    <w:rsid w:val="73751ADB"/>
    <w:rsid w:val="743947AE"/>
    <w:rsid w:val="750C0668"/>
    <w:rsid w:val="75173B35"/>
    <w:rsid w:val="758F1615"/>
    <w:rsid w:val="7682537A"/>
    <w:rsid w:val="7697365A"/>
    <w:rsid w:val="774928DE"/>
    <w:rsid w:val="776C32D7"/>
    <w:rsid w:val="777D6B55"/>
    <w:rsid w:val="77F457C5"/>
    <w:rsid w:val="78660231"/>
    <w:rsid w:val="78803518"/>
    <w:rsid w:val="790C40E2"/>
    <w:rsid w:val="790F2BC5"/>
    <w:rsid w:val="799F272B"/>
    <w:rsid w:val="7A0A6915"/>
    <w:rsid w:val="7A420ED2"/>
    <w:rsid w:val="7A447214"/>
    <w:rsid w:val="7A466123"/>
    <w:rsid w:val="7A6533D6"/>
    <w:rsid w:val="7ACE4ED2"/>
    <w:rsid w:val="7AEB1922"/>
    <w:rsid w:val="7B271AFB"/>
    <w:rsid w:val="7B3629C3"/>
    <w:rsid w:val="7B440185"/>
    <w:rsid w:val="7B936CE1"/>
    <w:rsid w:val="7BB6507E"/>
    <w:rsid w:val="7BD3486B"/>
    <w:rsid w:val="7C0B74CE"/>
    <w:rsid w:val="7C0D4F10"/>
    <w:rsid w:val="7C661834"/>
    <w:rsid w:val="7CB108B5"/>
    <w:rsid w:val="7CC86FD7"/>
    <w:rsid w:val="7CDE3062"/>
    <w:rsid w:val="7D19217D"/>
    <w:rsid w:val="7D22697F"/>
    <w:rsid w:val="7DE8127A"/>
    <w:rsid w:val="7DF00D06"/>
    <w:rsid w:val="7E9D5C5E"/>
    <w:rsid w:val="7F4935F3"/>
    <w:rsid w:val="7F594CD4"/>
    <w:rsid w:val="7F682830"/>
    <w:rsid w:val="7FFD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4"/>
    <w:next w:val="1"/>
    <w:link w:val="30"/>
    <w:qFormat/>
    <w:uiPriority w:val="0"/>
    <w:pPr>
      <w:keepNext/>
      <w:keepLines/>
      <w:spacing w:beforeLines="0" w:beforeAutospacing="0" w:afterLines="0" w:afterAutospacing="0" w:line="360" w:lineRule="auto"/>
      <w:ind w:firstLine="0" w:firstLineChars="0"/>
      <w:jc w:val="center"/>
      <w:outlineLvl w:val="0"/>
    </w:pPr>
    <w:rPr>
      <w:rFonts w:ascii="Arial" w:hAnsi="Arial"/>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outlineLvl w:val="1"/>
    </w:pPr>
    <w:rPr>
      <w:b/>
      <w:sz w:val="32"/>
    </w:rPr>
  </w:style>
  <w:style w:type="paragraph" w:styleId="6">
    <w:name w:val="heading 3"/>
    <w:basedOn w:val="1"/>
    <w:next w:val="1"/>
    <w:link w:val="22"/>
    <w:unhideWhenUsed/>
    <w:qFormat/>
    <w:uiPriority w:val="0"/>
    <w:pPr>
      <w:keepNext/>
      <w:keepLines/>
      <w:spacing w:beforeLines="0" w:beforeAutospacing="0" w:afterLines="0" w:afterAutospacing="0" w:line="360" w:lineRule="auto"/>
      <w:ind w:firstLine="0" w:firstLineChars="0"/>
      <w:outlineLvl w:val="2"/>
    </w:pPr>
    <w:rPr>
      <w:rFonts w:eastAsia="仿宋"/>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1"/>
    <w:qFormat/>
    <w:uiPriority w:val="0"/>
    <w:pPr>
      <w:ind w:left="200" w:leftChars="200" w:firstLine="420"/>
    </w:pPr>
    <w:rPr>
      <w:rFonts w:ascii="仿宋_GB2312" w:eastAsia="仿宋_GB2312" w:cs="仿宋_GB2312"/>
      <w:sz w:val="32"/>
      <w:szCs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annotation text"/>
    <w:basedOn w:val="1"/>
    <w:semiHidden/>
    <w:unhideWhenUsed/>
    <w:qFormat/>
    <w:uiPriority w:val="99"/>
    <w:pPr>
      <w:jc w:val="left"/>
    </w:pPr>
  </w:style>
  <w:style w:type="paragraph" w:styleId="9">
    <w:name w:val="toc 3"/>
    <w:basedOn w:val="1"/>
    <w:next w:val="1"/>
    <w:qFormat/>
    <w:uiPriority w:val="0"/>
    <w:pPr>
      <w:ind w:left="840" w:leftChars="400" w:firstLine="0" w:firstLineChars="0"/>
    </w:pPr>
  </w:style>
  <w:style w:type="paragraph" w:styleId="10">
    <w:name w:val="footer"/>
    <w:basedOn w:val="1"/>
    <w:link w:val="3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ind w:firstLine="0" w:firstLineChars="0"/>
    </w:pPr>
    <w:rPr>
      <w:b/>
    </w:rPr>
  </w:style>
  <w:style w:type="paragraph" w:styleId="13">
    <w:name w:val="toc 2"/>
    <w:basedOn w:val="1"/>
    <w:next w:val="1"/>
    <w:qFormat/>
    <w:uiPriority w:val="0"/>
    <w:pPr>
      <w:ind w:left="420" w:leftChars="200" w:firstLine="0" w:firstLineChars="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Default"/>
    <w:link w:val="26"/>
    <w:qFormat/>
    <w:uiPriority w:val="99"/>
    <w:pPr>
      <w:widowControl w:val="0"/>
      <w:autoSpaceDE w:val="0"/>
      <w:autoSpaceDN w:val="0"/>
      <w:adjustRightInd w:val="0"/>
      <w:spacing w:line="360" w:lineRule="auto"/>
    </w:pPr>
    <w:rPr>
      <w:rFonts w:ascii="Times New Roman" w:hAnsi="Times New Roman" w:eastAsia="宋体" w:cs="黑体"/>
      <w:color w:val="000000"/>
      <w:sz w:val="24"/>
      <w:szCs w:val="24"/>
      <w:lang w:val="en-US" w:eastAsia="zh-CN" w:bidi="ar-SA"/>
    </w:rPr>
  </w:style>
  <w:style w:type="paragraph" w:customStyle="1" w:styleId="21">
    <w:name w:val="表格"/>
    <w:basedOn w:val="20"/>
    <w:link w:val="27"/>
    <w:qFormat/>
    <w:uiPriority w:val="0"/>
    <w:pPr>
      <w:adjustRightInd/>
      <w:spacing w:line="240" w:lineRule="auto"/>
      <w:jc w:val="center"/>
    </w:pPr>
    <w:rPr>
      <w:rFonts w:ascii="Times New Roman" w:hAnsi="Times New Roman" w:eastAsia="仿宋"/>
      <w:b/>
      <w:sz w:val="24"/>
    </w:rPr>
  </w:style>
  <w:style w:type="character" w:customStyle="1" w:styleId="22">
    <w:name w:val="标题 3 Char"/>
    <w:link w:val="6"/>
    <w:qFormat/>
    <w:uiPriority w:val="0"/>
    <w:rPr>
      <w:rFonts w:eastAsia="仿宋"/>
      <w:b/>
      <w:sz w:val="32"/>
    </w:rPr>
  </w:style>
  <w:style w:type="paragraph" w:styleId="23">
    <w:name w:val="List Paragraph"/>
    <w:basedOn w:val="1"/>
    <w:qFormat/>
    <w:uiPriority w:val="34"/>
    <w:pPr>
      <w:ind w:firstLine="420" w:firstLineChars="200"/>
    </w:pPr>
  </w:style>
  <w:style w:type="paragraph" w:customStyle="1" w:styleId="24">
    <w:name w:val="G样式1"/>
    <w:basedOn w:val="1"/>
    <w:qFormat/>
    <w:uiPriority w:val="0"/>
    <w:pPr>
      <w:spacing w:line="480" w:lineRule="exact"/>
      <w:ind w:firstLine="200" w:firstLineChars="200"/>
      <w:jc w:val="left"/>
    </w:pPr>
    <w:rPr>
      <w:rFonts w:ascii="Calibri" w:hAnsi="Calibri" w:eastAsia="宋体" w:cs="黑体"/>
      <w:kern w:val="0"/>
      <w:sz w:val="28"/>
      <w:szCs w:val="28"/>
      <w:lang w:eastAsia="en-US"/>
    </w:rPr>
  </w:style>
  <w:style w:type="table" w:customStyle="1" w:styleId="25">
    <w:name w:val="网格型1"/>
    <w:basedOn w:val="15"/>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Default Char"/>
    <w:link w:val="20"/>
    <w:qFormat/>
    <w:uiPriority w:val="99"/>
    <w:rPr>
      <w:rFonts w:ascii="Times New Roman" w:hAnsi="Times New Roman" w:eastAsia="宋体" w:cs="黑体"/>
      <w:color w:val="000000"/>
      <w:sz w:val="24"/>
      <w:szCs w:val="24"/>
      <w:lang w:val="en-US" w:eastAsia="zh-CN" w:bidi="ar-SA"/>
    </w:rPr>
  </w:style>
  <w:style w:type="character" w:customStyle="1" w:styleId="27">
    <w:name w:val="表格 Char"/>
    <w:link w:val="21"/>
    <w:qFormat/>
    <w:uiPriority w:val="0"/>
    <w:rPr>
      <w:rFonts w:ascii="Times New Roman" w:hAnsi="Times New Roman" w:eastAsia="仿宋"/>
      <w:b/>
      <w:sz w:val="24"/>
    </w:rPr>
  </w:style>
  <w:style w:type="paragraph" w:customStyle="1" w:styleId="28">
    <w:name w:val="Table Paragraph"/>
    <w:basedOn w:val="1"/>
    <w:qFormat/>
    <w:uiPriority w:val="1"/>
  </w:style>
  <w:style w:type="paragraph" w:customStyle="1" w:styleId="29">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30">
    <w:name w:val="标题 1 Char"/>
    <w:link w:val="3"/>
    <w:qFormat/>
    <w:uiPriority w:val="0"/>
    <w:rPr>
      <w:rFonts w:ascii="Arial" w:hAnsi="Arial" w:eastAsia="仿宋"/>
      <w:b/>
      <w:kern w:val="44"/>
      <w:sz w:val="32"/>
    </w:rPr>
  </w:style>
  <w:style w:type="character" w:customStyle="1" w:styleId="31">
    <w:name w:val="页脚 字符"/>
    <w:basedOn w:val="17"/>
    <w:link w:val="10"/>
    <w:qFormat/>
    <w:uiPriority w:val="0"/>
    <w:rPr>
      <w:rFonts w:hint="default" w:ascii="Calibri" w:hAnsi="Calibri" w:eastAsia="仿宋" w:cs="Calibri"/>
      <w:kern w:val="2"/>
      <w:sz w:val="18"/>
      <w:szCs w:val="18"/>
    </w:rPr>
  </w:style>
  <w:style w:type="character" w:customStyle="1" w:styleId="32">
    <w:name w:val="font01"/>
    <w:qFormat/>
    <w:uiPriority w:val="0"/>
    <w:rPr>
      <w:rFonts w:hint="eastAsia" w:ascii="宋体" w:hAnsi="宋体" w:eastAsia="宋体"/>
      <w:color w:val="000000"/>
      <w:sz w:val="22"/>
      <w:szCs w:val="22"/>
      <w:u w:val="none"/>
    </w:rPr>
  </w:style>
  <w:style w:type="paragraph" w:customStyle="1" w:styleId="33">
    <w:name w:val="标题3"/>
    <w:next w:val="7"/>
    <w:qFormat/>
    <w:uiPriority w:val="0"/>
    <w:pPr>
      <w:spacing w:line="360" w:lineRule="auto"/>
    </w:pPr>
    <w:rPr>
      <w:rFonts w:ascii="Times New Roman" w:hAnsi="Times New Roman" w:eastAsia="宋体" w:cs="Times New Roman"/>
      <w:b/>
      <w:bCs/>
      <w:kern w:val="2"/>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3855</Words>
  <Characters>4201</Characters>
  <Lines>0</Lines>
  <Paragraphs>0</Paragraphs>
  <TotalTime>1</TotalTime>
  <ScaleCrop>false</ScaleCrop>
  <LinksUpToDate>false</LinksUpToDate>
  <CharactersWithSpaces>4365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2021-07-16T07:04:00Z</dcterms:created>
  <dc:creator>Ctjczx666</dc:creator>
  <cp:lastModifiedBy>Midnight Sun</cp:lastModifiedBy>
  <dcterms:modified xsi:type="dcterms:W3CDTF">2025-09-24T03:09:39Z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AB713E2FD0A646CDB74184ADD536DBDB_13</vt:lpwstr>
  </property>
  <property fmtid="{D5CDD505-2E9C-101B-9397-08002B2CF9AE}" pid="4" name="KSOTemplateDocerSaveRecord">
    <vt:lpwstr>eyJoZGlkIjoiNjhhNTg3ZmY3ZDJiODRhMGExZjczZjIwN2RiNjA5MWYiLCJ1c2VySWQiOiIyNTMyNDgzMTgifQ==</vt:lpwstr>
  </property>
</Properties>
</file>