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3EBBAD7">
      <w:pPr>
        <w:spacing w:line="288" w:lineRule="auto"/>
        <w:jc w:val="center"/>
        <w:rPr>
          <w:rFonts w:eastAsia="仿宋"/>
          <w:b/>
          <w:sz w:val="48"/>
          <w:szCs w:val="48"/>
        </w:rPr>
      </w:pPr>
      <w:bookmarkStart w:id="0" w:name="_Hlk51097220"/>
      <w:bookmarkEnd w:id="0"/>
      <w:bookmarkStart w:id="135" w:name="_GoBack"/>
      <w:bookmarkEnd w:id="135"/>
    </w:p>
    <w:p w14:paraId="7B760819">
      <w:pPr>
        <w:spacing w:line="288" w:lineRule="auto"/>
        <w:jc w:val="center"/>
        <w:rPr>
          <w:rFonts w:eastAsia="仿宋"/>
          <w:b/>
          <w:sz w:val="48"/>
          <w:szCs w:val="48"/>
        </w:rPr>
      </w:pPr>
    </w:p>
    <w:p w14:paraId="33972BC8">
      <w:pPr>
        <w:spacing w:line="600" w:lineRule="auto"/>
        <w:jc w:val="center"/>
        <w:rPr>
          <w:rFonts w:eastAsia="仿宋"/>
          <w:b/>
          <w:sz w:val="48"/>
          <w:szCs w:val="48"/>
        </w:rPr>
      </w:pPr>
      <w:r>
        <w:rPr>
          <w:rFonts w:eastAsia="仿宋"/>
          <w:b/>
          <w:sz w:val="48"/>
          <w:szCs w:val="48"/>
        </w:rPr>
        <w:t>花溪区</w:t>
      </w:r>
      <w:r>
        <w:rPr>
          <w:rFonts w:hint="eastAsia" w:eastAsia="仿宋"/>
          <w:b/>
          <w:sz w:val="48"/>
          <w:szCs w:val="48"/>
        </w:rPr>
        <w:t>千人以上</w:t>
      </w:r>
      <w:r>
        <w:rPr>
          <w:rFonts w:eastAsia="仿宋"/>
          <w:b/>
          <w:sz w:val="48"/>
          <w:szCs w:val="48"/>
        </w:rPr>
        <w:t>集中式饮用水水源地</w:t>
      </w:r>
    </w:p>
    <w:p w14:paraId="4513D87F">
      <w:pPr>
        <w:spacing w:line="600" w:lineRule="auto"/>
        <w:jc w:val="center"/>
        <w:rPr>
          <w:rFonts w:eastAsia="仿宋"/>
          <w:b/>
          <w:sz w:val="48"/>
          <w:szCs w:val="48"/>
        </w:rPr>
      </w:pPr>
      <w:r>
        <w:rPr>
          <w:rFonts w:eastAsia="仿宋"/>
          <w:b/>
          <w:sz w:val="48"/>
          <w:szCs w:val="48"/>
        </w:rPr>
        <w:t>突发环境事件应急预案</w:t>
      </w:r>
    </w:p>
    <w:p w14:paraId="6C4729CC">
      <w:pPr>
        <w:ind w:firstLine="602"/>
        <w:rPr>
          <w:rFonts w:eastAsia="仿宋"/>
          <w:bCs/>
          <w:sz w:val="30"/>
          <w:szCs w:val="30"/>
        </w:rPr>
      </w:pPr>
    </w:p>
    <w:p w14:paraId="4C3D0D00">
      <w:pPr>
        <w:ind w:firstLine="602"/>
        <w:rPr>
          <w:rFonts w:eastAsia="仿宋"/>
          <w:bCs/>
          <w:sz w:val="30"/>
          <w:szCs w:val="30"/>
        </w:rPr>
      </w:pPr>
    </w:p>
    <w:p w14:paraId="7F488001">
      <w:pPr>
        <w:ind w:firstLine="602"/>
        <w:rPr>
          <w:rFonts w:eastAsia="仿宋"/>
          <w:bCs/>
          <w:sz w:val="30"/>
          <w:szCs w:val="30"/>
        </w:rPr>
      </w:pPr>
    </w:p>
    <w:p w14:paraId="41735DE8">
      <w:pPr>
        <w:ind w:firstLine="602"/>
        <w:rPr>
          <w:rFonts w:eastAsia="仿宋"/>
          <w:bCs/>
          <w:sz w:val="30"/>
          <w:szCs w:val="30"/>
        </w:rPr>
      </w:pPr>
    </w:p>
    <w:p w14:paraId="068A851C">
      <w:pPr>
        <w:ind w:firstLine="602"/>
        <w:rPr>
          <w:rFonts w:eastAsia="仿宋"/>
          <w:bCs/>
          <w:sz w:val="30"/>
          <w:szCs w:val="30"/>
        </w:rPr>
      </w:pPr>
    </w:p>
    <w:p w14:paraId="6C57481E">
      <w:pPr>
        <w:ind w:firstLine="602"/>
        <w:rPr>
          <w:rFonts w:eastAsia="仿宋"/>
          <w:bCs/>
          <w:sz w:val="30"/>
          <w:szCs w:val="30"/>
        </w:rPr>
      </w:pPr>
    </w:p>
    <w:p w14:paraId="63FF9A1F">
      <w:pPr>
        <w:ind w:firstLine="602"/>
        <w:rPr>
          <w:rFonts w:eastAsia="仿宋"/>
          <w:bCs/>
          <w:sz w:val="30"/>
          <w:szCs w:val="30"/>
        </w:rPr>
      </w:pPr>
    </w:p>
    <w:p w14:paraId="2FD0A1CF">
      <w:pPr>
        <w:ind w:firstLine="602"/>
        <w:rPr>
          <w:rFonts w:eastAsia="仿宋"/>
          <w:bCs/>
          <w:sz w:val="30"/>
          <w:szCs w:val="30"/>
        </w:rPr>
      </w:pPr>
    </w:p>
    <w:p w14:paraId="0C2130C6">
      <w:pPr>
        <w:ind w:firstLine="602"/>
        <w:rPr>
          <w:rFonts w:eastAsia="仿宋"/>
          <w:bCs/>
          <w:sz w:val="30"/>
          <w:szCs w:val="30"/>
        </w:rPr>
      </w:pPr>
    </w:p>
    <w:p w14:paraId="5340A96E">
      <w:pPr>
        <w:ind w:firstLine="602"/>
        <w:rPr>
          <w:rFonts w:eastAsia="仿宋"/>
          <w:bCs/>
          <w:sz w:val="30"/>
          <w:szCs w:val="30"/>
        </w:rPr>
      </w:pPr>
    </w:p>
    <w:p w14:paraId="72BC02BA">
      <w:pPr>
        <w:ind w:firstLine="602"/>
        <w:rPr>
          <w:rFonts w:eastAsia="仿宋"/>
          <w:bCs/>
          <w:sz w:val="30"/>
          <w:szCs w:val="30"/>
        </w:rPr>
      </w:pPr>
    </w:p>
    <w:p w14:paraId="71FA5BB4">
      <w:pPr>
        <w:rPr>
          <w:rFonts w:eastAsia="仿宋"/>
          <w:bCs/>
          <w:sz w:val="30"/>
          <w:szCs w:val="30"/>
        </w:rPr>
      </w:pPr>
    </w:p>
    <w:p w14:paraId="2CAAB152">
      <w:pPr>
        <w:spacing w:line="288" w:lineRule="auto"/>
        <w:ind w:firstLine="1020" w:firstLineChars="300"/>
        <w:rPr>
          <w:rFonts w:eastAsia="仿宋"/>
          <w:bCs/>
          <w:spacing w:val="-10"/>
          <w:sz w:val="36"/>
          <w:szCs w:val="36"/>
        </w:rPr>
      </w:pPr>
    </w:p>
    <w:p w14:paraId="1C28ABE5">
      <w:pPr>
        <w:rPr>
          <w:rFonts w:eastAsia="仿宋"/>
        </w:rPr>
      </w:pPr>
    </w:p>
    <w:p w14:paraId="2EBA39AA">
      <w:pPr>
        <w:rPr>
          <w:rFonts w:eastAsia="仿宋"/>
        </w:rPr>
        <w:sectPr>
          <w:footerReference r:id="rId5" w:type="default"/>
          <w:pgSz w:w="11906" w:h="16838"/>
          <w:pgMar w:top="1440" w:right="1800" w:bottom="1440" w:left="1800" w:header="851" w:footer="992" w:gutter="0"/>
          <w:cols w:space="425" w:num="1"/>
          <w:docGrid w:type="lines" w:linePitch="312" w:charSpace="0"/>
        </w:sectPr>
      </w:pPr>
    </w:p>
    <w:p w14:paraId="76A0EDD8">
      <w:pPr>
        <w:jc w:val="center"/>
        <w:rPr>
          <w:rFonts w:eastAsia="仿宋"/>
          <w:b/>
          <w:sz w:val="36"/>
        </w:rPr>
      </w:pPr>
      <w:r>
        <w:rPr>
          <w:rFonts w:eastAsia="仿宋"/>
          <w:b/>
          <w:sz w:val="36"/>
        </w:rPr>
        <w:t>目  录</w:t>
      </w:r>
    </w:p>
    <w:p w14:paraId="610BFBB3">
      <w:pPr>
        <w:pStyle w:val="9"/>
        <w:tabs>
          <w:tab w:val="right" w:leader="middleDot" w:pos="8296"/>
        </w:tabs>
        <w:rPr>
          <w:rFonts w:asciiTheme="minorHAnsi" w:hAnsiTheme="minorHAnsi" w:eastAsiaTheme="minorEastAsia" w:cstheme="minorBidi"/>
          <w:sz w:val="21"/>
        </w:rPr>
      </w:pPr>
      <w:r>
        <w:rPr>
          <w:rFonts w:eastAsia="仿宋"/>
        </w:rPr>
        <w:fldChar w:fldCharType="begin"/>
      </w:r>
      <w:r>
        <w:rPr>
          <w:rFonts w:eastAsia="仿宋"/>
        </w:rPr>
        <w:instrText xml:space="preserve"> TOC \o "1-2" \h \z \u </w:instrText>
      </w:r>
      <w:r>
        <w:rPr>
          <w:rFonts w:eastAsia="仿宋"/>
        </w:rPr>
        <w:fldChar w:fldCharType="separate"/>
      </w:r>
      <w:r>
        <w:fldChar w:fldCharType="begin"/>
      </w:r>
      <w:r>
        <w:instrText xml:space="preserve"> HYPERLINK \l "_Toc60930756" </w:instrText>
      </w:r>
      <w:r>
        <w:fldChar w:fldCharType="separate"/>
      </w:r>
      <w:r>
        <w:rPr>
          <w:rStyle w:val="18"/>
          <w:rFonts w:eastAsia="仿宋"/>
          <w:b/>
          <w:bCs/>
        </w:rPr>
        <w:t>1  总 则</w:t>
      </w:r>
      <w:r>
        <w:tab/>
      </w:r>
      <w:r>
        <w:fldChar w:fldCharType="begin"/>
      </w:r>
      <w:r>
        <w:instrText xml:space="preserve"> PAGEREF _Toc60930756 \h </w:instrText>
      </w:r>
      <w:r>
        <w:fldChar w:fldCharType="separate"/>
      </w:r>
      <w:r>
        <w:t>1</w:t>
      </w:r>
      <w:r>
        <w:fldChar w:fldCharType="end"/>
      </w:r>
      <w:r>
        <w:fldChar w:fldCharType="end"/>
      </w:r>
    </w:p>
    <w:p w14:paraId="7856371C">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"_Toc60930757" </w:instrText>
      </w:r>
      <w:r>
        <w:fldChar w:fldCharType="separate"/>
      </w:r>
      <w:r>
        <w:rPr>
          <w:rStyle w:val="18"/>
          <w:rFonts w:eastAsia="仿宋"/>
        </w:rPr>
        <w:t>1.1 编制目的</w:t>
      </w:r>
      <w:r>
        <w:tab/>
      </w:r>
      <w:r>
        <w:fldChar w:fldCharType="begin"/>
      </w:r>
      <w:r>
        <w:instrText xml:space="preserve"> PAGEREF _Toc60930757 \h </w:instrText>
      </w:r>
      <w:r>
        <w:fldChar w:fldCharType="separate"/>
      </w:r>
      <w:r>
        <w:t>1</w:t>
      </w:r>
      <w:r>
        <w:fldChar w:fldCharType="end"/>
      </w:r>
      <w:r>
        <w:fldChar w:fldCharType="end"/>
      </w:r>
    </w:p>
    <w:p w14:paraId="5C70E992">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"_Toc60930758" </w:instrText>
      </w:r>
      <w:r>
        <w:fldChar w:fldCharType="separate"/>
      </w:r>
      <w:r>
        <w:rPr>
          <w:rStyle w:val="18"/>
          <w:rFonts w:eastAsia="仿宋"/>
        </w:rPr>
        <w:t>1.2 编制依据</w:t>
      </w:r>
      <w:r>
        <w:tab/>
      </w:r>
      <w:r>
        <w:fldChar w:fldCharType="begin"/>
      </w:r>
      <w:r>
        <w:instrText xml:space="preserve"> PAGEREF _Toc60930758 \h </w:instrText>
      </w:r>
      <w:r>
        <w:fldChar w:fldCharType="separate"/>
      </w:r>
      <w:r>
        <w:t>1</w:t>
      </w:r>
      <w:r>
        <w:fldChar w:fldCharType="end"/>
      </w:r>
      <w:r>
        <w:fldChar w:fldCharType="end"/>
      </w:r>
    </w:p>
    <w:p w14:paraId="2FFDF0FF">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"_Toc60930759" </w:instrText>
      </w:r>
      <w:r>
        <w:fldChar w:fldCharType="separate"/>
      </w:r>
      <w:r>
        <w:rPr>
          <w:rStyle w:val="18"/>
          <w:rFonts w:eastAsia="仿宋"/>
        </w:rPr>
        <w:t>1.3适用范围</w:t>
      </w:r>
      <w:r>
        <w:tab/>
      </w:r>
      <w:r>
        <w:fldChar w:fldCharType="begin"/>
      </w:r>
      <w:r>
        <w:instrText xml:space="preserve"> PAGEREF _Toc60930759 \h </w:instrText>
      </w:r>
      <w:r>
        <w:fldChar w:fldCharType="separate"/>
      </w:r>
      <w:r>
        <w:t>4</w:t>
      </w:r>
      <w:r>
        <w:fldChar w:fldCharType="end"/>
      </w:r>
      <w:r>
        <w:fldChar w:fldCharType="end"/>
      </w:r>
    </w:p>
    <w:p w14:paraId="31B5B318">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"_Toc60930760" </w:instrText>
      </w:r>
      <w:r>
        <w:fldChar w:fldCharType="separate"/>
      </w:r>
      <w:r>
        <w:rPr>
          <w:rStyle w:val="18"/>
          <w:rFonts w:eastAsia="仿宋"/>
        </w:rPr>
        <w:t>1.4预案衔接</w:t>
      </w:r>
      <w:r>
        <w:tab/>
      </w:r>
      <w:r>
        <w:fldChar w:fldCharType="begin"/>
      </w:r>
      <w:r>
        <w:instrText xml:space="preserve"> PAGEREF _Toc60930760 \h </w:instrText>
      </w:r>
      <w:r>
        <w:fldChar w:fldCharType="separate"/>
      </w:r>
      <w:r>
        <w:t>4</w:t>
      </w:r>
      <w:r>
        <w:fldChar w:fldCharType="end"/>
      </w:r>
      <w:r>
        <w:fldChar w:fldCharType="end"/>
      </w:r>
    </w:p>
    <w:p w14:paraId="109519CF">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"_Toc60930761" </w:instrText>
      </w:r>
      <w:r>
        <w:fldChar w:fldCharType="separate"/>
      </w:r>
      <w:r>
        <w:rPr>
          <w:rStyle w:val="18"/>
          <w:rFonts w:eastAsia="仿宋"/>
        </w:rPr>
        <w:t>1.5工作原则</w:t>
      </w:r>
      <w:r>
        <w:tab/>
      </w:r>
      <w:r>
        <w:fldChar w:fldCharType="begin"/>
      </w:r>
      <w:r>
        <w:instrText xml:space="preserve"> PAGEREF _Toc60930761 \h </w:instrText>
      </w:r>
      <w:r>
        <w:fldChar w:fldCharType="separate"/>
      </w:r>
      <w:r>
        <w:t>5</w:t>
      </w:r>
      <w:r>
        <w:fldChar w:fldCharType="end"/>
      </w:r>
      <w:r>
        <w:fldChar w:fldCharType="end"/>
      </w:r>
    </w:p>
    <w:p w14:paraId="40C2F5FF">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"_Toc60930762" </w:instrText>
      </w:r>
      <w:r>
        <w:fldChar w:fldCharType="separate"/>
      </w:r>
      <w:r>
        <w:rPr>
          <w:rStyle w:val="18"/>
          <w:rFonts w:eastAsia="仿宋"/>
        </w:rPr>
        <w:t>1.6事件分级</w:t>
      </w:r>
      <w:r>
        <w:tab/>
      </w:r>
      <w:r>
        <w:fldChar w:fldCharType="begin"/>
      </w:r>
      <w:r>
        <w:instrText xml:space="preserve"> PAGEREF _Toc60930762 \h </w:instrText>
      </w:r>
      <w:r>
        <w:fldChar w:fldCharType="separate"/>
      </w:r>
      <w:r>
        <w:t>7</w:t>
      </w:r>
      <w:r>
        <w:fldChar w:fldCharType="end"/>
      </w:r>
      <w:r>
        <w:fldChar w:fldCharType="end"/>
      </w:r>
    </w:p>
    <w:p w14:paraId="37FADC47">
      <w:pPr>
        <w:pStyle w:val="9"/>
        <w:tabs>
          <w:tab w:val="right" w:leader="middleDot" w:pos="8296"/>
        </w:tabs>
        <w:rPr>
          <w:rFonts w:asciiTheme="minorHAnsi" w:hAnsiTheme="minorHAnsi" w:eastAsiaTheme="minorEastAsia" w:cstheme="minorBidi"/>
          <w:sz w:val="21"/>
        </w:rPr>
      </w:pPr>
      <w:r>
        <w:fldChar w:fldCharType="begin"/>
      </w:r>
      <w:r>
        <w:instrText xml:space="preserve"> HYPERLINK \l "_Toc60930763" </w:instrText>
      </w:r>
      <w:r>
        <w:fldChar w:fldCharType="separate"/>
      </w:r>
      <w:r>
        <w:rPr>
          <w:rStyle w:val="18"/>
          <w:rFonts w:eastAsia="仿宋"/>
          <w:b/>
          <w:bCs/>
        </w:rPr>
        <w:t>2  水源地概况及风险识别</w:t>
      </w:r>
      <w:r>
        <w:tab/>
      </w:r>
      <w:r>
        <w:fldChar w:fldCharType="begin"/>
      </w:r>
      <w:r>
        <w:instrText xml:space="preserve"> PAGEREF _Toc60930763 \h </w:instrText>
      </w:r>
      <w:r>
        <w:fldChar w:fldCharType="separate"/>
      </w:r>
      <w:r>
        <w:t>10</w:t>
      </w:r>
      <w:r>
        <w:fldChar w:fldCharType="end"/>
      </w:r>
      <w:r>
        <w:fldChar w:fldCharType="end"/>
      </w:r>
    </w:p>
    <w:p w14:paraId="11AD0FA0">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"_Toc60930764" </w:instrText>
      </w:r>
      <w:r>
        <w:fldChar w:fldCharType="separate"/>
      </w:r>
      <w:r>
        <w:rPr>
          <w:rStyle w:val="18"/>
          <w:rFonts w:eastAsia="仿宋"/>
        </w:rPr>
        <w:t>2.1高坡乡阴河洞水源</w:t>
      </w:r>
      <w:r>
        <w:tab/>
      </w:r>
      <w:r>
        <w:fldChar w:fldCharType="begin"/>
      </w:r>
      <w:r>
        <w:instrText xml:space="preserve"> PAGEREF _Toc60930764 \h </w:instrText>
      </w:r>
      <w:r>
        <w:fldChar w:fldCharType="separate"/>
      </w:r>
      <w:r>
        <w:t>12</w:t>
      </w:r>
      <w:r>
        <w:fldChar w:fldCharType="end"/>
      </w:r>
      <w:r>
        <w:fldChar w:fldCharType="end"/>
      </w:r>
    </w:p>
    <w:p w14:paraId="7C2B1E78">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"_Toc60930765" </w:instrText>
      </w:r>
      <w:r>
        <w:fldChar w:fldCharType="separate"/>
      </w:r>
      <w:r>
        <w:rPr>
          <w:rStyle w:val="18"/>
          <w:rFonts w:eastAsia="仿宋"/>
        </w:rPr>
        <w:t>2.2高坡乡苦蒿冲水源</w:t>
      </w:r>
      <w:r>
        <w:tab/>
      </w:r>
      <w:r>
        <w:fldChar w:fldCharType="begin"/>
      </w:r>
      <w:r>
        <w:instrText xml:space="preserve"> PAGEREF _Toc60930765 \h </w:instrText>
      </w:r>
      <w:r>
        <w:fldChar w:fldCharType="separate"/>
      </w:r>
      <w:r>
        <w:t>14</w:t>
      </w:r>
      <w:r>
        <w:fldChar w:fldCharType="end"/>
      </w:r>
      <w:r>
        <w:fldChar w:fldCharType="end"/>
      </w:r>
    </w:p>
    <w:p w14:paraId="32168898">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"_Toc60930766" </w:instrText>
      </w:r>
      <w:r>
        <w:fldChar w:fldCharType="separate"/>
      </w:r>
      <w:r>
        <w:rPr>
          <w:rStyle w:val="18"/>
          <w:rFonts w:eastAsia="仿宋"/>
        </w:rPr>
        <w:t>2.3马铃乡麻窝坑水源</w:t>
      </w:r>
      <w:r>
        <w:tab/>
      </w:r>
      <w:r>
        <w:fldChar w:fldCharType="begin"/>
      </w:r>
      <w:r>
        <w:instrText xml:space="preserve"> PAGEREF _Toc60930766 \h </w:instrText>
      </w:r>
      <w:r>
        <w:fldChar w:fldCharType="separate"/>
      </w:r>
      <w:r>
        <w:t>17</w:t>
      </w:r>
      <w:r>
        <w:fldChar w:fldCharType="end"/>
      </w:r>
      <w:r>
        <w:fldChar w:fldCharType="end"/>
      </w:r>
    </w:p>
    <w:p w14:paraId="01B79278">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"_Toc60930767" </w:instrText>
      </w:r>
      <w:r>
        <w:fldChar w:fldCharType="separate"/>
      </w:r>
      <w:r>
        <w:rPr>
          <w:rStyle w:val="18"/>
          <w:rFonts w:eastAsia="仿宋"/>
        </w:rPr>
        <w:t>2.4青岩镇海爬井水源</w:t>
      </w:r>
      <w:r>
        <w:tab/>
      </w:r>
      <w:r>
        <w:fldChar w:fldCharType="begin"/>
      </w:r>
      <w:r>
        <w:instrText xml:space="preserve"> PAGEREF _Toc60930767 \h </w:instrText>
      </w:r>
      <w:r>
        <w:fldChar w:fldCharType="separate"/>
      </w:r>
      <w:r>
        <w:t>19</w:t>
      </w:r>
      <w:r>
        <w:fldChar w:fldCharType="end"/>
      </w:r>
      <w:r>
        <w:fldChar w:fldCharType="end"/>
      </w:r>
    </w:p>
    <w:p w14:paraId="05C95FCA">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"_Toc60930768" </w:instrText>
      </w:r>
      <w:r>
        <w:fldChar w:fldCharType="separate"/>
      </w:r>
      <w:r>
        <w:rPr>
          <w:rStyle w:val="18"/>
          <w:rFonts w:eastAsia="仿宋"/>
        </w:rPr>
        <w:t>2.5青岩镇龙井沟水源</w:t>
      </w:r>
      <w:r>
        <w:tab/>
      </w:r>
      <w:r>
        <w:fldChar w:fldCharType="begin"/>
      </w:r>
      <w:r>
        <w:instrText xml:space="preserve"> PAGEREF _Toc60930768 \h </w:instrText>
      </w:r>
      <w:r>
        <w:fldChar w:fldCharType="separate"/>
      </w:r>
      <w:r>
        <w:t>21</w:t>
      </w:r>
      <w:r>
        <w:fldChar w:fldCharType="end"/>
      </w:r>
      <w:r>
        <w:fldChar w:fldCharType="end"/>
      </w:r>
    </w:p>
    <w:p w14:paraId="5DDE6302">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"_Toc60930769" </w:instrText>
      </w:r>
      <w:r>
        <w:fldChar w:fldCharType="separate"/>
      </w:r>
      <w:r>
        <w:rPr>
          <w:rStyle w:val="18"/>
          <w:rFonts w:eastAsia="仿宋"/>
        </w:rPr>
        <w:t>2.6青岩镇龙潭水源</w:t>
      </w:r>
      <w:r>
        <w:tab/>
      </w:r>
      <w:r>
        <w:fldChar w:fldCharType="begin"/>
      </w:r>
      <w:r>
        <w:instrText xml:space="preserve"> PAGEREF _Toc60930769 \h </w:instrText>
      </w:r>
      <w:r>
        <w:fldChar w:fldCharType="separate"/>
      </w:r>
      <w:r>
        <w:t>23</w:t>
      </w:r>
      <w:r>
        <w:fldChar w:fldCharType="end"/>
      </w:r>
      <w:r>
        <w:fldChar w:fldCharType="end"/>
      </w:r>
    </w:p>
    <w:p w14:paraId="43E79F2C">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"_Toc60930770" </w:instrText>
      </w:r>
      <w:r>
        <w:fldChar w:fldCharType="separate"/>
      </w:r>
      <w:r>
        <w:rPr>
          <w:rStyle w:val="18"/>
          <w:rFonts w:eastAsia="仿宋"/>
        </w:rPr>
        <w:t>2.7燕楼镇燕鲁小燕河水源</w:t>
      </w:r>
      <w:r>
        <w:tab/>
      </w:r>
      <w:r>
        <w:fldChar w:fldCharType="begin"/>
      </w:r>
      <w:r>
        <w:instrText xml:space="preserve"> PAGEREF _Toc60930770 \h </w:instrText>
      </w:r>
      <w:r>
        <w:fldChar w:fldCharType="separate"/>
      </w:r>
      <w:r>
        <w:t>25</w:t>
      </w:r>
      <w:r>
        <w:fldChar w:fldCharType="end"/>
      </w:r>
      <w:r>
        <w:fldChar w:fldCharType="end"/>
      </w:r>
    </w:p>
    <w:p w14:paraId="63960446">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"_Toc60930771" </w:instrText>
      </w:r>
      <w:r>
        <w:fldChar w:fldCharType="separate"/>
      </w:r>
      <w:r>
        <w:rPr>
          <w:rStyle w:val="18"/>
          <w:rFonts w:eastAsia="仿宋"/>
        </w:rPr>
        <w:t>2.8黔陶乡九眼井水源</w:t>
      </w:r>
      <w:r>
        <w:tab/>
      </w:r>
      <w:r>
        <w:fldChar w:fldCharType="begin"/>
      </w:r>
      <w:r>
        <w:instrText xml:space="preserve"> PAGEREF _Toc60930771 \h </w:instrText>
      </w:r>
      <w:r>
        <w:fldChar w:fldCharType="separate"/>
      </w:r>
      <w:r>
        <w:t>27</w:t>
      </w:r>
      <w:r>
        <w:fldChar w:fldCharType="end"/>
      </w:r>
      <w:r>
        <w:fldChar w:fldCharType="end"/>
      </w:r>
    </w:p>
    <w:p w14:paraId="01E1A65F">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"_Toc60930772" </w:instrText>
      </w:r>
      <w:r>
        <w:fldChar w:fldCharType="separate"/>
      </w:r>
      <w:r>
        <w:rPr>
          <w:rStyle w:val="18"/>
          <w:rFonts w:eastAsia="仿宋"/>
        </w:rPr>
        <w:t>2.9马铃乡红岩水库</w:t>
      </w:r>
      <w:r>
        <w:tab/>
      </w:r>
      <w:r>
        <w:fldChar w:fldCharType="begin"/>
      </w:r>
      <w:r>
        <w:instrText xml:space="preserve"> PAGEREF _Toc60930772 \h </w:instrText>
      </w:r>
      <w:r>
        <w:fldChar w:fldCharType="separate"/>
      </w:r>
      <w:r>
        <w:t>28</w:t>
      </w:r>
      <w:r>
        <w:fldChar w:fldCharType="end"/>
      </w:r>
      <w:r>
        <w:fldChar w:fldCharType="end"/>
      </w:r>
    </w:p>
    <w:p w14:paraId="4BFF95C2">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"_Toc60930773" </w:instrText>
      </w:r>
      <w:r>
        <w:fldChar w:fldCharType="separate"/>
      </w:r>
      <w:r>
        <w:rPr>
          <w:rStyle w:val="18"/>
          <w:rFonts w:eastAsia="仿宋"/>
        </w:rPr>
        <w:t>2.10高坡乡大洪村集中式饮用水源</w:t>
      </w:r>
      <w:r>
        <w:tab/>
      </w:r>
      <w:r>
        <w:fldChar w:fldCharType="begin"/>
      </w:r>
      <w:r>
        <w:instrText xml:space="preserve"> PAGEREF _Toc60930773 \h </w:instrText>
      </w:r>
      <w:r>
        <w:fldChar w:fldCharType="separate"/>
      </w:r>
      <w:r>
        <w:t>32</w:t>
      </w:r>
      <w:r>
        <w:fldChar w:fldCharType="end"/>
      </w:r>
      <w:r>
        <w:fldChar w:fldCharType="end"/>
      </w:r>
    </w:p>
    <w:p w14:paraId="4EED617A">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"_Toc60930774" </w:instrText>
      </w:r>
      <w:r>
        <w:fldChar w:fldCharType="separate"/>
      </w:r>
      <w:r>
        <w:rPr>
          <w:rStyle w:val="18"/>
          <w:rFonts w:eastAsia="仿宋"/>
        </w:rPr>
        <w:t>2.11高坡乡批林村集中式饮用水源</w:t>
      </w:r>
      <w:r>
        <w:tab/>
      </w:r>
      <w:r>
        <w:fldChar w:fldCharType="begin"/>
      </w:r>
      <w:r>
        <w:instrText xml:space="preserve"> PAGEREF _Toc60930774 \h </w:instrText>
      </w:r>
      <w:r>
        <w:fldChar w:fldCharType="separate"/>
      </w:r>
      <w:r>
        <w:t>33</w:t>
      </w:r>
      <w:r>
        <w:fldChar w:fldCharType="end"/>
      </w:r>
      <w:r>
        <w:fldChar w:fldCharType="end"/>
      </w:r>
    </w:p>
    <w:p w14:paraId="3C521881">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"_Toc60930775" </w:instrText>
      </w:r>
      <w:r>
        <w:fldChar w:fldCharType="separate"/>
      </w:r>
      <w:r>
        <w:rPr>
          <w:rStyle w:val="18"/>
          <w:rFonts w:eastAsia="仿宋"/>
        </w:rPr>
        <w:t>2.12高坡乡杉坪村蚂蜂洞集中式饮用水源</w:t>
      </w:r>
      <w:r>
        <w:tab/>
      </w:r>
      <w:r>
        <w:fldChar w:fldCharType="begin"/>
      </w:r>
      <w:r>
        <w:instrText xml:space="preserve"> PAGEREF _Toc60930775 \h </w:instrText>
      </w:r>
      <w:r>
        <w:fldChar w:fldCharType="separate"/>
      </w:r>
      <w:r>
        <w:t>33</w:t>
      </w:r>
      <w:r>
        <w:fldChar w:fldCharType="end"/>
      </w:r>
      <w:r>
        <w:fldChar w:fldCharType="end"/>
      </w:r>
    </w:p>
    <w:p w14:paraId="75388B74">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"_Toc60930776" </w:instrText>
      </w:r>
      <w:r>
        <w:fldChar w:fldCharType="separate"/>
      </w:r>
      <w:r>
        <w:rPr>
          <w:rStyle w:val="18"/>
          <w:rFonts w:eastAsia="仿宋"/>
        </w:rPr>
        <w:t>2.13黔陶乡马场村集中式饮用水源</w:t>
      </w:r>
      <w:r>
        <w:tab/>
      </w:r>
      <w:r>
        <w:fldChar w:fldCharType="begin"/>
      </w:r>
      <w:r>
        <w:instrText xml:space="preserve"> PAGEREF _Toc60930776 \h </w:instrText>
      </w:r>
      <w:r>
        <w:fldChar w:fldCharType="separate"/>
      </w:r>
      <w:r>
        <w:t>35</w:t>
      </w:r>
      <w:r>
        <w:fldChar w:fldCharType="end"/>
      </w:r>
      <w:r>
        <w:fldChar w:fldCharType="end"/>
      </w:r>
    </w:p>
    <w:p w14:paraId="56026AA9">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"_Toc60930777" </w:instrText>
      </w:r>
      <w:r>
        <w:fldChar w:fldCharType="separate"/>
      </w:r>
      <w:r>
        <w:rPr>
          <w:rStyle w:val="18"/>
          <w:rFonts w:eastAsia="仿宋"/>
        </w:rPr>
        <w:t>2.14黔陶乡骑龙村集中式饮用水源</w:t>
      </w:r>
      <w:r>
        <w:tab/>
      </w:r>
      <w:r>
        <w:fldChar w:fldCharType="begin"/>
      </w:r>
      <w:r>
        <w:instrText xml:space="preserve"> PAGEREF _Toc60930777 \h </w:instrText>
      </w:r>
      <w:r>
        <w:fldChar w:fldCharType="separate"/>
      </w:r>
      <w:r>
        <w:t>36</w:t>
      </w:r>
      <w:r>
        <w:fldChar w:fldCharType="end"/>
      </w:r>
      <w:r>
        <w:fldChar w:fldCharType="end"/>
      </w:r>
    </w:p>
    <w:p w14:paraId="2B122017">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"_Toc60930778" </w:instrText>
      </w:r>
      <w:r>
        <w:fldChar w:fldCharType="separate"/>
      </w:r>
      <w:r>
        <w:rPr>
          <w:rStyle w:val="18"/>
          <w:rFonts w:eastAsia="仿宋"/>
        </w:rPr>
        <w:t>2.15黔陶乡赵司村赵司河集中式饮用水源</w:t>
      </w:r>
      <w:r>
        <w:tab/>
      </w:r>
      <w:r>
        <w:fldChar w:fldCharType="begin"/>
      </w:r>
      <w:r>
        <w:instrText xml:space="preserve"> PAGEREF _Toc60930778 \h </w:instrText>
      </w:r>
      <w:r>
        <w:fldChar w:fldCharType="separate"/>
      </w:r>
      <w:r>
        <w:t>37</w:t>
      </w:r>
      <w:r>
        <w:fldChar w:fldCharType="end"/>
      </w:r>
      <w:r>
        <w:fldChar w:fldCharType="end"/>
      </w:r>
    </w:p>
    <w:p w14:paraId="24384535">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"_Toc60930779" </w:instrText>
      </w:r>
      <w:r>
        <w:fldChar w:fldCharType="separate"/>
      </w:r>
      <w:r>
        <w:rPr>
          <w:rStyle w:val="18"/>
          <w:rFonts w:eastAsia="仿宋"/>
        </w:rPr>
        <w:t>2.16青岩镇达夯村坡六塘集中式饮用水源</w:t>
      </w:r>
      <w:r>
        <w:tab/>
      </w:r>
      <w:r>
        <w:fldChar w:fldCharType="begin"/>
      </w:r>
      <w:r>
        <w:instrText xml:space="preserve"> PAGEREF _Toc60930779 \h </w:instrText>
      </w:r>
      <w:r>
        <w:fldChar w:fldCharType="separate"/>
      </w:r>
      <w:r>
        <w:t>38</w:t>
      </w:r>
      <w:r>
        <w:fldChar w:fldCharType="end"/>
      </w:r>
      <w:r>
        <w:fldChar w:fldCharType="end"/>
      </w:r>
    </w:p>
    <w:p w14:paraId="2296AB92">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"_Toc60930780" </w:instrText>
      </w:r>
      <w:r>
        <w:fldChar w:fldCharType="separate"/>
      </w:r>
      <w:r>
        <w:rPr>
          <w:rStyle w:val="18"/>
          <w:rFonts w:eastAsia="仿宋"/>
        </w:rPr>
        <w:t>2.17青岩镇龙井村集中式饮用水源</w:t>
      </w:r>
      <w:r>
        <w:tab/>
      </w:r>
      <w:r>
        <w:fldChar w:fldCharType="begin"/>
      </w:r>
      <w:r>
        <w:instrText xml:space="preserve"> PAGEREF _Toc60930780 \h </w:instrText>
      </w:r>
      <w:r>
        <w:fldChar w:fldCharType="separate"/>
      </w:r>
      <w:r>
        <w:t>40</w:t>
      </w:r>
      <w:r>
        <w:fldChar w:fldCharType="end"/>
      </w:r>
      <w:r>
        <w:fldChar w:fldCharType="end"/>
      </w:r>
    </w:p>
    <w:p w14:paraId="5FAD93CB">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"_Toc60930781" </w:instrText>
      </w:r>
      <w:r>
        <w:fldChar w:fldCharType="separate"/>
      </w:r>
      <w:r>
        <w:rPr>
          <w:rStyle w:val="18"/>
          <w:rFonts w:eastAsia="仿宋"/>
        </w:rPr>
        <w:t>2.18青岩镇思潜村赵司河集中式饮用水源</w:t>
      </w:r>
      <w:r>
        <w:tab/>
      </w:r>
      <w:r>
        <w:fldChar w:fldCharType="begin"/>
      </w:r>
      <w:r>
        <w:instrText xml:space="preserve"> PAGEREF _Toc60930781 \h </w:instrText>
      </w:r>
      <w:r>
        <w:fldChar w:fldCharType="separate"/>
      </w:r>
      <w:r>
        <w:t>41</w:t>
      </w:r>
      <w:r>
        <w:fldChar w:fldCharType="end"/>
      </w:r>
      <w:r>
        <w:fldChar w:fldCharType="end"/>
      </w:r>
    </w:p>
    <w:p w14:paraId="4F8ADB99">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"_Toc60930782" </w:instrText>
      </w:r>
      <w:r>
        <w:fldChar w:fldCharType="separate"/>
      </w:r>
      <w:r>
        <w:rPr>
          <w:rStyle w:val="18"/>
          <w:rFonts w:eastAsia="仿宋"/>
        </w:rPr>
        <w:t>2.19青岩镇西门河集中式饮用水源</w:t>
      </w:r>
      <w:r>
        <w:tab/>
      </w:r>
      <w:r>
        <w:fldChar w:fldCharType="begin"/>
      </w:r>
      <w:r>
        <w:instrText xml:space="preserve"> PAGEREF _Toc60930782 \h </w:instrText>
      </w:r>
      <w:r>
        <w:fldChar w:fldCharType="separate"/>
      </w:r>
      <w:r>
        <w:t>42</w:t>
      </w:r>
      <w:r>
        <w:fldChar w:fldCharType="end"/>
      </w:r>
      <w:r>
        <w:fldChar w:fldCharType="end"/>
      </w:r>
    </w:p>
    <w:p w14:paraId="285D4EB5">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"_Toc60930783" </w:instrText>
      </w:r>
      <w:r>
        <w:fldChar w:fldCharType="separate"/>
      </w:r>
      <w:r>
        <w:rPr>
          <w:rStyle w:val="18"/>
          <w:rFonts w:eastAsia="仿宋"/>
        </w:rPr>
        <w:t>2.20青岩镇新楼村集中式饮用水源</w:t>
      </w:r>
      <w:r>
        <w:tab/>
      </w:r>
      <w:r>
        <w:fldChar w:fldCharType="begin"/>
      </w:r>
      <w:r>
        <w:instrText xml:space="preserve"> PAGEREF _Toc60930783 \h </w:instrText>
      </w:r>
      <w:r>
        <w:fldChar w:fldCharType="separate"/>
      </w:r>
      <w:r>
        <w:t>43</w:t>
      </w:r>
      <w:r>
        <w:fldChar w:fldCharType="end"/>
      </w:r>
      <w:r>
        <w:fldChar w:fldCharType="end"/>
      </w:r>
    </w:p>
    <w:p w14:paraId="4BF0D092">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"_Toc60930784" </w:instrText>
      </w:r>
      <w:r>
        <w:fldChar w:fldCharType="separate"/>
      </w:r>
      <w:r>
        <w:rPr>
          <w:rStyle w:val="18"/>
          <w:rFonts w:eastAsia="仿宋"/>
        </w:rPr>
        <w:t>2.21清溪街道9855厂集中式饮用水源</w:t>
      </w:r>
      <w:r>
        <w:tab/>
      </w:r>
      <w:r>
        <w:fldChar w:fldCharType="begin"/>
      </w:r>
      <w:r>
        <w:instrText xml:space="preserve"> PAGEREF _Toc60930784 \h </w:instrText>
      </w:r>
      <w:r>
        <w:fldChar w:fldCharType="separate"/>
      </w:r>
      <w:r>
        <w:t>44</w:t>
      </w:r>
      <w:r>
        <w:fldChar w:fldCharType="end"/>
      </w:r>
      <w:r>
        <w:fldChar w:fldCharType="end"/>
      </w:r>
    </w:p>
    <w:p w14:paraId="277986DB">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"_Toc60930785" </w:instrText>
      </w:r>
      <w:r>
        <w:fldChar w:fldCharType="separate"/>
      </w:r>
      <w:r>
        <w:rPr>
          <w:rStyle w:val="18"/>
          <w:rFonts w:eastAsia="仿宋"/>
        </w:rPr>
        <w:t>2.22清溪街道机械厂集中式饮用水源</w:t>
      </w:r>
      <w:r>
        <w:tab/>
      </w:r>
      <w:r>
        <w:fldChar w:fldCharType="begin"/>
      </w:r>
      <w:r>
        <w:instrText xml:space="preserve"> PAGEREF _Toc60930785 \h </w:instrText>
      </w:r>
      <w:r>
        <w:fldChar w:fldCharType="separate"/>
      </w:r>
      <w:r>
        <w:t>45</w:t>
      </w:r>
      <w:r>
        <w:fldChar w:fldCharType="end"/>
      </w:r>
      <w:r>
        <w:fldChar w:fldCharType="end"/>
      </w:r>
    </w:p>
    <w:p w14:paraId="1A90FF98">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"_Toc60930786" </w:instrText>
      </w:r>
      <w:r>
        <w:fldChar w:fldCharType="separate"/>
      </w:r>
      <w:r>
        <w:rPr>
          <w:rStyle w:val="18"/>
          <w:rFonts w:eastAsia="仿宋"/>
        </w:rPr>
        <w:t>2.23石板镇盖冗村集中式饮用水源</w:t>
      </w:r>
      <w:r>
        <w:tab/>
      </w:r>
      <w:r>
        <w:fldChar w:fldCharType="begin"/>
      </w:r>
      <w:r>
        <w:instrText xml:space="preserve"> PAGEREF _Toc60930786 \h </w:instrText>
      </w:r>
      <w:r>
        <w:fldChar w:fldCharType="separate"/>
      </w:r>
      <w:r>
        <w:t>46</w:t>
      </w:r>
      <w:r>
        <w:fldChar w:fldCharType="end"/>
      </w:r>
      <w:r>
        <w:fldChar w:fldCharType="end"/>
      </w:r>
    </w:p>
    <w:p w14:paraId="731E357D">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"_Toc60930787" </w:instrText>
      </w:r>
      <w:r>
        <w:fldChar w:fldCharType="separate"/>
      </w:r>
      <w:r>
        <w:rPr>
          <w:rStyle w:val="18"/>
          <w:rFonts w:eastAsia="仿宋"/>
        </w:rPr>
        <w:t>2.24燕楼镇坝楼村集中式饮用水源</w:t>
      </w:r>
      <w:r>
        <w:tab/>
      </w:r>
      <w:r>
        <w:fldChar w:fldCharType="begin"/>
      </w:r>
      <w:r>
        <w:instrText xml:space="preserve"> PAGEREF _Toc60930787 \h </w:instrText>
      </w:r>
      <w:r>
        <w:fldChar w:fldCharType="separate"/>
      </w:r>
      <w:r>
        <w:t>47</w:t>
      </w:r>
      <w:r>
        <w:fldChar w:fldCharType="end"/>
      </w:r>
      <w:r>
        <w:fldChar w:fldCharType="end"/>
      </w:r>
    </w:p>
    <w:p w14:paraId="29FA7823">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"_Toc60930788" </w:instrText>
      </w:r>
      <w:r>
        <w:fldChar w:fldCharType="separate"/>
      </w:r>
      <w:r>
        <w:rPr>
          <w:rStyle w:val="18"/>
          <w:rFonts w:eastAsia="仿宋"/>
        </w:rPr>
        <w:t>2.25燕楼镇槐舟村集中式饮用水源</w:t>
      </w:r>
      <w:r>
        <w:tab/>
      </w:r>
      <w:r>
        <w:fldChar w:fldCharType="begin"/>
      </w:r>
      <w:r>
        <w:instrText xml:space="preserve"> PAGEREF _Toc60930788 \h </w:instrText>
      </w:r>
      <w:r>
        <w:fldChar w:fldCharType="separate"/>
      </w:r>
      <w:r>
        <w:t>48</w:t>
      </w:r>
      <w:r>
        <w:fldChar w:fldCharType="end"/>
      </w:r>
      <w:r>
        <w:fldChar w:fldCharType="end"/>
      </w:r>
    </w:p>
    <w:p w14:paraId="737C4E96">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"_Toc60930789" </w:instrText>
      </w:r>
      <w:r>
        <w:fldChar w:fldCharType="separate"/>
      </w:r>
      <w:r>
        <w:rPr>
          <w:rStyle w:val="18"/>
          <w:rFonts w:eastAsia="仿宋"/>
        </w:rPr>
        <w:t>2.26燕楼镇新井村集中式饮用水源</w:t>
      </w:r>
      <w:r>
        <w:tab/>
      </w:r>
      <w:r>
        <w:fldChar w:fldCharType="begin"/>
      </w:r>
      <w:r>
        <w:instrText xml:space="preserve"> PAGEREF _Toc60930789 \h </w:instrText>
      </w:r>
      <w:r>
        <w:fldChar w:fldCharType="separate"/>
      </w:r>
      <w:r>
        <w:t>50</w:t>
      </w:r>
      <w:r>
        <w:fldChar w:fldCharType="end"/>
      </w:r>
      <w:r>
        <w:fldChar w:fldCharType="end"/>
      </w:r>
    </w:p>
    <w:p w14:paraId="560E1298">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"_Toc60930790" </w:instrText>
      </w:r>
      <w:r>
        <w:fldChar w:fldCharType="separate"/>
      </w:r>
      <w:r>
        <w:rPr>
          <w:rStyle w:val="18"/>
          <w:rFonts w:eastAsia="仿宋"/>
        </w:rPr>
        <w:t>2.27现有应急能力调查评估</w:t>
      </w:r>
      <w:r>
        <w:tab/>
      </w:r>
      <w:r>
        <w:fldChar w:fldCharType="begin"/>
      </w:r>
      <w:r>
        <w:instrText xml:space="preserve"> PAGEREF _Toc60930790 \h </w:instrText>
      </w:r>
      <w:r>
        <w:fldChar w:fldCharType="separate"/>
      </w:r>
      <w:r>
        <w:t>51</w:t>
      </w:r>
      <w:r>
        <w:fldChar w:fldCharType="end"/>
      </w:r>
      <w:r>
        <w:fldChar w:fldCharType="end"/>
      </w:r>
    </w:p>
    <w:p w14:paraId="28ADEE17">
      <w:pPr>
        <w:pStyle w:val="9"/>
        <w:tabs>
          <w:tab w:val="right" w:leader="middleDot" w:pos="8296"/>
        </w:tabs>
        <w:rPr>
          <w:rFonts w:asciiTheme="minorHAnsi" w:hAnsiTheme="minorHAnsi" w:eastAsiaTheme="minorEastAsia" w:cstheme="minorBidi"/>
          <w:sz w:val="21"/>
        </w:rPr>
      </w:pPr>
      <w:r>
        <w:fldChar w:fldCharType="begin"/>
      </w:r>
      <w:r>
        <w:instrText xml:space="preserve"> HYPERLINK \l "_Toc60930791" </w:instrText>
      </w:r>
      <w:r>
        <w:fldChar w:fldCharType="separate"/>
      </w:r>
      <w:r>
        <w:rPr>
          <w:rStyle w:val="18"/>
          <w:rFonts w:eastAsia="仿宋"/>
          <w:b/>
          <w:bCs/>
        </w:rPr>
        <w:t>3  应急组织指挥体系</w:t>
      </w:r>
      <w:r>
        <w:tab/>
      </w:r>
      <w:r>
        <w:fldChar w:fldCharType="begin"/>
      </w:r>
      <w:r>
        <w:instrText xml:space="preserve"> PAGEREF _Toc60930791 \h </w:instrText>
      </w:r>
      <w:r>
        <w:fldChar w:fldCharType="separate"/>
      </w:r>
      <w:r>
        <w:t>55</w:t>
      </w:r>
      <w:r>
        <w:fldChar w:fldCharType="end"/>
      </w:r>
      <w:r>
        <w:fldChar w:fldCharType="end"/>
      </w:r>
    </w:p>
    <w:p w14:paraId="32933A84">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"_Toc60930792" </w:instrText>
      </w:r>
      <w:r>
        <w:fldChar w:fldCharType="separate"/>
      </w:r>
      <w:r>
        <w:rPr>
          <w:rStyle w:val="18"/>
          <w:rFonts w:eastAsia="仿宋"/>
        </w:rPr>
        <w:t>3.1 应急组织体系构成</w:t>
      </w:r>
      <w:r>
        <w:tab/>
      </w:r>
      <w:r>
        <w:fldChar w:fldCharType="begin"/>
      </w:r>
      <w:r>
        <w:instrText xml:space="preserve"> PAGEREF _Toc60930792 \h </w:instrText>
      </w:r>
      <w:r>
        <w:fldChar w:fldCharType="separate"/>
      </w:r>
      <w:r>
        <w:t>55</w:t>
      </w:r>
      <w:r>
        <w:fldChar w:fldCharType="end"/>
      </w:r>
      <w:r>
        <w:fldChar w:fldCharType="end"/>
      </w:r>
    </w:p>
    <w:p w14:paraId="63DFB1F5">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"_Toc60930793" </w:instrText>
      </w:r>
      <w:r>
        <w:fldChar w:fldCharType="separate"/>
      </w:r>
      <w:r>
        <w:rPr>
          <w:rStyle w:val="18"/>
          <w:rFonts w:eastAsia="仿宋"/>
        </w:rPr>
        <w:t>3.2应急工作组设置及职责</w:t>
      </w:r>
      <w:r>
        <w:tab/>
      </w:r>
      <w:r>
        <w:fldChar w:fldCharType="begin"/>
      </w:r>
      <w:r>
        <w:instrText xml:space="preserve"> PAGEREF _Toc60930793 \h </w:instrText>
      </w:r>
      <w:r>
        <w:fldChar w:fldCharType="separate"/>
      </w:r>
      <w:r>
        <w:t>55</w:t>
      </w:r>
      <w:r>
        <w:fldChar w:fldCharType="end"/>
      </w:r>
      <w:r>
        <w:fldChar w:fldCharType="end"/>
      </w:r>
    </w:p>
    <w:p w14:paraId="35CA197E">
      <w:pPr>
        <w:pStyle w:val="9"/>
        <w:tabs>
          <w:tab w:val="right" w:leader="middleDot" w:pos="8296"/>
        </w:tabs>
        <w:rPr>
          <w:rFonts w:asciiTheme="minorHAnsi" w:hAnsiTheme="minorHAnsi" w:eastAsiaTheme="minorEastAsia" w:cstheme="minorBidi"/>
          <w:sz w:val="21"/>
        </w:rPr>
      </w:pPr>
      <w:r>
        <w:fldChar w:fldCharType="begin"/>
      </w:r>
      <w:r>
        <w:instrText xml:space="preserve"> HYPERLINK \l "_Toc60930794" </w:instrText>
      </w:r>
      <w:r>
        <w:fldChar w:fldCharType="separate"/>
      </w:r>
      <w:r>
        <w:rPr>
          <w:rStyle w:val="18"/>
          <w:rFonts w:eastAsia="仿宋"/>
          <w:b/>
          <w:bCs/>
        </w:rPr>
        <w:t>4  应急响应</w:t>
      </w:r>
      <w:r>
        <w:tab/>
      </w:r>
      <w:r>
        <w:fldChar w:fldCharType="begin"/>
      </w:r>
      <w:r>
        <w:instrText xml:space="preserve"> PAGEREF _Toc60930794 \h </w:instrText>
      </w:r>
      <w:r>
        <w:fldChar w:fldCharType="separate"/>
      </w:r>
      <w:r>
        <w:t>67</w:t>
      </w:r>
      <w:r>
        <w:fldChar w:fldCharType="end"/>
      </w:r>
      <w:r>
        <w:fldChar w:fldCharType="end"/>
      </w:r>
    </w:p>
    <w:p w14:paraId="0BB7C522">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"_Toc60930795" </w:instrText>
      </w:r>
      <w:r>
        <w:fldChar w:fldCharType="separate"/>
      </w:r>
      <w:r>
        <w:rPr>
          <w:rStyle w:val="18"/>
          <w:rFonts w:eastAsia="仿宋"/>
        </w:rPr>
        <w:t>4.1 预警</w:t>
      </w:r>
      <w:r>
        <w:tab/>
      </w:r>
      <w:r>
        <w:fldChar w:fldCharType="begin"/>
      </w:r>
      <w:r>
        <w:instrText xml:space="preserve"> PAGEREF _Toc60930795 \h </w:instrText>
      </w:r>
      <w:r>
        <w:fldChar w:fldCharType="separate"/>
      </w:r>
      <w:r>
        <w:t>68</w:t>
      </w:r>
      <w:r>
        <w:fldChar w:fldCharType="end"/>
      </w:r>
      <w:r>
        <w:fldChar w:fldCharType="end"/>
      </w:r>
    </w:p>
    <w:p w14:paraId="04659C3B">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"_Toc60930796" </w:instrText>
      </w:r>
      <w:r>
        <w:fldChar w:fldCharType="separate"/>
      </w:r>
      <w:r>
        <w:rPr>
          <w:rStyle w:val="18"/>
          <w:rFonts w:eastAsia="仿宋"/>
        </w:rPr>
        <w:t>4.2 信息报告与通报</w:t>
      </w:r>
      <w:r>
        <w:tab/>
      </w:r>
      <w:r>
        <w:fldChar w:fldCharType="begin"/>
      </w:r>
      <w:r>
        <w:instrText xml:space="preserve"> PAGEREF _Toc60930796 \h </w:instrText>
      </w:r>
      <w:r>
        <w:fldChar w:fldCharType="separate"/>
      </w:r>
      <w:r>
        <w:t>72</w:t>
      </w:r>
      <w:r>
        <w:fldChar w:fldCharType="end"/>
      </w:r>
      <w:r>
        <w:fldChar w:fldCharType="end"/>
      </w:r>
    </w:p>
    <w:p w14:paraId="2B373DAA">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"_Toc60930797" </w:instrText>
      </w:r>
      <w:r>
        <w:fldChar w:fldCharType="separate"/>
      </w:r>
      <w:r>
        <w:rPr>
          <w:rStyle w:val="18"/>
          <w:rFonts w:eastAsia="仿宋"/>
        </w:rPr>
        <w:t>4.3 事态研判</w:t>
      </w:r>
      <w:r>
        <w:tab/>
      </w:r>
      <w:r>
        <w:fldChar w:fldCharType="begin"/>
      </w:r>
      <w:r>
        <w:instrText xml:space="preserve"> PAGEREF _Toc60930797 \h </w:instrText>
      </w:r>
      <w:r>
        <w:fldChar w:fldCharType="separate"/>
      </w:r>
      <w:r>
        <w:t>76</w:t>
      </w:r>
      <w:r>
        <w:fldChar w:fldCharType="end"/>
      </w:r>
      <w:r>
        <w:fldChar w:fldCharType="end"/>
      </w:r>
    </w:p>
    <w:p w14:paraId="481B6C84">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"_Toc60930798" </w:instrText>
      </w:r>
      <w:r>
        <w:fldChar w:fldCharType="separate"/>
      </w:r>
      <w:r>
        <w:rPr>
          <w:rStyle w:val="18"/>
          <w:rFonts w:eastAsia="仿宋"/>
        </w:rPr>
        <w:t>4.4应急监测</w:t>
      </w:r>
      <w:r>
        <w:tab/>
      </w:r>
      <w:r>
        <w:fldChar w:fldCharType="begin"/>
      </w:r>
      <w:r>
        <w:instrText xml:space="preserve"> PAGEREF _Toc60930798 \h </w:instrText>
      </w:r>
      <w:r>
        <w:fldChar w:fldCharType="separate"/>
      </w:r>
      <w:r>
        <w:t>77</w:t>
      </w:r>
      <w:r>
        <w:fldChar w:fldCharType="end"/>
      </w:r>
      <w:r>
        <w:fldChar w:fldCharType="end"/>
      </w:r>
    </w:p>
    <w:p w14:paraId="365A08CF">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"_Toc60930799" </w:instrText>
      </w:r>
      <w:r>
        <w:fldChar w:fldCharType="separate"/>
      </w:r>
      <w:r>
        <w:rPr>
          <w:rStyle w:val="18"/>
          <w:rFonts w:eastAsia="仿宋"/>
        </w:rPr>
        <w:t>4.5 污染物排查与处置</w:t>
      </w:r>
      <w:r>
        <w:tab/>
      </w:r>
      <w:r>
        <w:fldChar w:fldCharType="begin"/>
      </w:r>
      <w:r>
        <w:instrText xml:space="preserve"> PAGEREF _Toc60930799 \h </w:instrText>
      </w:r>
      <w:r>
        <w:fldChar w:fldCharType="separate"/>
      </w:r>
      <w:r>
        <w:t>80</w:t>
      </w:r>
      <w:r>
        <w:fldChar w:fldCharType="end"/>
      </w:r>
      <w:r>
        <w:fldChar w:fldCharType="end"/>
      </w:r>
    </w:p>
    <w:p w14:paraId="532BD95D">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"_Toc60930800" </w:instrText>
      </w:r>
      <w:r>
        <w:fldChar w:fldCharType="separate"/>
      </w:r>
      <w:r>
        <w:rPr>
          <w:rStyle w:val="18"/>
          <w:rFonts w:eastAsia="仿宋"/>
        </w:rPr>
        <w:t>4.6应急处置</w:t>
      </w:r>
      <w:r>
        <w:tab/>
      </w:r>
      <w:r>
        <w:fldChar w:fldCharType="begin"/>
      </w:r>
      <w:r>
        <w:instrText xml:space="preserve"> PAGEREF _Toc60930800 \h </w:instrText>
      </w:r>
      <w:r>
        <w:fldChar w:fldCharType="separate"/>
      </w:r>
      <w:r>
        <w:t>83</w:t>
      </w:r>
      <w:r>
        <w:fldChar w:fldCharType="end"/>
      </w:r>
      <w:r>
        <w:fldChar w:fldCharType="end"/>
      </w:r>
    </w:p>
    <w:p w14:paraId="6A143ED8">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"_Toc60930801" </w:instrText>
      </w:r>
      <w:r>
        <w:fldChar w:fldCharType="separate"/>
      </w:r>
      <w:r>
        <w:rPr>
          <w:rStyle w:val="18"/>
          <w:rFonts w:eastAsia="仿宋"/>
        </w:rPr>
        <w:t>4.7物资调集及应急设施启用</w:t>
      </w:r>
      <w:r>
        <w:tab/>
      </w:r>
      <w:r>
        <w:fldChar w:fldCharType="begin"/>
      </w:r>
      <w:r>
        <w:instrText xml:space="preserve"> PAGEREF _Toc60930801 \h </w:instrText>
      </w:r>
      <w:r>
        <w:fldChar w:fldCharType="separate"/>
      </w:r>
      <w:r>
        <w:t>90</w:t>
      </w:r>
      <w:r>
        <w:fldChar w:fldCharType="end"/>
      </w:r>
      <w:r>
        <w:fldChar w:fldCharType="end"/>
      </w:r>
    </w:p>
    <w:p w14:paraId="497FB582">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"_Toc60930802" </w:instrText>
      </w:r>
      <w:r>
        <w:fldChar w:fldCharType="separate"/>
      </w:r>
      <w:r>
        <w:rPr>
          <w:rStyle w:val="18"/>
          <w:rFonts w:eastAsia="仿宋"/>
        </w:rPr>
        <w:t>4.8舆情监测与信息发布</w:t>
      </w:r>
      <w:r>
        <w:tab/>
      </w:r>
      <w:r>
        <w:fldChar w:fldCharType="begin"/>
      </w:r>
      <w:r>
        <w:instrText xml:space="preserve"> PAGEREF _Toc60930802 \h </w:instrText>
      </w:r>
      <w:r>
        <w:fldChar w:fldCharType="separate"/>
      </w:r>
      <w:r>
        <w:t>91</w:t>
      </w:r>
      <w:r>
        <w:fldChar w:fldCharType="end"/>
      </w:r>
      <w:r>
        <w:fldChar w:fldCharType="end"/>
      </w:r>
    </w:p>
    <w:p w14:paraId="6881E61B">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"_Toc60930803" </w:instrText>
      </w:r>
      <w:r>
        <w:fldChar w:fldCharType="separate"/>
      </w:r>
      <w:r>
        <w:rPr>
          <w:rStyle w:val="18"/>
          <w:rFonts w:eastAsia="仿宋"/>
        </w:rPr>
        <w:t>4.9应急终止</w:t>
      </w:r>
      <w:r>
        <w:tab/>
      </w:r>
      <w:r>
        <w:fldChar w:fldCharType="begin"/>
      </w:r>
      <w:r>
        <w:instrText xml:space="preserve"> PAGEREF _Toc60930803 \h </w:instrText>
      </w:r>
      <w:r>
        <w:fldChar w:fldCharType="separate"/>
      </w:r>
      <w:r>
        <w:t>92</w:t>
      </w:r>
      <w:r>
        <w:fldChar w:fldCharType="end"/>
      </w:r>
      <w:r>
        <w:fldChar w:fldCharType="end"/>
      </w:r>
    </w:p>
    <w:p w14:paraId="2B5F7B84">
      <w:pPr>
        <w:pStyle w:val="9"/>
        <w:tabs>
          <w:tab w:val="right" w:leader="middleDot" w:pos="8296"/>
        </w:tabs>
        <w:rPr>
          <w:rFonts w:asciiTheme="minorHAnsi" w:hAnsiTheme="minorHAnsi" w:eastAsiaTheme="minorEastAsia" w:cstheme="minorBidi"/>
          <w:sz w:val="21"/>
        </w:rPr>
      </w:pPr>
      <w:r>
        <w:fldChar w:fldCharType="begin"/>
      </w:r>
      <w:r>
        <w:instrText xml:space="preserve"> HYPERLINK \l "_Toc60930804" </w:instrText>
      </w:r>
      <w:r>
        <w:fldChar w:fldCharType="separate"/>
      </w:r>
      <w:r>
        <w:rPr>
          <w:rStyle w:val="18"/>
          <w:rFonts w:eastAsia="仿宋"/>
          <w:b/>
          <w:bCs/>
        </w:rPr>
        <w:t>5  后期工作</w:t>
      </w:r>
      <w:r>
        <w:tab/>
      </w:r>
      <w:r>
        <w:fldChar w:fldCharType="begin"/>
      </w:r>
      <w:r>
        <w:instrText xml:space="preserve"> PAGEREF _Toc60930804 \h </w:instrText>
      </w:r>
      <w:r>
        <w:fldChar w:fldCharType="separate"/>
      </w:r>
      <w:r>
        <w:t>94</w:t>
      </w:r>
      <w:r>
        <w:fldChar w:fldCharType="end"/>
      </w:r>
      <w:r>
        <w:fldChar w:fldCharType="end"/>
      </w:r>
    </w:p>
    <w:p w14:paraId="38A9E218">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"_Toc60930805" </w:instrText>
      </w:r>
      <w:r>
        <w:fldChar w:fldCharType="separate"/>
      </w:r>
      <w:r>
        <w:rPr>
          <w:rStyle w:val="18"/>
          <w:rFonts w:eastAsia="仿宋"/>
        </w:rPr>
        <w:t>5.1 后期防控</w:t>
      </w:r>
      <w:r>
        <w:tab/>
      </w:r>
      <w:r>
        <w:fldChar w:fldCharType="begin"/>
      </w:r>
      <w:r>
        <w:instrText xml:space="preserve"> PAGEREF _Toc60930805 \h </w:instrText>
      </w:r>
      <w:r>
        <w:fldChar w:fldCharType="separate"/>
      </w:r>
      <w:r>
        <w:t>94</w:t>
      </w:r>
      <w:r>
        <w:fldChar w:fldCharType="end"/>
      </w:r>
      <w:r>
        <w:fldChar w:fldCharType="end"/>
      </w:r>
    </w:p>
    <w:p w14:paraId="60E2FD6D">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"_Toc60930806" </w:instrText>
      </w:r>
      <w:r>
        <w:fldChar w:fldCharType="separate"/>
      </w:r>
      <w:r>
        <w:rPr>
          <w:rStyle w:val="18"/>
          <w:rFonts w:eastAsia="仿宋"/>
        </w:rPr>
        <w:t>5.2 事件调查</w:t>
      </w:r>
      <w:r>
        <w:tab/>
      </w:r>
      <w:r>
        <w:fldChar w:fldCharType="begin"/>
      </w:r>
      <w:r>
        <w:instrText xml:space="preserve"> PAGEREF _Toc60930806 \h </w:instrText>
      </w:r>
      <w:r>
        <w:fldChar w:fldCharType="separate"/>
      </w:r>
      <w:r>
        <w:t>94</w:t>
      </w:r>
      <w:r>
        <w:fldChar w:fldCharType="end"/>
      </w:r>
      <w:r>
        <w:fldChar w:fldCharType="end"/>
      </w:r>
    </w:p>
    <w:p w14:paraId="0C886133">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"_Toc60930807" </w:instrText>
      </w:r>
      <w:r>
        <w:fldChar w:fldCharType="separate"/>
      </w:r>
      <w:r>
        <w:rPr>
          <w:rStyle w:val="18"/>
          <w:rFonts w:eastAsia="仿宋"/>
        </w:rPr>
        <w:t>5.3 损害评估</w:t>
      </w:r>
      <w:r>
        <w:tab/>
      </w:r>
      <w:r>
        <w:fldChar w:fldCharType="begin"/>
      </w:r>
      <w:r>
        <w:instrText xml:space="preserve"> PAGEREF _Toc60930807 \h </w:instrText>
      </w:r>
      <w:r>
        <w:fldChar w:fldCharType="separate"/>
      </w:r>
      <w:r>
        <w:t>95</w:t>
      </w:r>
      <w:r>
        <w:fldChar w:fldCharType="end"/>
      </w:r>
      <w:r>
        <w:fldChar w:fldCharType="end"/>
      </w:r>
    </w:p>
    <w:p w14:paraId="2CE5398B">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"_Toc60930808" </w:instrText>
      </w:r>
      <w:r>
        <w:fldChar w:fldCharType="separate"/>
      </w:r>
      <w:r>
        <w:rPr>
          <w:rStyle w:val="18"/>
          <w:rFonts w:eastAsia="仿宋"/>
        </w:rPr>
        <w:t>5.4 善后处置</w:t>
      </w:r>
      <w:r>
        <w:tab/>
      </w:r>
      <w:r>
        <w:fldChar w:fldCharType="begin"/>
      </w:r>
      <w:r>
        <w:instrText xml:space="preserve"> PAGEREF _Toc60930808 \h </w:instrText>
      </w:r>
      <w:r>
        <w:fldChar w:fldCharType="separate"/>
      </w:r>
      <w:r>
        <w:t>95</w:t>
      </w:r>
      <w:r>
        <w:fldChar w:fldCharType="end"/>
      </w:r>
      <w:r>
        <w:fldChar w:fldCharType="end"/>
      </w:r>
    </w:p>
    <w:p w14:paraId="10457506">
      <w:pPr>
        <w:pStyle w:val="9"/>
        <w:tabs>
          <w:tab w:val="right" w:leader="middleDot" w:pos="8296"/>
        </w:tabs>
        <w:rPr>
          <w:rFonts w:asciiTheme="minorHAnsi" w:hAnsiTheme="minorHAnsi" w:eastAsiaTheme="minorEastAsia" w:cstheme="minorBidi"/>
          <w:sz w:val="21"/>
        </w:rPr>
      </w:pPr>
      <w:r>
        <w:fldChar w:fldCharType="begin"/>
      </w:r>
      <w:r>
        <w:instrText xml:space="preserve"> HYPERLINK \l "_Toc60930809" </w:instrText>
      </w:r>
      <w:r>
        <w:fldChar w:fldCharType="separate"/>
      </w:r>
      <w:r>
        <w:rPr>
          <w:rStyle w:val="18"/>
          <w:rFonts w:eastAsia="仿宋"/>
          <w:b/>
          <w:bCs/>
        </w:rPr>
        <w:t>6  应急保障</w:t>
      </w:r>
      <w:r>
        <w:tab/>
      </w:r>
      <w:r>
        <w:fldChar w:fldCharType="begin"/>
      </w:r>
      <w:r>
        <w:instrText xml:space="preserve"> PAGEREF _Toc60930809 \h </w:instrText>
      </w:r>
      <w:r>
        <w:fldChar w:fldCharType="separate"/>
      </w:r>
      <w:r>
        <w:t>98</w:t>
      </w:r>
      <w:r>
        <w:fldChar w:fldCharType="end"/>
      </w:r>
      <w:r>
        <w:fldChar w:fldCharType="end"/>
      </w:r>
    </w:p>
    <w:p w14:paraId="3ADEF503">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"_Toc60930810" </w:instrText>
      </w:r>
      <w:r>
        <w:fldChar w:fldCharType="separate"/>
      </w:r>
      <w:r>
        <w:rPr>
          <w:rStyle w:val="18"/>
          <w:rFonts w:eastAsia="仿宋"/>
        </w:rPr>
        <w:t>6.1 通讯与信息保障</w:t>
      </w:r>
      <w:r>
        <w:tab/>
      </w:r>
      <w:r>
        <w:fldChar w:fldCharType="begin"/>
      </w:r>
      <w:r>
        <w:instrText xml:space="preserve"> PAGEREF _Toc60930810 \h </w:instrText>
      </w:r>
      <w:r>
        <w:fldChar w:fldCharType="separate"/>
      </w:r>
      <w:r>
        <w:t>98</w:t>
      </w:r>
      <w:r>
        <w:fldChar w:fldCharType="end"/>
      </w:r>
      <w:r>
        <w:fldChar w:fldCharType="end"/>
      </w:r>
    </w:p>
    <w:p w14:paraId="4320B369">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"_Toc60930811" </w:instrText>
      </w:r>
      <w:r>
        <w:fldChar w:fldCharType="separate"/>
      </w:r>
      <w:r>
        <w:rPr>
          <w:rStyle w:val="18"/>
          <w:rFonts w:eastAsia="仿宋"/>
        </w:rPr>
        <w:t>6.2 应急队伍保障</w:t>
      </w:r>
      <w:r>
        <w:tab/>
      </w:r>
      <w:r>
        <w:fldChar w:fldCharType="begin"/>
      </w:r>
      <w:r>
        <w:instrText xml:space="preserve"> PAGEREF _Toc60930811 \h </w:instrText>
      </w:r>
      <w:r>
        <w:fldChar w:fldCharType="separate"/>
      </w:r>
      <w:r>
        <w:t>98</w:t>
      </w:r>
      <w:r>
        <w:fldChar w:fldCharType="end"/>
      </w:r>
      <w:r>
        <w:fldChar w:fldCharType="end"/>
      </w:r>
    </w:p>
    <w:p w14:paraId="5729D1B8">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"_Toc60930812" </w:instrText>
      </w:r>
      <w:r>
        <w:fldChar w:fldCharType="separate"/>
      </w:r>
      <w:r>
        <w:rPr>
          <w:rStyle w:val="18"/>
          <w:rFonts w:eastAsia="仿宋"/>
        </w:rPr>
        <w:t>6.3 应急物资保障</w:t>
      </w:r>
      <w:r>
        <w:tab/>
      </w:r>
      <w:r>
        <w:fldChar w:fldCharType="begin"/>
      </w:r>
      <w:r>
        <w:instrText xml:space="preserve"> PAGEREF _Toc60930812 \h </w:instrText>
      </w:r>
      <w:r>
        <w:fldChar w:fldCharType="separate"/>
      </w:r>
      <w:r>
        <w:t>99</w:t>
      </w:r>
      <w:r>
        <w:fldChar w:fldCharType="end"/>
      </w:r>
      <w:r>
        <w:fldChar w:fldCharType="end"/>
      </w:r>
    </w:p>
    <w:p w14:paraId="028AB4C1">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"_Toc60930813" </w:instrText>
      </w:r>
      <w:r>
        <w:fldChar w:fldCharType="separate"/>
      </w:r>
      <w:r>
        <w:rPr>
          <w:rStyle w:val="18"/>
          <w:rFonts w:eastAsia="仿宋"/>
        </w:rPr>
        <w:t>6.4 经费保障</w:t>
      </w:r>
      <w:r>
        <w:tab/>
      </w:r>
      <w:r>
        <w:fldChar w:fldCharType="begin"/>
      </w:r>
      <w:r>
        <w:instrText xml:space="preserve"> PAGEREF _Toc60930813 \h </w:instrText>
      </w:r>
      <w:r>
        <w:fldChar w:fldCharType="separate"/>
      </w:r>
      <w:r>
        <w:t>99</w:t>
      </w:r>
      <w:r>
        <w:fldChar w:fldCharType="end"/>
      </w:r>
      <w:r>
        <w:fldChar w:fldCharType="end"/>
      </w:r>
    </w:p>
    <w:p w14:paraId="253EA60E">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"_Toc60930814" </w:instrText>
      </w:r>
      <w:r>
        <w:fldChar w:fldCharType="separate"/>
      </w:r>
      <w:r>
        <w:rPr>
          <w:rStyle w:val="18"/>
          <w:rFonts w:eastAsia="仿宋"/>
        </w:rPr>
        <w:t>6.5其他保障</w:t>
      </w:r>
      <w:r>
        <w:tab/>
      </w:r>
      <w:r>
        <w:fldChar w:fldCharType="begin"/>
      </w:r>
      <w:r>
        <w:instrText xml:space="preserve"> PAGEREF _Toc60930814 \h </w:instrText>
      </w:r>
      <w:r>
        <w:fldChar w:fldCharType="separate"/>
      </w:r>
      <w:r>
        <w:t>100</w:t>
      </w:r>
      <w:r>
        <w:fldChar w:fldCharType="end"/>
      </w:r>
      <w:r>
        <w:fldChar w:fldCharType="end"/>
      </w:r>
    </w:p>
    <w:p w14:paraId="5F6C20DC">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"_Toc60930815" </w:instrText>
      </w:r>
      <w:r>
        <w:fldChar w:fldCharType="separate"/>
      </w:r>
      <w:r>
        <w:rPr>
          <w:rStyle w:val="18"/>
          <w:rFonts w:eastAsia="仿宋"/>
        </w:rPr>
        <w:t>6.6 宣传、培训与演练</w:t>
      </w:r>
      <w:r>
        <w:tab/>
      </w:r>
      <w:r>
        <w:fldChar w:fldCharType="begin"/>
      </w:r>
      <w:r>
        <w:instrText xml:space="preserve"> PAGEREF _Toc60930815 \h </w:instrText>
      </w:r>
      <w:r>
        <w:fldChar w:fldCharType="separate"/>
      </w:r>
      <w:r>
        <w:t>101</w:t>
      </w:r>
      <w:r>
        <w:fldChar w:fldCharType="end"/>
      </w:r>
      <w:r>
        <w:fldChar w:fldCharType="end"/>
      </w:r>
    </w:p>
    <w:p w14:paraId="0BD66B3F">
      <w:pPr>
        <w:pStyle w:val="9"/>
        <w:tabs>
          <w:tab w:val="right" w:leader="middleDot" w:pos="8296"/>
        </w:tabs>
        <w:rPr>
          <w:rFonts w:asciiTheme="minorHAnsi" w:hAnsiTheme="minorHAnsi" w:eastAsiaTheme="minorEastAsia" w:cstheme="minorBidi"/>
          <w:sz w:val="21"/>
        </w:rPr>
      </w:pPr>
      <w:r>
        <w:fldChar w:fldCharType="begin"/>
      </w:r>
      <w:r>
        <w:instrText xml:space="preserve"> HYPERLINK \l "_Toc60930816" </w:instrText>
      </w:r>
      <w:r>
        <w:fldChar w:fldCharType="separate"/>
      </w:r>
      <w:r>
        <w:rPr>
          <w:rStyle w:val="18"/>
          <w:rFonts w:eastAsia="仿宋"/>
          <w:b/>
          <w:bCs/>
        </w:rPr>
        <w:t>7  附则</w:t>
      </w:r>
      <w:r>
        <w:tab/>
      </w:r>
      <w:r>
        <w:fldChar w:fldCharType="begin"/>
      </w:r>
      <w:r>
        <w:instrText xml:space="preserve"> PAGEREF _Toc60930816 \h </w:instrText>
      </w:r>
      <w:r>
        <w:fldChar w:fldCharType="separate"/>
      </w:r>
      <w:r>
        <w:t>103</w:t>
      </w:r>
      <w:r>
        <w:fldChar w:fldCharType="end"/>
      </w:r>
      <w:r>
        <w:fldChar w:fldCharType="end"/>
      </w:r>
    </w:p>
    <w:p w14:paraId="1C904E00">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"_Toc60930817" </w:instrText>
      </w:r>
      <w:r>
        <w:fldChar w:fldCharType="separate"/>
      </w:r>
      <w:r>
        <w:rPr>
          <w:rStyle w:val="18"/>
          <w:rFonts w:eastAsia="仿宋"/>
        </w:rPr>
        <w:t>7.1 名词解释</w:t>
      </w:r>
      <w:r>
        <w:tab/>
      </w:r>
      <w:r>
        <w:fldChar w:fldCharType="begin"/>
      </w:r>
      <w:r>
        <w:instrText xml:space="preserve"> PAGEREF _Toc60930817 \h </w:instrText>
      </w:r>
      <w:r>
        <w:fldChar w:fldCharType="separate"/>
      </w:r>
      <w:r>
        <w:t>103</w:t>
      </w:r>
      <w:r>
        <w:fldChar w:fldCharType="end"/>
      </w:r>
      <w:r>
        <w:fldChar w:fldCharType="end"/>
      </w:r>
    </w:p>
    <w:p w14:paraId="0276F470">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"_Toc60930818" </w:instrText>
      </w:r>
      <w:r>
        <w:fldChar w:fldCharType="separate"/>
      </w:r>
      <w:r>
        <w:rPr>
          <w:rStyle w:val="18"/>
          <w:rFonts w:eastAsia="仿宋"/>
        </w:rPr>
        <w:t>7.2 预案解释权属</w:t>
      </w:r>
      <w:r>
        <w:tab/>
      </w:r>
      <w:r>
        <w:fldChar w:fldCharType="begin"/>
      </w:r>
      <w:r>
        <w:instrText xml:space="preserve"> PAGEREF _Toc60930818 \h </w:instrText>
      </w:r>
      <w:r>
        <w:fldChar w:fldCharType="separate"/>
      </w:r>
      <w:r>
        <w:t>104</w:t>
      </w:r>
      <w:r>
        <w:fldChar w:fldCharType="end"/>
      </w:r>
      <w:r>
        <w:fldChar w:fldCharType="end"/>
      </w:r>
    </w:p>
    <w:p w14:paraId="77CBC9B5">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"_Toc60930819" </w:instrText>
      </w:r>
      <w:r>
        <w:fldChar w:fldCharType="separate"/>
      </w:r>
      <w:r>
        <w:rPr>
          <w:rStyle w:val="18"/>
          <w:rFonts w:eastAsia="仿宋"/>
        </w:rPr>
        <w:t>7.3 预案演练和修订</w:t>
      </w:r>
      <w:r>
        <w:tab/>
      </w:r>
      <w:r>
        <w:fldChar w:fldCharType="begin"/>
      </w:r>
      <w:r>
        <w:instrText xml:space="preserve"> PAGEREF _Toc60930819 \h </w:instrText>
      </w:r>
      <w:r>
        <w:fldChar w:fldCharType="separate"/>
      </w:r>
      <w:r>
        <w:t>105</w:t>
      </w:r>
      <w:r>
        <w:fldChar w:fldCharType="end"/>
      </w:r>
      <w:r>
        <w:fldChar w:fldCharType="end"/>
      </w:r>
    </w:p>
    <w:p w14:paraId="77B685CC">
      <w:pPr>
        <w:pStyle w:val="11"/>
        <w:tabs>
          <w:tab w:val="right" w:leader="middleDot" w:pos="8296"/>
        </w:tabs>
        <w:ind w:left="480"/>
        <w:rPr>
          <w:rFonts w:asciiTheme="minorHAnsi" w:hAnsiTheme="minorHAnsi" w:eastAsiaTheme="minorEastAsia" w:cstheme="minorBidi"/>
          <w:sz w:val="21"/>
        </w:rPr>
      </w:pPr>
      <w:r>
        <w:fldChar w:fldCharType="begin"/>
      </w:r>
      <w:r>
        <w:instrText xml:space="preserve"> HYPERLINK \l "_Toc60930820" </w:instrText>
      </w:r>
      <w:r>
        <w:fldChar w:fldCharType="separate"/>
      </w:r>
      <w:r>
        <w:rPr>
          <w:rStyle w:val="18"/>
          <w:rFonts w:eastAsia="仿宋"/>
        </w:rPr>
        <w:t>7.4 预案实施日期</w:t>
      </w:r>
      <w:r>
        <w:tab/>
      </w:r>
      <w:r>
        <w:fldChar w:fldCharType="begin"/>
      </w:r>
      <w:r>
        <w:instrText xml:space="preserve"> PAGEREF _Toc60930820 \h </w:instrText>
      </w:r>
      <w:r>
        <w:fldChar w:fldCharType="separate"/>
      </w:r>
      <w:r>
        <w:t>108</w:t>
      </w:r>
      <w:r>
        <w:fldChar w:fldCharType="end"/>
      </w:r>
      <w:r>
        <w:fldChar w:fldCharType="end"/>
      </w:r>
    </w:p>
    <w:p w14:paraId="2C2A6E1B">
      <w:pPr>
        <w:rPr>
          <w:rFonts w:eastAsia="仿宋"/>
        </w:rPr>
      </w:pPr>
      <w:r>
        <w:rPr>
          <w:rFonts w:eastAsia="仿宋"/>
        </w:rPr>
        <w:fldChar w:fldCharType="end"/>
      </w:r>
      <w:r>
        <w:rPr>
          <w:rFonts w:eastAsia="仿宋"/>
        </w:rPr>
        <w:t>附图：</w:t>
      </w:r>
    </w:p>
    <w:p w14:paraId="0438DE4C">
      <w:pPr>
        <w:ind w:firstLine="435"/>
        <w:rPr>
          <w:rFonts w:eastAsia="仿宋"/>
          <w:bCs/>
          <w:sz w:val="21"/>
          <w:szCs w:val="21"/>
        </w:rPr>
      </w:pPr>
      <w:r>
        <w:rPr>
          <w:rFonts w:eastAsia="仿宋"/>
          <w:bCs/>
          <w:sz w:val="21"/>
          <w:szCs w:val="21"/>
        </w:rPr>
        <w:t>附图1-52 花溪区</w:t>
      </w:r>
      <w:r>
        <w:rPr>
          <w:rFonts w:hint="eastAsia" w:eastAsia="仿宋"/>
          <w:bCs/>
          <w:sz w:val="21"/>
          <w:szCs w:val="21"/>
        </w:rPr>
        <w:t>千人以上</w:t>
      </w:r>
      <w:r>
        <w:rPr>
          <w:rFonts w:eastAsia="仿宋"/>
          <w:bCs/>
          <w:sz w:val="21"/>
          <w:szCs w:val="21"/>
        </w:rPr>
        <w:t>饮用水水源地集中式饮用水水源保护区划分</w:t>
      </w:r>
      <w:r>
        <w:rPr>
          <w:rFonts w:hint="eastAsia" w:eastAsia="仿宋"/>
          <w:bCs/>
          <w:sz w:val="21"/>
          <w:szCs w:val="21"/>
        </w:rPr>
        <w:t>/影像</w:t>
      </w:r>
      <w:r>
        <w:rPr>
          <w:rFonts w:eastAsia="仿宋"/>
          <w:bCs/>
          <w:sz w:val="21"/>
          <w:szCs w:val="21"/>
        </w:rPr>
        <w:t>图</w:t>
      </w:r>
    </w:p>
    <w:p w14:paraId="22F6F6DA">
      <w:pPr>
        <w:rPr>
          <w:rFonts w:eastAsia="仿宋"/>
        </w:rPr>
      </w:pPr>
      <w:r>
        <w:rPr>
          <w:rFonts w:eastAsia="仿宋"/>
        </w:rPr>
        <w:t>附表：</w:t>
      </w:r>
    </w:p>
    <w:p w14:paraId="44B9F2CC">
      <w:pPr>
        <w:ind w:firstLine="420" w:firstLineChars="200"/>
        <w:rPr>
          <w:rFonts w:eastAsia="仿宋"/>
          <w:bCs/>
          <w:sz w:val="21"/>
          <w:szCs w:val="21"/>
        </w:rPr>
      </w:pPr>
      <w:r>
        <w:rPr>
          <w:rFonts w:eastAsia="仿宋"/>
          <w:bCs/>
          <w:sz w:val="21"/>
          <w:szCs w:val="21"/>
        </w:rPr>
        <w:t>附表1 突发环境事件应急救援指挥成员联系名单</w:t>
      </w:r>
    </w:p>
    <w:p w14:paraId="1E32D571">
      <w:pPr>
        <w:ind w:firstLine="420" w:firstLineChars="200"/>
        <w:rPr>
          <w:rFonts w:eastAsia="仿宋"/>
          <w:bCs/>
          <w:sz w:val="21"/>
          <w:szCs w:val="21"/>
        </w:rPr>
      </w:pPr>
      <w:r>
        <w:rPr>
          <w:rFonts w:eastAsia="仿宋"/>
          <w:bCs/>
          <w:sz w:val="21"/>
          <w:szCs w:val="21"/>
        </w:rPr>
        <w:t>附表2 突发环境事件贵州省内相关专家名单</w:t>
      </w:r>
    </w:p>
    <w:p w14:paraId="2BA71419">
      <w:pPr>
        <w:ind w:firstLine="420" w:firstLineChars="200"/>
        <w:rPr>
          <w:rFonts w:eastAsia="仿宋"/>
          <w:bCs/>
          <w:sz w:val="21"/>
          <w:szCs w:val="21"/>
        </w:rPr>
      </w:pPr>
      <w:r>
        <w:rPr>
          <w:rFonts w:eastAsia="仿宋"/>
          <w:bCs/>
          <w:sz w:val="21"/>
          <w:szCs w:val="21"/>
        </w:rPr>
        <w:t>附表3 突发环境事件应急处理技术体系</w:t>
      </w:r>
    </w:p>
    <w:p w14:paraId="1F7A25B7">
      <w:pPr>
        <w:ind w:firstLine="420" w:firstLineChars="200"/>
        <w:rPr>
          <w:rFonts w:eastAsia="仿宋"/>
          <w:bCs/>
          <w:sz w:val="21"/>
          <w:szCs w:val="21"/>
        </w:rPr>
      </w:pPr>
      <w:r>
        <w:rPr>
          <w:rFonts w:eastAsia="仿宋"/>
          <w:bCs/>
          <w:sz w:val="21"/>
          <w:szCs w:val="21"/>
        </w:rPr>
        <w:t>附表4 活性炭吸附技术可以应对的污染物</w:t>
      </w:r>
    </w:p>
    <w:p w14:paraId="475AD101">
      <w:pPr>
        <w:ind w:firstLine="420" w:firstLineChars="200"/>
        <w:rPr>
          <w:rFonts w:eastAsia="仿宋"/>
          <w:bCs/>
          <w:sz w:val="21"/>
          <w:szCs w:val="21"/>
        </w:rPr>
      </w:pPr>
      <w:r>
        <w:rPr>
          <w:rFonts w:eastAsia="仿宋"/>
          <w:bCs/>
          <w:sz w:val="21"/>
          <w:szCs w:val="21"/>
        </w:rPr>
        <w:t>附表5 化学沉淀技术可以应对的污染物</w:t>
      </w:r>
    </w:p>
    <w:p w14:paraId="2DAC7273">
      <w:pPr>
        <w:ind w:firstLine="420" w:firstLineChars="200"/>
        <w:rPr>
          <w:rFonts w:eastAsia="仿宋"/>
          <w:bCs/>
          <w:sz w:val="21"/>
          <w:szCs w:val="21"/>
        </w:rPr>
      </w:pPr>
      <w:r>
        <w:rPr>
          <w:rFonts w:eastAsia="仿宋"/>
          <w:bCs/>
          <w:sz w:val="21"/>
          <w:szCs w:val="21"/>
        </w:rPr>
        <w:t>附表6 常见化学品引发水污染事故的简要处置方法</w:t>
      </w:r>
    </w:p>
    <w:p w14:paraId="7723879E">
      <w:pPr>
        <w:ind w:firstLine="420" w:firstLineChars="200"/>
        <w:rPr>
          <w:rFonts w:eastAsia="仿宋"/>
          <w:bCs/>
          <w:sz w:val="21"/>
          <w:szCs w:val="21"/>
        </w:rPr>
      </w:pPr>
      <w:r>
        <w:rPr>
          <w:rFonts w:eastAsia="仿宋"/>
          <w:bCs/>
          <w:sz w:val="21"/>
          <w:szCs w:val="21"/>
        </w:rPr>
        <w:t>附表7 突发环境事件格式文件</w:t>
      </w:r>
    </w:p>
    <w:p w14:paraId="321979CC">
      <w:pPr>
        <w:rPr>
          <w:rFonts w:eastAsia="仿宋"/>
          <w:bCs/>
          <w:sz w:val="21"/>
          <w:szCs w:val="21"/>
        </w:rPr>
      </w:pPr>
      <w:r>
        <w:rPr>
          <w:rFonts w:hint="eastAsia" w:eastAsia="仿宋"/>
          <w:bCs/>
          <w:sz w:val="21"/>
          <w:szCs w:val="21"/>
        </w:rPr>
        <w:t>附件：</w:t>
      </w:r>
    </w:p>
    <w:p w14:paraId="3595CAD8">
      <w:pPr>
        <w:ind w:firstLine="420" w:firstLineChars="200"/>
        <w:jc w:val="left"/>
        <w:rPr>
          <w:rFonts w:hint="eastAsia" w:ascii="方正小标宋简体" w:hAnsi="方正小标宋简体" w:eastAsia="方正小标宋简体" w:cs="方正小标宋简体"/>
          <w:sz w:val="36"/>
          <w:szCs w:val="36"/>
        </w:rPr>
      </w:pPr>
      <w:r>
        <w:rPr>
          <w:rFonts w:eastAsia="仿宋"/>
          <w:bCs/>
          <w:sz w:val="21"/>
          <w:szCs w:val="21"/>
        </w:rPr>
        <w:t>附</w:t>
      </w:r>
      <w:r>
        <w:rPr>
          <w:rFonts w:hint="eastAsia" w:eastAsia="仿宋"/>
          <w:bCs/>
          <w:sz w:val="21"/>
          <w:szCs w:val="21"/>
        </w:rPr>
        <w:t>件</w:t>
      </w:r>
      <w:r>
        <w:rPr>
          <w:rFonts w:eastAsia="仿宋"/>
          <w:bCs/>
          <w:sz w:val="21"/>
          <w:szCs w:val="21"/>
        </w:rPr>
        <w:t>1</w:t>
      </w:r>
      <w:r>
        <w:rPr>
          <w:rFonts w:hint="eastAsia" w:eastAsia="仿宋"/>
          <w:bCs/>
          <w:sz w:val="21"/>
          <w:szCs w:val="21"/>
        </w:rPr>
        <w:t>：《花溪区千人以上集中式饮用水水源源地突发环境事件应急预案（送审稿）》编制说明</w:t>
      </w:r>
    </w:p>
    <w:p w14:paraId="7531F25E">
      <w:pPr>
        <w:ind w:firstLine="420" w:firstLineChars="200"/>
        <w:rPr>
          <w:rFonts w:eastAsia="仿宋"/>
          <w:bCs/>
          <w:sz w:val="21"/>
          <w:szCs w:val="21"/>
        </w:rPr>
      </w:pPr>
      <w:r>
        <w:rPr>
          <w:rFonts w:eastAsia="仿宋"/>
          <w:bCs/>
          <w:sz w:val="21"/>
          <w:szCs w:val="21"/>
        </w:rPr>
        <w:t>附</w:t>
      </w:r>
      <w:r>
        <w:rPr>
          <w:rFonts w:hint="eastAsia" w:eastAsia="仿宋"/>
          <w:bCs/>
          <w:sz w:val="21"/>
          <w:szCs w:val="21"/>
        </w:rPr>
        <w:t>件2</w:t>
      </w:r>
      <w:r>
        <w:rPr>
          <w:rFonts w:eastAsia="仿宋"/>
          <w:bCs/>
          <w:sz w:val="21"/>
          <w:szCs w:val="21"/>
        </w:rPr>
        <w:t xml:space="preserve"> </w:t>
      </w:r>
      <w:r>
        <w:rPr>
          <w:rFonts w:hint="eastAsia" w:eastAsia="仿宋"/>
          <w:bCs/>
          <w:sz w:val="21"/>
          <w:szCs w:val="21"/>
        </w:rPr>
        <w:t>《花溪区千人以上集中式饮用水水源源地突发环境事件应急预案（送审稿）》专家审查意见</w:t>
      </w:r>
    </w:p>
    <w:p w14:paraId="2236E58F">
      <w:pPr>
        <w:rPr>
          <w:rFonts w:eastAsia="仿宋"/>
        </w:rPr>
      </w:pPr>
    </w:p>
    <w:p w14:paraId="2381B190">
      <w:pPr>
        <w:rPr>
          <w:rFonts w:eastAsia="仿宋"/>
        </w:rPr>
        <w:sectPr>
          <w:headerReference r:id="rId6" w:type="default"/>
          <w:footerReference r:id="rId7" w:type="default"/>
          <w:pgSz w:w="11906" w:h="16838"/>
          <w:pgMar w:top="1440" w:right="1800" w:bottom="1440" w:left="1800" w:header="851" w:footer="992" w:gutter="0"/>
          <w:pgNumType w:fmt="lowerRoman" w:start="1"/>
          <w:cols w:space="425" w:num="1"/>
          <w:docGrid w:type="lines" w:linePitch="312" w:charSpace="0"/>
        </w:sectPr>
      </w:pPr>
    </w:p>
    <w:p w14:paraId="650A0D32">
      <w:pPr>
        <w:widowControl/>
        <w:jc w:val="center"/>
        <w:outlineLvl w:val="0"/>
        <w:rPr>
          <w:rFonts w:eastAsia="仿宋"/>
          <w:b/>
          <w:bCs/>
          <w:sz w:val="32"/>
          <w:szCs w:val="28"/>
        </w:rPr>
      </w:pPr>
      <w:bookmarkStart w:id="1" w:name="_Toc60930756"/>
      <w:r>
        <w:rPr>
          <w:rFonts w:eastAsia="仿宋"/>
          <w:b/>
          <w:bCs/>
          <w:sz w:val="32"/>
          <w:szCs w:val="28"/>
        </w:rPr>
        <w:t>1  总 则</w:t>
      </w:r>
      <w:bookmarkEnd w:id="1"/>
    </w:p>
    <w:p w14:paraId="18A0CD7F">
      <w:pPr>
        <w:pStyle w:val="3"/>
        <w:rPr>
          <w:rFonts w:eastAsia="仿宋"/>
          <w:sz w:val="32"/>
        </w:rPr>
      </w:pPr>
      <w:bookmarkStart w:id="2" w:name="_Toc32066"/>
      <w:bookmarkStart w:id="3" w:name="_Toc395799467"/>
      <w:bookmarkStart w:id="4" w:name="_Toc26198"/>
      <w:bookmarkStart w:id="5" w:name="_Toc397089529"/>
      <w:bookmarkStart w:id="6" w:name="_Toc417396466"/>
      <w:bookmarkStart w:id="7" w:name="_Toc3818"/>
      <w:bookmarkStart w:id="8" w:name="_Toc45007247"/>
      <w:bookmarkStart w:id="9" w:name="_Toc60930757"/>
      <w:bookmarkStart w:id="10" w:name="_Toc401053827"/>
      <w:bookmarkStart w:id="11" w:name="_Toc450821128"/>
      <w:bookmarkStart w:id="12" w:name="_Toc399148104"/>
      <w:r>
        <w:rPr>
          <w:rFonts w:eastAsia="仿宋"/>
          <w:sz w:val="32"/>
        </w:rPr>
        <w:t>1.1 编制目的</w:t>
      </w:r>
      <w:bookmarkEnd w:id="2"/>
      <w:bookmarkEnd w:id="3"/>
      <w:bookmarkEnd w:id="4"/>
      <w:bookmarkEnd w:id="5"/>
      <w:bookmarkEnd w:id="6"/>
      <w:bookmarkEnd w:id="7"/>
      <w:bookmarkEnd w:id="8"/>
      <w:bookmarkEnd w:id="9"/>
      <w:bookmarkEnd w:id="10"/>
      <w:bookmarkEnd w:id="11"/>
      <w:bookmarkEnd w:id="12"/>
    </w:p>
    <w:p w14:paraId="00E44948">
      <w:pPr>
        <w:ind w:firstLine="560" w:firstLineChars="200"/>
        <w:rPr>
          <w:rFonts w:eastAsia="仿宋"/>
          <w:sz w:val="28"/>
          <w:szCs w:val="28"/>
        </w:rPr>
      </w:pPr>
      <w:r>
        <w:rPr>
          <w:rFonts w:eastAsia="仿宋"/>
          <w:sz w:val="28"/>
          <w:szCs w:val="28"/>
        </w:rPr>
        <w:t>为提高花溪区人民政府应对花溪区饮用水水源地突发环境污染事件水平的和能力，规范环境事件的应急管理和应急响应，建立和健全突发环境事件应急机制，实现迅速、有序、高效和妥善处置突发环境污染事件，将突发环境事件对人员、财产和环境造成的损失降至最小程度，最大限度地保障供水安全，维护周边人民群众的生命财产安全和社会稳定。根据相关文件要求和国家有关法律、法规，本着“预防第一，自救为主，统一指挥，分工负责”的原则，结合花溪区</w:t>
      </w:r>
      <w:r>
        <w:rPr>
          <w:rFonts w:hint="eastAsia" w:eastAsia="仿宋"/>
          <w:sz w:val="28"/>
          <w:szCs w:val="28"/>
        </w:rPr>
        <w:t>千人以上</w:t>
      </w:r>
      <w:r>
        <w:rPr>
          <w:rFonts w:eastAsia="仿宋"/>
          <w:sz w:val="28"/>
          <w:szCs w:val="28"/>
        </w:rPr>
        <w:t>集中式饮用水水源地（</w:t>
      </w:r>
      <w:r>
        <w:rPr>
          <w:rFonts w:hint="eastAsia" w:eastAsia="仿宋"/>
          <w:sz w:val="28"/>
          <w:szCs w:val="28"/>
        </w:rPr>
        <w:t>高坡乡阴河洞</w:t>
      </w:r>
      <w:r>
        <w:rPr>
          <w:rFonts w:eastAsia="仿宋"/>
          <w:sz w:val="28"/>
          <w:szCs w:val="28"/>
        </w:rPr>
        <w:t>、</w:t>
      </w:r>
      <w:r>
        <w:rPr>
          <w:rFonts w:hint="eastAsia" w:eastAsia="仿宋"/>
          <w:sz w:val="28"/>
          <w:szCs w:val="28"/>
        </w:rPr>
        <w:t>高坡乡苦蒿冲水源</w:t>
      </w:r>
      <w:r>
        <w:rPr>
          <w:rFonts w:eastAsia="仿宋"/>
          <w:sz w:val="28"/>
          <w:szCs w:val="28"/>
        </w:rPr>
        <w:t>、</w:t>
      </w:r>
      <w:r>
        <w:rPr>
          <w:rFonts w:hint="eastAsia" w:eastAsia="仿宋"/>
          <w:sz w:val="28"/>
          <w:szCs w:val="28"/>
        </w:rPr>
        <w:t>马铃乡麻窝坑水源</w:t>
      </w:r>
      <w:r>
        <w:rPr>
          <w:rFonts w:eastAsia="仿宋"/>
          <w:sz w:val="28"/>
          <w:szCs w:val="28"/>
        </w:rPr>
        <w:t>、</w:t>
      </w:r>
      <w:r>
        <w:rPr>
          <w:rFonts w:hint="eastAsia" w:eastAsia="仿宋"/>
          <w:sz w:val="28"/>
          <w:szCs w:val="28"/>
        </w:rPr>
        <w:t>青岩镇海爬井水源</w:t>
      </w:r>
      <w:r>
        <w:rPr>
          <w:rFonts w:eastAsia="仿宋"/>
          <w:sz w:val="28"/>
          <w:szCs w:val="28"/>
        </w:rPr>
        <w:t>、</w:t>
      </w:r>
      <w:r>
        <w:rPr>
          <w:rFonts w:hint="eastAsia" w:eastAsia="仿宋"/>
          <w:sz w:val="28"/>
          <w:szCs w:val="28"/>
        </w:rPr>
        <w:t>青岩镇龙井沟</w:t>
      </w:r>
      <w:r>
        <w:rPr>
          <w:rFonts w:eastAsia="仿宋"/>
          <w:sz w:val="28"/>
          <w:szCs w:val="28"/>
        </w:rPr>
        <w:t>水源</w:t>
      </w:r>
      <w:r>
        <w:rPr>
          <w:rFonts w:hint="eastAsia" w:eastAsia="仿宋"/>
          <w:sz w:val="28"/>
          <w:szCs w:val="28"/>
        </w:rPr>
        <w:t>、青岩镇龙潭水源、燕楼镇燕鲁小燕河水源、黔陶乡九眼井水源、马铃乡红岩水库、高坡乡的大洪村、批林村、杉坪村蚂蜂洞、黔陶乡的马场村、骑龙村、赵司村赵司河、青岩镇的达夯村坡六塘、龙井村、思潜村赵司河、西门河、新楼村、清溪街道的9</w:t>
      </w:r>
      <w:r>
        <w:rPr>
          <w:rFonts w:eastAsia="仿宋"/>
          <w:sz w:val="28"/>
          <w:szCs w:val="28"/>
        </w:rPr>
        <w:t>855</w:t>
      </w:r>
      <w:r>
        <w:rPr>
          <w:rFonts w:hint="eastAsia" w:eastAsia="仿宋"/>
          <w:sz w:val="28"/>
          <w:szCs w:val="28"/>
        </w:rPr>
        <w:t>厂、机械厂、石板镇的盖冗村、燕楼镇的坝楼村、槐舟村、新井村等集中式饮用水源</w:t>
      </w:r>
      <w:r>
        <w:rPr>
          <w:rFonts w:eastAsia="仿宋"/>
          <w:sz w:val="28"/>
          <w:szCs w:val="28"/>
        </w:rPr>
        <w:t>）实际情况，制定了《花溪区</w:t>
      </w:r>
      <w:r>
        <w:rPr>
          <w:rFonts w:hint="eastAsia" w:eastAsia="仿宋"/>
          <w:sz w:val="28"/>
          <w:szCs w:val="28"/>
        </w:rPr>
        <w:t>千人以上</w:t>
      </w:r>
      <w:r>
        <w:rPr>
          <w:rFonts w:eastAsia="仿宋"/>
          <w:sz w:val="28"/>
          <w:szCs w:val="28"/>
        </w:rPr>
        <w:t>集中式饮用水水源地突发环境事件应急预案》（以下简称应急预案），通过预案实施防治因组织不力或现场救护工作混乱延误事故应急，最大限度的保护人员安全，防治环境污染。</w:t>
      </w:r>
    </w:p>
    <w:p w14:paraId="68851E21">
      <w:pPr>
        <w:pStyle w:val="3"/>
        <w:rPr>
          <w:rFonts w:eastAsia="仿宋"/>
          <w:sz w:val="32"/>
        </w:rPr>
      </w:pPr>
      <w:bookmarkStart w:id="13" w:name="_Toc60930758"/>
      <w:r>
        <w:rPr>
          <w:rFonts w:eastAsia="仿宋"/>
          <w:sz w:val="32"/>
        </w:rPr>
        <w:t>1.2 编制依据</w:t>
      </w:r>
      <w:bookmarkEnd w:id="13"/>
    </w:p>
    <w:p w14:paraId="652F272B">
      <w:pPr>
        <w:pStyle w:val="4"/>
        <w:spacing w:before="120" w:after="120"/>
        <w:rPr>
          <w:rFonts w:eastAsia="仿宋"/>
          <w:sz w:val="28"/>
        </w:rPr>
      </w:pPr>
      <w:r>
        <w:rPr>
          <w:rFonts w:eastAsia="仿宋"/>
          <w:sz w:val="28"/>
        </w:rPr>
        <w:t>1.2.1 国家法律及法规</w:t>
      </w:r>
    </w:p>
    <w:p w14:paraId="4FEA0A81">
      <w:pPr>
        <w:ind w:firstLine="560" w:firstLineChars="200"/>
        <w:rPr>
          <w:rFonts w:eastAsia="仿宋"/>
          <w:sz w:val="28"/>
          <w:szCs w:val="28"/>
        </w:rPr>
      </w:pPr>
      <w:r>
        <w:rPr>
          <w:rFonts w:eastAsia="仿宋"/>
          <w:sz w:val="28"/>
          <w:szCs w:val="28"/>
        </w:rPr>
        <w:t>（1）《中华人民共和国环境保护法》（2015年）；</w:t>
      </w:r>
    </w:p>
    <w:p w14:paraId="23B67E71">
      <w:pPr>
        <w:ind w:firstLine="560" w:firstLineChars="200"/>
        <w:rPr>
          <w:rFonts w:eastAsia="仿宋"/>
          <w:sz w:val="28"/>
          <w:szCs w:val="28"/>
        </w:rPr>
      </w:pPr>
      <w:r>
        <w:rPr>
          <w:rFonts w:eastAsia="仿宋"/>
          <w:sz w:val="28"/>
          <w:szCs w:val="28"/>
        </w:rPr>
        <w:t>（2）《中华人民共和国突发事件应对法》（2007年）；</w:t>
      </w:r>
    </w:p>
    <w:p w14:paraId="4C9B6D86">
      <w:pPr>
        <w:ind w:firstLine="560" w:firstLineChars="200"/>
        <w:rPr>
          <w:rFonts w:eastAsia="仿宋"/>
          <w:sz w:val="28"/>
          <w:szCs w:val="28"/>
        </w:rPr>
      </w:pPr>
      <w:r>
        <w:rPr>
          <w:rFonts w:eastAsia="仿宋"/>
          <w:sz w:val="28"/>
          <w:szCs w:val="28"/>
        </w:rPr>
        <w:t>（3）《中华人民共和国水污染防治法》（2017年）；</w:t>
      </w:r>
    </w:p>
    <w:p w14:paraId="13BB0F83">
      <w:pPr>
        <w:ind w:firstLine="560" w:firstLineChars="200"/>
        <w:rPr>
          <w:rFonts w:eastAsia="仿宋"/>
          <w:sz w:val="28"/>
          <w:szCs w:val="28"/>
        </w:rPr>
      </w:pPr>
      <w:r>
        <w:rPr>
          <w:rFonts w:eastAsia="仿宋"/>
          <w:sz w:val="28"/>
          <w:szCs w:val="28"/>
        </w:rPr>
        <w:t>（4）《危险化学品安全管理条例》（国务院令第591号）；</w:t>
      </w:r>
    </w:p>
    <w:p w14:paraId="7FCEA180">
      <w:pPr>
        <w:ind w:firstLine="560" w:firstLineChars="200"/>
        <w:rPr>
          <w:rFonts w:eastAsia="仿宋"/>
          <w:sz w:val="28"/>
          <w:szCs w:val="28"/>
        </w:rPr>
      </w:pPr>
      <w:r>
        <w:rPr>
          <w:rFonts w:eastAsia="仿宋"/>
          <w:sz w:val="28"/>
          <w:szCs w:val="28"/>
        </w:rPr>
        <w:t>（5）《饮用水水源保护区污染防治管理规定》（环境保护部令第16号）；</w:t>
      </w:r>
    </w:p>
    <w:p w14:paraId="09237773">
      <w:pPr>
        <w:ind w:firstLine="560" w:firstLineChars="200"/>
        <w:rPr>
          <w:rFonts w:eastAsia="仿宋"/>
          <w:sz w:val="28"/>
          <w:szCs w:val="28"/>
        </w:rPr>
      </w:pPr>
      <w:r>
        <w:rPr>
          <w:rFonts w:eastAsia="仿宋"/>
          <w:sz w:val="28"/>
          <w:szCs w:val="28"/>
        </w:rPr>
        <w:t>（6）《突发环境事件信息报告办法》（环境保护部令第17号）；</w:t>
      </w:r>
    </w:p>
    <w:p w14:paraId="2744873B">
      <w:pPr>
        <w:ind w:firstLine="560" w:firstLineChars="200"/>
        <w:rPr>
          <w:rFonts w:eastAsia="仿宋"/>
          <w:sz w:val="28"/>
          <w:szCs w:val="28"/>
        </w:rPr>
      </w:pPr>
      <w:r>
        <w:rPr>
          <w:rFonts w:eastAsia="仿宋"/>
          <w:sz w:val="28"/>
          <w:szCs w:val="28"/>
        </w:rPr>
        <w:t>（7）《突发环境事件调查处理办法》（环境保护部令第32号）；</w:t>
      </w:r>
    </w:p>
    <w:p w14:paraId="602BBC76">
      <w:pPr>
        <w:ind w:firstLine="560" w:firstLineChars="200"/>
        <w:rPr>
          <w:rFonts w:eastAsia="仿宋"/>
          <w:sz w:val="28"/>
          <w:szCs w:val="28"/>
        </w:rPr>
      </w:pPr>
      <w:r>
        <w:rPr>
          <w:rFonts w:eastAsia="仿宋"/>
          <w:sz w:val="28"/>
          <w:szCs w:val="28"/>
        </w:rPr>
        <w:t>（8）《突发环境事件应急管理办法》（环境保护部令第34号）；</w:t>
      </w:r>
    </w:p>
    <w:p w14:paraId="528A960F">
      <w:pPr>
        <w:ind w:firstLine="560" w:firstLineChars="200"/>
        <w:rPr>
          <w:rFonts w:eastAsia="仿宋"/>
          <w:sz w:val="28"/>
          <w:szCs w:val="28"/>
        </w:rPr>
      </w:pPr>
      <w:r>
        <w:rPr>
          <w:rFonts w:eastAsia="仿宋"/>
          <w:sz w:val="28"/>
          <w:szCs w:val="28"/>
        </w:rPr>
        <w:t>（9）《城市供水水质管理规定》（建设部令第156号）；</w:t>
      </w:r>
    </w:p>
    <w:p w14:paraId="0905624D">
      <w:pPr>
        <w:ind w:firstLine="560" w:firstLineChars="200"/>
        <w:rPr>
          <w:rFonts w:eastAsia="仿宋"/>
          <w:sz w:val="28"/>
          <w:szCs w:val="28"/>
        </w:rPr>
      </w:pPr>
      <w:r>
        <w:rPr>
          <w:rFonts w:eastAsia="仿宋"/>
          <w:sz w:val="28"/>
          <w:szCs w:val="28"/>
        </w:rPr>
        <w:t>（10）《生活饮用水卫生监督管理办法》（住房城乡建设部、国家</w:t>
      </w:r>
      <w:r>
        <w:rPr>
          <w:rFonts w:hint="eastAsia" w:eastAsia="仿宋"/>
          <w:sz w:val="28"/>
          <w:szCs w:val="28"/>
          <w:lang w:eastAsia="zh-CN"/>
        </w:rPr>
        <w:t>卫健委</w:t>
      </w:r>
      <w:r>
        <w:rPr>
          <w:rFonts w:eastAsia="仿宋"/>
          <w:sz w:val="28"/>
          <w:szCs w:val="28"/>
        </w:rPr>
        <w:t>令第31号）；</w:t>
      </w:r>
    </w:p>
    <w:p w14:paraId="142993E6">
      <w:pPr>
        <w:ind w:firstLine="560" w:firstLineChars="200"/>
        <w:rPr>
          <w:rFonts w:eastAsia="仿宋"/>
          <w:sz w:val="28"/>
          <w:szCs w:val="28"/>
        </w:rPr>
      </w:pPr>
      <w:r>
        <w:rPr>
          <w:rFonts w:eastAsia="仿宋"/>
          <w:sz w:val="28"/>
          <w:szCs w:val="28"/>
        </w:rPr>
        <w:t>（11）《贵州省饮用水水源环境保护办法》（黔府发[2018]29号）。</w:t>
      </w:r>
    </w:p>
    <w:p w14:paraId="5951E31D">
      <w:pPr>
        <w:pStyle w:val="4"/>
        <w:spacing w:before="120" w:after="120"/>
        <w:rPr>
          <w:rFonts w:eastAsia="仿宋"/>
          <w:sz w:val="28"/>
        </w:rPr>
      </w:pPr>
      <w:r>
        <w:rPr>
          <w:rFonts w:eastAsia="仿宋"/>
          <w:sz w:val="28"/>
        </w:rPr>
        <w:t>1.2.2 技术规范及文件</w:t>
      </w:r>
    </w:p>
    <w:p w14:paraId="07A867E2">
      <w:pPr>
        <w:ind w:firstLine="560" w:firstLineChars="200"/>
        <w:rPr>
          <w:rFonts w:eastAsia="仿宋"/>
          <w:sz w:val="28"/>
          <w:szCs w:val="28"/>
        </w:rPr>
      </w:pPr>
      <w:bookmarkStart w:id="14" w:name="_Hlk51626494"/>
      <w:r>
        <w:rPr>
          <w:rFonts w:eastAsia="仿宋"/>
          <w:sz w:val="28"/>
          <w:szCs w:val="28"/>
        </w:rPr>
        <w:t>（1）《国家突发环境事件应急预案》；</w:t>
      </w:r>
    </w:p>
    <w:p w14:paraId="03797458">
      <w:pPr>
        <w:ind w:firstLine="560" w:firstLineChars="200"/>
        <w:rPr>
          <w:rFonts w:eastAsia="仿宋"/>
          <w:sz w:val="28"/>
          <w:szCs w:val="28"/>
        </w:rPr>
      </w:pPr>
      <w:r>
        <w:rPr>
          <w:rFonts w:eastAsia="仿宋"/>
          <w:sz w:val="28"/>
          <w:szCs w:val="28"/>
        </w:rPr>
        <w:t>（2）《国家突发公共事件总体应急预案》；</w:t>
      </w:r>
    </w:p>
    <w:p w14:paraId="40ED36DC">
      <w:pPr>
        <w:ind w:firstLine="560" w:firstLineChars="200"/>
        <w:rPr>
          <w:rFonts w:eastAsia="仿宋"/>
          <w:sz w:val="28"/>
          <w:szCs w:val="28"/>
        </w:rPr>
      </w:pPr>
      <w:r>
        <w:rPr>
          <w:rFonts w:eastAsia="仿宋"/>
          <w:sz w:val="28"/>
          <w:szCs w:val="28"/>
        </w:rPr>
        <w:t>（3）《国家安全生产事故灾难应急预案》；</w:t>
      </w:r>
    </w:p>
    <w:p w14:paraId="2ADE43D2">
      <w:pPr>
        <w:ind w:firstLine="560" w:firstLineChars="200"/>
        <w:rPr>
          <w:rFonts w:eastAsia="仿宋"/>
          <w:sz w:val="28"/>
          <w:szCs w:val="28"/>
        </w:rPr>
      </w:pPr>
      <w:r>
        <w:rPr>
          <w:rFonts w:eastAsia="仿宋"/>
          <w:sz w:val="28"/>
          <w:szCs w:val="28"/>
        </w:rPr>
        <w:t>（4）《地表水环境质量标准》（GB-3838）；</w:t>
      </w:r>
    </w:p>
    <w:p w14:paraId="01AA5D22">
      <w:pPr>
        <w:ind w:firstLine="560" w:firstLineChars="200"/>
        <w:rPr>
          <w:rFonts w:eastAsia="仿宋"/>
          <w:sz w:val="28"/>
          <w:szCs w:val="28"/>
        </w:rPr>
      </w:pPr>
      <w:r>
        <w:rPr>
          <w:rFonts w:eastAsia="仿宋"/>
          <w:sz w:val="28"/>
          <w:szCs w:val="28"/>
        </w:rPr>
        <w:t>（4）《突发环境事件应急监测技术规范》（HJ-589）；</w:t>
      </w:r>
    </w:p>
    <w:p w14:paraId="559AF2E9">
      <w:pPr>
        <w:ind w:firstLine="560" w:firstLineChars="200"/>
        <w:rPr>
          <w:rFonts w:eastAsia="仿宋"/>
          <w:sz w:val="28"/>
          <w:szCs w:val="28"/>
        </w:rPr>
      </w:pPr>
      <w:r>
        <w:rPr>
          <w:rFonts w:eastAsia="仿宋"/>
          <w:sz w:val="28"/>
          <w:szCs w:val="28"/>
        </w:rPr>
        <w:t>（5）《集中式饮用水水源地规范化建设环境保护技术要求》（HJ-773）；</w:t>
      </w:r>
    </w:p>
    <w:p w14:paraId="4BCE6A87">
      <w:pPr>
        <w:ind w:firstLine="560" w:firstLineChars="200"/>
        <w:rPr>
          <w:rFonts w:eastAsia="仿宋"/>
          <w:sz w:val="28"/>
          <w:szCs w:val="28"/>
        </w:rPr>
      </w:pPr>
      <w:r>
        <w:rPr>
          <w:rFonts w:eastAsia="仿宋"/>
          <w:sz w:val="28"/>
          <w:szCs w:val="28"/>
        </w:rPr>
        <w:t>（6）《集中式饮用水水源地环境保护状况评估技术规范》（HJ-774）；</w:t>
      </w:r>
    </w:p>
    <w:p w14:paraId="60458909">
      <w:pPr>
        <w:ind w:firstLine="560" w:firstLineChars="200"/>
        <w:rPr>
          <w:rFonts w:eastAsia="仿宋"/>
          <w:sz w:val="28"/>
          <w:szCs w:val="28"/>
        </w:rPr>
      </w:pPr>
      <w:r>
        <w:rPr>
          <w:rFonts w:eastAsia="仿宋"/>
          <w:sz w:val="28"/>
          <w:szCs w:val="28"/>
        </w:rPr>
        <w:t>（7）《突发环境事件应急预案管理暂行办法》（环发</w:t>
      </w:r>
      <w:r>
        <w:rPr>
          <w:rFonts w:hint="eastAsia" w:eastAsia="仿宋"/>
          <w:sz w:val="28"/>
          <w:szCs w:val="28"/>
        </w:rPr>
        <w:t>[</w:t>
      </w:r>
      <w:r>
        <w:rPr>
          <w:rFonts w:eastAsia="仿宋"/>
          <w:sz w:val="28"/>
          <w:szCs w:val="28"/>
        </w:rPr>
        <w:t>2010]113号）；</w:t>
      </w:r>
    </w:p>
    <w:p w14:paraId="157EA936">
      <w:pPr>
        <w:ind w:firstLine="560" w:firstLineChars="200"/>
        <w:rPr>
          <w:rFonts w:eastAsia="仿宋"/>
          <w:sz w:val="28"/>
          <w:szCs w:val="28"/>
        </w:rPr>
      </w:pPr>
      <w:r>
        <w:rPr>
          <w:rFonts w:eastAsia="仿宋"/>
          <w:sz w:val="28"/>
          <w:szCs w:val="28"/>
        </w:rPr>
        <w:t>（8）《集中式地表饮用水水源地环境应急管理工作指南》（环办</w:t>
      </w:r>
      <w:r>
        <w:rPr>
          <w:rFonts w:hint="eastAsia" w:eastAsia="仿宋"/>
          <w:sz w:val="28"/>
          <w:szCs w:val="28"/>
        </w:rPr>
        <w:t>[</w:t>
      </w:r>
      <w:r>
        <w:rPr>
          <w:rFonts w:eastAsia="仿宋"/>
          <w:sz w:val="28"/>
          <w:szCs w:val="28"/>
        </w:rPr>
        <w:t>2011]93号）；</w:t>
      </w:r>
    </w:p>
    <w:p w14:paraId="61F399CF">
      <w:pPr>
        <w:ind w:firstLine="560" w:firstLineChars="200"/>
        <w:rPr>
          <w:rFonts w:eastAsia="仿宋"/>
          <w:sz w:val="28"/>
          <w:szCs w:val="28"/>
        </w:rPr>
      </w:pPr>
      <w:r>
        <w:rPr>
          <w:rFonts w:eastAsia="仿宋"/>
          <w:sz w:val="28"/>
          <w:szCs w:val="28"/>
        </w:rPr>
        <w:t>（9）《集中式饮用水水源环境保护指南（试行）》（环办</w:t>
      </w:r>
      <w:r>
        <w:rPr>
          <w:rFonts w:hint="eastAsia" w:eastAsia="仿宋"/>
          <w:sz w:val="28"/>
          <w:szCs w:val="28"/>
        </w:rPr>
        <w:t>[</w:t>
      </w:r>
      <w:r>
        <w:rPr>
          <w:rFonts w:eastAsia="仿宋"/>
          <w:sz w:val="28"/>
          <w:szCs w:val="28"/>
        </w:rPr>
        <w:t>2012</w:t>
      </w:r>
      <w:r>
        <w:rPr>
          <w:rFonts w:hint="eastAsia" w:eastAsia="仿宋"/>
          <w:sz w:val="28"/>
          <w:szCs w:val="28"/>
        </w:rPr>
        <w:t>]</w:t>
      </w:r>
      <w:r>
        <w:rPr>
          <w:rFonts w:eastAsia="仿宋"/>
          <w:sz w:val="28"/>
          <w:szCs w:val="28"/>
        </w:rPr>
        <w:t>50号）；</w:t>
      </w:r>
    </w:p>
    <w:p w14:paraId="1418D3FD">
      <w:pPr>
        <w:ind w:firstLine="560" w:firstLineChars="200"/>
        <w:rPr>
          <w:rFonts w:eastAsia="仿宋"/>
          <w:sz w:val="28"/>
          <w:szCs w:val="28"/>
        </w:rPr>
      </w:pPr>
      <w:r>
        <w:rPr>
          <w:rFonts w:eastAsia="仿宋"/>
          <w:sz w:val="28"/>
          <w:szCs w:val="28"/>
        </w:rPr>
        <w:t>（10）《关于切实加强饮用水水源保护妥善应对突发环境事件的通知》（环办函</w:t>
      </w:r>
      <w:r>
        <w:rPr>
          <w:rFonts w:hint="eastAsia" w:eastAsia="仿宋"/>
          <w:sz w:val="28"/>
          <w:szCs w:val="28"/>
        </w:rPr>
        <w:t>[</w:t>
      </w:r>
      <w:r>
        <w:rPr>
          <w:rFonts w:eastAsia="仿宋"/>
          <w:sz w:val="28"/>
          <w:szCs w:val="28"/>
        </w:rPr>
        <w:t>2014</w:t>
      </w:r>
      <w:r>
        <w:rPr>
          <w:rFonts w:hint="eastAsia" w:eastAsia="仿宋"/>
          <w:sz w:val="28"/>
          <w:szCs w:val="28"/>
        </w:rPr>
        <w:t>]</w:t>
      </w:r>
      <w:r>
        <w:rPr>
          <w:rFonts w:eastAsia="仿宋"/>
          <w:sz w:val="28"/>
          <w:szCs w:val="28"/>
        </w:rPr>
        <w:t>498号）；</w:t>
      </w:r>
    </w:p>
    <w:p w14:paraId="0B554A0A">
      <w:pPr>
        <w:ind w:firstLine="560" w:firstLineChars="200"/>
        <w:rPr>
          <w:rFonts w:eastAsia="仿宋"/>
          <w:sz w:val="28"/>
          <w:szCs w:val="28"/>
        </w:rPr>
      </w:pPr>
      <w:r>
        <w:rPr>
          <w:rFonts w:eastAsia="仿宋"/>
          <w:sz w:val="28"/>
          <w:szCs w:val="28"/>
        </w:rPr>
        <w:t>（11）《集中式地表水饮用水水源地地突发环境事件应急预案编制指南（试行）》（生态环境部2018年第1号）；</w:t>
      </w:r>
    </w:p>
    <w:p w14:paraId="5E1303FF">
      <w:pPr>
        <w:ind w:firstLine="560" w:firstLineChars="200"/>
        <w:rPr>
          <w:rFonts w:eastAsia="仿宋"/>
          <w:sz w:val="28"/>
          <w:szCs w:val="28"/>
        </w:rPr>
      </w:pPr>
      <w:r>
        <w:rPr>
          <w:rFonts w:eastAsia="仿宋"/>
          <w:sz w:val="28"/>
          <w:szCs w:val="28"/>
        </w:rPr>
        <w:t>（12）《</w:t>
      </w:r>
      <w:r>
        <w:rPr>
          <w:rFonts w:hint="eastAsia" w:eastAsia="仿宋"/>
          <w:sz w:val="28"/>
          <w:szCs w:val="28"/>
        </w:rPr>
        <w:t>关于进一步加强突发环境应急预案管理的通知</w:t>
      </w:r>
      <w:r>
        <w:rPr>
          <w:rFonts w:eastAsia="仿宋"/>
          <w:sz w:val="28"/>
          <w:szCs w:val="28"/>
        </w:rPr>
        <w:t>》（</w:t>
      </w:r>
      <w:r>
        <w:rPr>
          <w:rFonts w:hint="eastAsia" w:eastAsia="仿宋"/>
          <w:sz w:val="28"/>
          <w:szCs w:val="28"/>
        </w:rPr>
        <w:t>黔环通[</w:t>
      </w:r>
      <w:r>
        <w:rPr>
          <w:rFonts w:eastAsia="仿宋"/>
          <w:sz w:val="28"/>
          <w:szCs w:val="28"/>
        </w:rPr>
        <w:t>2018]110</w:t>
      </w:r>
      <w:r>
        <w:rPr>
          <w:rFonts w:hint="eastAsia" w:eastAsia="仿宋"/>
          <w:sz w:val="28"/>
          <w:szCs w:val="28"/>
        </w:rPr>
        <w:t>号</w:t>
      </w:r>
      <w:r>
        <w:rPr>
          <w:rFonts w:eastAsia="仿宋"/>
          <w:sz w:val="28"/>
          <w:szCs w:val="28"/>
        </w:rPr>
        <w:t>）；</w:t>
      </w:r>
    </w:p>
    <w:p w14:paraId="18925FBA">
      <w:pPr>
        <w:ind w:firstLine="560" w:firstLineChars="200"/>
        <w:rPr>
          <w:rFonts w:eastAsia="仿宋"/>
          <w:sz w:val="28"/>
          <w:szCs w:val="28"/>
        </w:rPr>
      </w:pPr>
      <w:r>
        <w:rPr>
          <w:rFonts w:eastAsia="仿宋"/>
          <w:sz w:val="28"/>
          <w:szCs w:val="28"/>
        </w:rPr>
        <w:t>（13）《</w:t>
      </w:r>
      <w:r>
        <w:rPr>
          <w:rFonts w:hint="eastAsia" w:eastAsia="仿宋"/>
          <w:sz w:val="28"/>
          <w:szCs w:val="28"/>
        </w:rPr>
        <w:t>关于印发贵州省磷污染防治攻坚行动实施方案的通知</w:t>
      </w:r>
      <w:r>
        <w:rPr>
          <w:rFonts w:eastAsia="仿宋"/>
          <w:sz w:val="28"/>
          <w:szCs w:val="28"/>
        </w:rPr>
        <w:t>》（</w:t>
      </w:r>
      <w:r>
        <w:rPr>
          <w:rFonts w:hint="eastAsia" w:eastAsia="仿宋"/>
          <w:sz w:val="28"/>
          <w:szCs w:val="28"/>
        </w:rPr>
        <w:t>黔环通</w:t>
      </w:r>
      <w:r>
        <w:rPr>
          <w:rFonts w:eastAsia="仿宋"/>
          <w:sz w:val="28"/>
          <w:szCs w:val="28"/>
        </w:rPr>
        <w:t>[</w:t>
      </w:r>
      <w:r>
        <w:rPr>
          <w:rFonts w:hint="eastAsia" w:eastAsia="仿宋"/>
          <w:sz w:val="28"/>
          <w:szCs w:val="28"/>
        </w:rPr>
        <w:t>201</w:t>
      </w:r>
      <w:r>
        <w:rPr>
          <w:rFonts w:eastAsia="仿宋"/>
          <w:sz w:val="28"/>
          <w:szCs w:val="28"/>
        </w:rPr>
        <w:t>8]329</w:t>
      </w:r>
      <w:r>
        <w:rPr>
          <w:rFonts w:hint="eastAsia" w:eastAsia="仿宋"/>
          <w:sz w:val="28"/>
          <w:szCs w:val="28"/>
        </w:rPr>
        <w:t>号</w:t>
      </w:r>
      <w:r>
        <w:rPr>
          <w:rFonts w:eastAsia="仿宋"/>
          <w:sz w:val="28"/>
          <w:szCs w:val="28"/>
        </w:rPr>
        <w:t>）；</w:t>
      </w:r>
    </w:p>
    <w:p w14:paraId="3ECAD7D3">
      <w:pPr>
        <w:ind w:firstLine="560" w:firstLineChars="200"/>
        <w:rPr>
          <w:rFonts w:eastAsia="仿宋"/>
          <w:sz w:val="28"/>
          <w:szCs w:val="28"/>
        </w:rPr>
      </w:pPr>
      <w:r>
        <w:rPr>
          <w:rFonts w:eastAsia="仿宋"/>
          <w:sz w:val="28"/>
          <w:szCs w:val="28"/>
        </w:rPr>
        <w:t>（14）《</w:t>
      </w:r>
      <w:r>
        <w:rPr>
          <w:rFonts w:hint="eastAsia" w:eastAsia="仿宋"/>
          <w:sz w:val="28"/>
          <w:szCs w:val="28"/>
        </w:rPr>
        <w:t>关于印发贵州省城市黑臭水体治理攻坚战实施方案的通知</w:t>
      </w:r>
      <w:r>
        <w:rPr>
          <w:rFonts w:eastAsia="仿宋"/>
          <w:sz w:val="28"/>
          <w:szCs w:val="28"/>
        </w:rPr>
        <w:t>》（</w:t>
      </w:r>
      <w:r>
        <w:rPr>
          <w:rFonts w:hint="eastAsia" w:eastAsia="仿宋"/>
          <w:sz w:val="28"/>
          <w:szCs w:val="28"/>
        </w:rPr>
        <w:t>黔环通</w:t>
      </w:r>
      <w:r>
        <w:rPr>
          <w:rFonts w:eastAsia="仿宋"/>
          <w:sz w:val="28"/>
          <w:szCs w:val="28"/>
        </w:rPr>
        <w:t>[</w:t>
      </w:r>
      <w:r>
        <w:rPr>
          <w:rFonts w:hint="eastAsia" w:eastAsia="仿宋"/>
          <w:sz w:val="28"/>
          <w:szCs w:val="28"/>
        </w:rPr>
        <w:t>201</w:t>
      </w:r>
      <w:r>
        <w:rPr>
          <w:rFonts w:eastAsia="仿宋"/>
          <w:sz w:val="28"/>
          <w:szCs w:val="28"/>
        </w:rPr>
        <w:t>8]360</w:t>
      </w:r>
      <w:r>
        <w:rPr>
          <w:rFonts w:hint="eastAsia" w:eastAsia="仿宋"/>
          <w:sz w:val="28"/>
          <w:szCs w:val="28"/>
        </w:rPr>
        <w:t>号</w:t>
      </w:r>
      <w:r>
        <w:rPr>
          <w:rFonts w:eastAsia="仿宋"/>
          <w:sz w:val="28"/>
          <w:szCs w:val="28"/>
        </w:rPr>
        <w:t>）；</w:t>
      </w:r>
    </w:p>
    <w:p w14:paraId="4D915672">
      <w:pPr>
        <w:ind w:firstLine="560" w:firstLineChars="200"/>
        <w:rPr>
          <w:rFonts w:eastAsia="仿宋"/>
          <w:sz w:val="28"/>
          <w:szCs w:val="28"/>
        </w:rPr>
      </w:pPr>
      <w:r>
        <w:rPr>
          <w:rFonts w:eastAsia="仿宋"/>
          <w:sz w:val="28"/>
          <w:szCs w:val="28"/>
        </w:rPr>
        <w:t>（15）《</w:t>
      </w:r>
      <w:r>
        <w:rPr>
          <w:rFonts w:hint="eastAsia" w:eastAsia="仿宋"/>
          <w:sz w:val="28"/>
          <w:szCs w:val="28"/>
        </w:rPr>
        <w:t>关于进一步开展饮用水水源地环境保护工作的通知</w:t>
      </w:r>
      <w:r>
        <w:rPr>
          <w:rFonts w:eastAsia="仿宋"/>
          <w:sz w:val="28"/>
          <w:szCs w:val="28"/>
        </w:rPr>
        <w:t>》（</w:t>
      </w:r>
      <w:r>
        <w:rPr>
          <w:rFonts w:hint="eastAsia" w:eastAsia="仿宋"/>
          <w:sz w:val="28"/>
          <w:szCs w:val="28"/>
        </w:rPr>
        <w:t>黔环通</w:t>
      </w:r>
      <w:r>
        <w:rPr>
          <w:rFonts w:eastAsia="仿宋"/>
          <w:sz w:val="28"/>
          <w:szCs w:val="28"/>
        </w:rPr>
        <w:t>[</w:t>
      </w:r>
      <w:r>
        <w:rPr>
          <w:rFonts w:hint="eastAsia" w:eastAsia="仿宋"/>
          <w:sz w:val="28"/>
          <w:szCs w:val="28"/>
        </w:rPr>
        <w:t>2019</w:t>
      </w:r>
      <w:r>
        <w:rPr>
          <w:rFonts w:eastAsia="仿宋"/>
          <w:sz w:val="28"/>
          <w:szCs w:val="28"/>
        </w:rPr>
        <w:t>]38</w:t>
      </w:r>
      <w:r>
        <w:rPr>
          <w:rFonts w:hint="eastAsia" w:eastAsia="仿宋"/>
          <w:sz w:val="28"/>
          <w:szCs w:val="28"/>
        </w:rPr>
        <w:t>号</w:t>
      </w:r>
      <w:r>
        <w:rPr>
          <w:rFonts w:eastAsia="仿宋"/>
          <w:sz w:val="28"/>
          <w:szCs w:val="28"/>
        </w:rPr>
        <w:t>）；</w:t>
      </w:r>
    </w:p>
    <w:p w14:paraId="1F112319">
      <w:pPr>
        <w:ind w:firstLine="560" w:firstLineChars="200"/>
        <w:rPr>
          <w:rFonts w:eastAsia="仿宋"/>
          <w:sz w:val="28"/>
          <w:szCs w:val="28"/>
        </w:rPr>
      </w:pPr>
      <w:r>
        <w:rPr>
          <w:rFonts w:eastAsia="仿宋"/>
          <w:sz w:val="28"/>
          <w:szCs w:val="28"/>
        </w:rPr>
        <w:t>（16）《</w:t>
      </w:r>
      <w:r>
        <w:rPr>
          <w:rFonts w:hint="eastAsia" w:eastAsia="仿宋"/>
          <w:sz w:val="28"/>
          <w:szCs w:val="28"/>
        </w:rPr>
        <w:t>关于印发贵州省开展长江珠江上游生态屏障保护修复攻坚行动方案的通知</w:t>
      </w:r>
      <w:r>
        <w:rPr>
          <w:rFonts w:eastAsia="仿宋"/>
          <w:sz w:val="28"/>
          <w:szCs w:val="28"/>
        </w:rPr>
        <w:t>》（</w:t>
      </w:r>
      <w:r>
        <w:rPr>
          <w:rFonts w:hint="eastAsia" w:eastAsia="仿宋"/>
          <w:sz w:val="28"/>
          <w:szCs w:val="28"/>
        </w:rPr>
        <w:t>黔环通</w:t>
      </w:r>
      <w:r>
        <w:rPr>
          <w:rFonts w:eastAsia="仿宋"/>
          <w:sz w:val="28"/>
          <w:szCs w:val="28"/>
        </w:rPr>
        <w:t>[</w:t>
      </w:r>
      <w:r>
        <w:rPr>
          <w:rFonts w:hint="eastAsia" w:eastAsia="仿宋"/>
          <w:sz w:val="28"/>
          <w:szCs w:val="28"/>
        </w:rPr>
        <w:t>2019</w:t>
      </w:r>
      <w:r>
        <w:rPr>
          <w:rFonts w:eastAsia="仿宋"/>
          <w:sz w:val="28"/>
          <w:szCs w:val="28"/>
        </w:rPr>
        <w:t>]100</w:t>
      </w:r>
      <w:r>
        <w:rPr>
          <w:rFonts w:hint="eastAsia" w:eastAsia="仿宋"/>
          <w:sz w:val="28"/>
          <w:szCs w:val="28"/>
        </w:rPr>
        <w:t>号</w:t>
      </w:r>
      <w:r>
        <w:rPr>
          <w:rFonts w:eastAsia="仿宋"/>
          <w:sz w:val="28"/>
          <w:szCs w:val="28"/>
        </w:rPr>
        <w:t>）；</w:t>
      </w:r>
    </w:p>
    <w:p w14:paraId="23D11DA8">
      <w:pPr>
        <w:ind w:firstLine="560" w:firstLineChars="200"/>
        <w:rPr>
          <w:rFonts w:eastAsia="仿宋"/>
          <w:sz w:val="28"/>
          <w:szCs w:val="28"/>
        </w:rPr>
      </w:pPr>
      <w:r>
        <w:rPr>
          <w:rFonts w:eastAsia="仿宋"/>
          <w:sz w:val="28"/>
          <w:szCs w:val="28"/>
        </w:rPr>
        <w:t>（17）《</w:t>
      </w:r>
      <w:r>
        <w:rPr>
          <w:rFonts w:hint="eastAsia" w:eastAsia="仿宋"/>
          <w:sz w:val="28"/>
          <w:szCs w:val="28"/>
        </w:rPr>
        <w:t>环境应急资源调查指南</w:t>
      </w:r>
      <w:r>
        <w:rPr>
          <w:rFonts w:eastAsia="仿宋"/>
          <w:sz w:val="28"/>
          <w:szCs w:val="28"/>
        </w:rPr>
        <w:t>（试行）》（</w:t>
      </w:r>
      <w:r>
        <w:rPr>
          <w:rFonts w:hint="eastAsia" w:eastAsia="仿宋"/>
          <w:sz w:val="28"/>
          <w:szCs w:val="28"/>
        </w:rPr>
        <w:t>环办应急</w:t>
      </w:r>
      <w:r>
        <w:rPr>
          <w:rFonts w:eastAsia="仿宋"/>
          <w:sz w:val="28"/>
          <w:szCs w:val="28"/>
        </w:rPr>
        <w:t>[</w:t>
      </w:r>
      <w:r>
        <w:rPr>
          <w:rFonts w:hint="eastAsia" w:eastAsia="仿宋"/>
          <w:sz w:val="28"/>
          <w:szCs w:val="28"/>
        </w:rPr>
        <w:t>2019</w:t>
      </w:r>
      <w:r>
        <w:rPr>
          <w:rFonts w:eastAsia="仿宋"/>
          <w:sz w:val="28"/>
          <w:szCs w:val="28"/>
        </w:rPr>
        <w:t>]</w:t>
      </w:r>
      <w:r>
        <w:rPr>
          <w:rFonts w:hint="eastAsia" w:eastAsia="仿宋"/>
          <w:sz w:val="28"/>
          <w:szCs w:val="28"/>
        </w:rPr>
        <w:t>17号</w:t>
      </w:r>
      <w:r>
        <w:rPr>
          <w:rFonts w:eastAsia="仿宋"/>
          <w:sz w:val="28"/>
          <w:szCs w:val="28"/>
        </w:rPr>
        <w:t>）；</w:t>
      </w:r>
    </w:p>
    <w:p w14:paraId="15F8419F">
      <w:pPr>
        <w:ind w:firstLine="560" w:firstLineChars="200"/>
        <w:rPr>
          <w:rFonts w:eastAsia="仿宋"/>
          <w:sz w:val="28"/>
          <w:szCs w:val="28"/>
        </w:rPr>
      </w:pPr>
      <w:r>
        <w:rPr>
          <w:rFonts w:eastAsia="仿宋"/>
          <w:sz w:val="28"/>
          <w:szCs w:val="28"/>
        </w:rPr>
        <w:t>（18）《贵州省突发事件应急预案管理办法》（黔府</w:t>
      </w:r>
      <w:r>
        <w:rPr>
          <w:rFonts w:hint="eastAsia" w:eastAsia="仿宋"/>
          <w:sz w:val="28"/>
          <w:szCs w:val="28"/>
        </w:rPr>
        <w:t>办</w:t>
      </w:r>
      <w:r>
        <w:rPr>
          <w:rFonts w:eastAsia="仿宋"/>
          <w:sz w:val="28"/>
          <w:szCs w:val="28"/>
        </w:rPr>
        <w:t>发[2014]42号）；</w:t>
      </w:r>
    </w:p>
    <w:p w14:paraId="7E416096">
      <w:pPr>
        <w:ind w:firstLine="560" w:firstLineChars="200"/>
        <w:rPr>
          <w:rFonts w:eastAsia="仿宋"/>
          <w:sz w:val="28"/>
          <w:szCs w:val="28"/>
        </w:rPr>
      </w:pPr>
      <w:r>
        <w:rPr>
          <w:rFonts w:eastAsia="仿宋"/>
          <w:sz w:val="28"/>
          <w:szCs w:val="28"/>
        </w:rPr>
        <w:t>（19）《贵州省突发事件应急预案管理办法》（黔府</w:t>
      </w:r>
      <w:r>
        <w:rPr>
          <w:rFonts w:hint="eastAsia" w:eastAsia="仿宋"/>
          <w:sz w:val="28"/>
          <w:szCs w:val="28"/>
        </w:rPr>
        <w:t>办</w:t>
      </w:r>
      <w:r>
        <w:rPr>
          <w:rFonts w:eastAsia="仿宋"/>
          <w:sz w:val="28"/>
          <w:szCs w:val="28"/>
        </w:rPr>
        <w:t>发[2020]14号）；</w:t>
      </w:r>
    </w:p>
    <w:p w14:paraId="4E527985">
      <w:pPr>
        <w:ind w:firstLine="560" w:firstLineChars="200"/>
        <w:rPr>
          <w:rFonts w:eastAsia="仿宋"/>
          <w:sz w:val="28"/>
          <w:szCs w:val="28"/>
        </w:rPr>
      </w:pPr>
      <w:r>
        <w:rPr>
          <w:rFonts w:eastAsia="仿宋"/>
          <w:sz w:val="28"/>
          <w:szCs w:val="28"/>
        </w:rPr>
        <w:t>（20）《贵州省各级党委、政府及相关职能部门生态环境保护责任划分规定（试行）》（黔委厅字[2016]55号）。</w:t>
      </w:r>
    </w:p>
    <w:bookmarkEnd w:id="14"/>
    <w:p w14:paraId="0E1D7CE8">
      <w:pPr>
        <w:pStyle w:val="4"/>
        <w:spacing w:before="120" w:after="120"/>
        <w:rPr>
          <w:rFonts w:eastAsia="仿宋"/>
          <w:sz w:val="28"/>
        </w:rPr>
      </w:pPr>
      <w:r>
        <w:rPr>
          <w:rFonts w:eastAsia="仿宋"/>
          <w:sz w:val="28"/>
        </w:rPr>
        <w:t>1.2.3 相关应急预案</w:t>
      </w:r>
    </w:p>
    <w:p w14:paraId="50386CCC">
      <w:pPr>
        <w:ind w:firstLine="560" w:firstLineChars="200"/>
        <w:rPr>
          <w:rFonts w:eastAsia="仿宋"/>
        </w:rPr>
      </w:pPr>
      <w:r>
        <w:rPr>
          <w:rFonts w:eastAsia="仿宋"/>
          <w:sz w:val="28"/>
          <w:szCs w:val="28"/>
        </w:rPr>
        <w:t>（1）《贵州省突发环境事件应急预案》（黔环应急指[2020]1号）；</w:t>
      </w:r>
    </w:p>
    <w:p w14:paraId="103267E7">
      <w:pPr>
        <w:ind w:firstLine="560" w:firstLineChars="200"/>
        <w:rPr>
          <w:rFonts w:eastAsia="仿宋"/>
          <w:sz w:val="28"/>
          <w:szCs w:val="28"/>
        </w:rPr>
      </w:pPr>
      <w:r>
        <w:rPr>
          <w:rFonts w:eastAsia="仿宋"/>
          <w:sz w:val="28"/>
          <w:szCs w:val="28"/>
        </w:rPr>
        <w:t>（2）《贵阳市集中式饮用水源地突发环境事件应急预案》（筑府办发</w:t>
      </w:r>
      <w:r>
        <w:rPr>
          <w:rFonts w:hint="eastAsia" w:eastAsia="仿宋"/>
          <w:sz w:val="28"/>
          <w:szCs w:val="28"/>
        </w:rPr>
        <w:t>[</w:t>
      </w:r>
      <w:r>
        <w:rPr>
          <w:rFonts w:eastAsia="仿宋"/>
          <w:sz w:val="28"/>
          <w:szCs w:val="28"/>
        </w:rPr>
        <w:t>2014]26号）；</w:t>
      </w:r>
    </w:p>
    <w:p w14:paraId="526C21FD">
      <w:pPr>
        <w:ind w:firstLine="560" w:firstLineChars="200"/>
        <w:rPr>
          <w:rFonts w:eastAsia="仿宋"/>
          <w:sz w:val="28"/>
          <w:szCs w:val="28"/>
        </w:rPr>
      </w:pPr>
      <w:r>
        <w:rPr>
          <w:rFonts w:eastAsia="仿宋"/>
          <w:sz w:val="28"/>
          <w:szCs w:val="28"/>
        </w:rPr>
        <w:t>（3）《贵阳市突发事件总体应急预案》筑府发</w:t>
      </w:r>
      <w:r>
        <w:rPr>
          <w:rFonts w:hint="eastAsia" w:eastAsia="仿宋"/>
          <w:sz w:val="28"/>
          <w:szCs w:val="28"/>
        </w:rPr>
        <w:t>[</w:t>
      </w:r>
      <w:r>
        <w:rPr>
          <w:rFonts w:eastAsia="仿宋"/>
          <w:sz w:val="28"/>
          <w:szCs w:val="28"/>
        </w:rPr>
        <w:t>2013</w:t>
      </w:r>
      <w:r>
        <w:rPr>
          <w:rFonts w:hint="eastAsia" w:eastAsia="仿宋"/>
          <w:sz w:val="28"/>
          <w:szCs w:val="28"/>
        </w:rPr>
        <w:t>]</w:t>
      </w:r>
      <w:r>
        <w:rPr>
          <w:rFonts w:eastAsia="仿宋"/>
          <w:sz w:val="28"/>
          <w:szCs w:val="28"/>
        </w:rPr>
        <w:t>76号）；</w:t>
      </w:r>
    </w:p>
    <w:p w14:paraId="3311FCBE">
      <w:pPr>
        <w:ind w:firstLine="560" w:firstLineChars="200"/>
        <w:rPr>
          <w:rFonts w:eastAsia="仿宋"/>
          <w:sz w:val="28"/>
          <w:szCs w:val="28"/>
        </w:rPr>
      </w:pPr>
      <w:r>
        <w:rPr>
          <w:rFonts w:eastAsia="仿宋"/>
          <w:sz w:val="28"/>
          <w:szCs w:val="28"/>
        </w:rPr>
        <w:t>（4）《贵阳市突发环境事件应急预案》（筑府办发</w:t>
      </w:r>
      <w:r>
        <w:rPr>
          <w:rFonts w:hint="eastAsia" w:eastAsia="仿宋"/>
          <w:sz w:val="28"/>
          <w:szCs w:val="28"/>
        </w:rPr>
        <w:t>[</w:t>
      </w:r>
      <w:r>
        <w:rPr>
          <w:rFonts w:eastAsia="仿宋"/>
          <w:sz w:val="28"/>
          <w:szCs w:val="28"/>
        </w:rPr>
        <w:t>2016]2号）；</w:t>
      </w:r>
    </w:p>
    <w:p w14:paraId="4FE91F64">
      <w:pPr>
        <w:ind w:firstLine="560" w:firstLineChars="200"/>
        <w:rPr>
          <w:rFonts w:eastAsia="仿宋"/>
          <w:sz w:val="28"/>
          <w:szCs w:val="28"/>
        </w:rPr>
      </w:pPr>
      <w:r>
        <w:rPr>
          <w:rFonts w:eastAsia="仿宋"/>
          <w:sz w:val="28"/>
          <w:szCs w:val="28"/>
        </w:rPr>
        <w:t>（5）《花溪区突发公共事件总体应急预案》。</w:t>
      </w:r>
    </w:p>
    <w:p w14:paraId="454A4FE0">
      <w:pPr>
        <w:pStyle w:val="3"/>
        <w:rPr>
          <w:rFonts w:eastAsia="仿宋"/>
          <w:sz w:val="32"/>
        </w:rPr>
      </w:pPr>
      <w:bookmarkStart w:id="15" w:name="_Toc45007249"/>
      <w:bookmarkStart w:id="16" w:name="_Toc60930759"/>
      <w:r>
        <w:rPr>
          <w:rFonts w:eastAsia="仿宋"/>
          <w:sz w:val="32"/>
        </w:rPr>
        <w:t>1.3适用范围</w:t>
      </w:r>
      <w:bookmarkEnd w:id="15"/>
      <w:bookmarkEnd w:id="16"/>
    </w:p>
    <w:p w14:paraId="10D51BDF">
      <w:pPr>
        <w:ind w:firstLine="560" w:firstLineChars="200"/>
        <w:rPr>
          <w:rFonts w:eastAsia="仿宋"/>
          <w:sz w:val="28"/>
          <w:szCs w:val="28"/>
        </w:rPr>
      </w:pPr>
      <w:r>
        <w:rPr>
          <w:rFonts w:eastAsia="仿宋"/>
          <w:sz w:val="28"/>
          <w:szCs w:val="28"/>
        </w:rPr>
        <w:t>花溪区行政区域内因环境污染威胁或造成</w:t>
      </w:r>
      <w:r>
        <w:rPr>
          <w:rFonts w:hint="eastAsia" w:eastAsia="仿宋"/>
          <w:sz w:val="28"/>
          <w:szCs w:val="28"/>
        </w:rPr>
        <w:t>千人以上</w:t>
      </w:r>
      <w:r>
        <w:rPr>
          <w:rFonts w:eastAsia="仿宋"/>
          <w:sz w:val="28"/>
          <w:szCs w:val="28"/>
        </w:rPr>
        <w:t>集中式饮用水水源地（</w:t>
      </w:r>
      <w:r>
        <w:rPr>
          <w:rFonts w:hint="eastAsia" w:eastAsia="仿宋"/>
          <w:sz w:val="28"/>
          <w:szCs w:val="28"/>
        </w:rPr>
        <w:t>高坡乡阴河洞</w:t>
      </w:r>
      <w:r>
        <w:rPr>
          <w:rFonts w:eastAsia="仿宋"/>
          <w:sz w:val="28"/>
          <w:szCs w:val="28"/>
        </w:rPr>
        <w:t>、</w:t>
      </w:r>
      <w:r>
        <w:rPr>
          <w:rFonts w:hint="eastAsia" w:eastAsia="仿宋"/>
          <w:sz w:val="28"/>
          <w:szCs w:val="28"/>
        </w:rPr>
        <w:t>高坡乡苦蒿冲水源</w:t>
      </w:r>
      <w:r>
        <w:rPr>
          <w:rFonts w:eastAsia="仿宋"/>
          <w:sz w:val="28"/>
          <w:szCs w:val="28"/>
        </w:rPr>
        <w:t>、</w:t>
      </w:r>
      <w:r>
        <w:rPr>
          <w:rFonts w:hint="eastAsia" w:eastAsia="仿宋"/>
          <w:sz w:val="28"/>
          <w:szCs w:val="28"/>
        </w:rPr>
        <w:t>马铃乡麻窝坑水源</w:t>
      </w:r>
      <w:r>
        <w:rPr>
          <w:rFonts w:eastAsia="仿宋"/>
          <w:sz w:val="28"/>
          <w:szCs w:val="28"/>
        </w:rPr>
        <w:t>、</w:t>
      </w:r>
      <w:r>
        <w:rPr>
          <w:rFonts w:hint="eastAsia" w:eastAsia="仿宋"/>
          <w:sz w:val="28"/>
          <w:szCs w:val="28"/>
        </w:rPr>
        <w:t>青岩镇海爬井水源</w:t>
      </w:r>
      <w:r>
        <w:rPr>
          <w:rFonts w:eastAsia="仿宋"/>
          <w:sz w:val="28"/>
          <w:szCs w:val="28"/>
        </w:rPr>
        <w:t>、</w:t>
      </w:r>
      <w:r>
        <w:rPr>
          <w:rFonts w:hint="eastAsia" w:eastAsia="仿宋"/>
          <w:sz w:val="28"/>
          <w:szCs w:val="28"/>
        </w:rPr>
        <w:t>青岩镇龙井沟</w:t>
      </w:r>
      <w:r>
        <w:rPr>
          <w:rFonts w:eastAsia="仿宋"/>
          <w:sz w:val="28"/>
          <w:szCs w:val="28"/>
        </w:rPr>
        <w:t>水源</w:t>
      </w:r>
      <w:r>
        <w:rPr>
          <w:rFonts w:hint="eastAsia" w:eastAsia="仿宋"/>
          <w:sz w:val="28"/>
          <w:szCs w:val="28"/>
        </w:rPr>
        <w:t>、青岩镇龙潭水源、燕楼镇燕鲁小燕河水源、黔陶乡九眼井水源、马铃乡红岩水库、高坡乡的大洪村、批林村、杉坪村蚂蜂洞、黔陶乡的马场村、骑龙村、赵司村赵司河、青岩镇的达夯村坡六塘、龙井村、思潜村赵司河、西门河、新楼村、清溪街道的9</w:t>
      </w:r>
      <w:r>
        <w:rPr>
          <w:rFonts w:eastAsia="仿宋"/>
          <w:sz w:val="28"/>
          <w:szCs w:val="28"/>
        </w:rPr>
        <w:t>855</w:t>
      </w:r>
      <w:r>
        <w:rPr>
          <w:rFonts w:hint="eastAsia" w:eastAsia="仿宋"/>
          <w:sz w:val="28"/>
          <w:szCs w:val="28"/>
        </w:rPr>
        <w:t>厂、机械厂、石板镇的盖冗村、燕楼镇的坝楼村、槐舟村、新井村等集中式饮用水源</w:t>
      </w:r>
      <w:r>
        <w:rPr>
          <w:rFonts w:eastAsia="仿宋"/>
          <w:sz w:val="28"/>
          <w:szCs w:val="28"/>
        </w:rPr>
        <w:t>）保护区及其周边突然发生或者可能造成重大水污染事件，严重影响城镇居民饮水安全和对本地区社会稳定、政治安定构成重大威胁，有重大社会影响的涉及饮用水水源地突发环境事件的应急处置工作。</w:t>
      </w:r>
    </w:p>
    <w:p w14:paraId="0944337D">
      <w:pPr>
        <w:pStyle w:val="3"/>
        <w:rPr>
          <w:rFonts w:eastAsia="仿宋"/>
          <w:sz w:val="32"/>
        </w:rPr>
      </w:pPr>
      <w:bookmarkStart w:id="17" w:name="_Toc60930760"/>
      <w:r>
        <w:rPr>
          <w:rFonts w:eastAsia="仿宋"/>
          <w:sz w:val="32"/>
        </w:rPr>
        <w:t>1.4预案衔接</w:t>
      </w:r>
      <w:bookmarkEnd w:id="17"/>
    </w:p>
    <w:p w14:paraId="0C1A028D">
      <w:pPr>
        <w:ind w:firstLine="560" w:firstLineChars="200"/>
        <w:rPr>
          <w:rFonts w:eastAsia="仿宋"/>
          <w:sz w:val="28"/>
          <w:szCs w:val="28"/>
        </w:rPr>
      </w:pPr>
      <w:r>
        <w:rPr>
          <w:rFonts w:eastAsia="仿宋"/>
          <w:sz w:val="28"/>
          <w:szCs w:val="28"/>
        </w:rPr>
        <w:t>本预案执行主体为花溪区人民政府，在上级预案的统一规范下，与市级其他行业部门应急预案、专业应急机构的突发环境事件应急预案平行联动发挥效能。乡镇政府的集中式饮用水源突发环境事件应急预案作为本预案的下级预案，当发生千人以上集中式饮用水水源地突发环境事件时，与《花溪区突发环境事件应急预案》及卫生防疫部门、供水部门应急预案同时启动，在上级预案的统一规范下，平行联动。</w:t>
      </w:r>
    </w:p>
    <w:p w14:paraId="5A998E4F">
      <w:pPr>
        <w:ind w:firstLine="560" w:firstLineChars="200"/>
        <w:rPr>
          <w:rFonts w:eastAsia="仿宋"/>
          <w:sz w:val="28"/>
          <w:szCs w:val="28"/>
        </w:rPr>
      </w:pPr>
      <w:r>
        <w:rPr>
          <w:rFonts w:eastAsia="仿宋"/>
          <w:sz w:val="28"/>
          <w:szCs w:val="28"/>
        </w:rPr>
        <w:t>本预案在预防预警机制、信息上报、应急响应与处置等环节与《贵阳市突发事件总体应急预案》、《贵阳市突发环境事件应急预案》、《花溪区突发环境事件应急预案》相互衔接，针对突发环境事件发生、发展及污染物迁移的全过程，共同配合做好污染物拦截、信息收集研判、事件预警和应急响应等工作。</w:t>
      </w:r>
    </w:p>
    <w:p w14:paraId="6BEFE0A1">
      <w:pPr>
        <w:ind w:firstLine="560" w:firstLineChars="200"/>
        <w:rPr>
          <w:rFonts w:eastAsia="仿宋"/>
          <w:sz w:val="28"/>
          <w:szCs w:val="28"/>
        </w:rPr>
      </w:pPr>
      <w:r>
        <w:rPr>
          <w:rFonts w:eastAsia="仿宋"/>
          <w:sz w:val="28"/>
          <w:szCs w:val="28"/>
        </w:rPr>
        <w:t>当千人以上集中式饮用水水源地发生突发环境事件时，应按事件的危害性及影响范围，根据本预案的要求，及时上报贵阳市政府、贵阳市生态环境局及花溪区人民政府，当事件超出区政府应对突发环境事件处置能力，由市政府、贵阳市生态环境局启动《贵阳市突发环境事件应急预案》、《贵阳市集中式饮用水源地突发环境事件应急预案》。当事件超出市政府应对突发环境事件处置能力，在情况上报后，由省政府、省生态环境厅启动《贵州省突发环境事件应急预案》。</w:t>
      </w:r>
    </w:p>
    <w:p w14:paraId="39B909BA">
      <w:pPr>
        <w:pStyle w:val="3"/>
        <w:rPr>
          <w:rFonts w:eastAsia="仿宋"/>
          <w:sz w:val="32"/>
        </w:rPr>
      </w:pPr>
      <w:bookmarkStart w:id="18" w:name="_Toc60930761"/>
      <w:r>
        <w:rPr>
          <w:rFonts w:eastAsia="仿宋"/>
          <w:sz w:val="32"/>
        </w:rPr>
        <w:t>1.5工作原则</w:t>
      </w:r>
      <w:bookmarkEnd w:id="18"/>
    </w:p>
    <w:p w14:paraId="522A9BFD">
      <w:pPr>
        <w:ind w:firstLine="480"/>
        <w:rPr>
          <w:rFonts w:eastAsia="仿宋"/>
          <w:sz w:val="28"/>
          <w:szCs w:val="28"/>
        </w:rPr>
      </w:pPr>
      <w:r>
        <w:rPr>
          <w:rFonts w:eastAsia="仿宋"/>
          <w:sz w:val="28"/>
          <w:szCs w:val="28"/>
        </w:rPr>
        <w:t>工作原则主要包括以下九个方面：</w:t>
      </w:r>
    </w:p>
    <w:p w14:paraId="4B2086A2">
      <w:pPr>
        <w:ind w:firstLine="480"/>
        <w:rPr>
          <w:rFonts w:eastAsia="仿宋"/>
          <w:b/>
          <w:sz w:val="28"/>
          <w:szCs w:val="28"/>
        </w:rPr>
      </w:pPr>
      <w:r>
        <w:rPr>
          <w:rFonts w:eastAsia="仿宋"/>
          <w:b/>
          <w:sz w:val="28"/>
          <w:szCs w:val="28"/>
        </w:rPr>
        <w:t>（1）以人为本，预防为主。</w:t>
      </w:r>
    </w:p>
    <w:p w14:paraId="7BA6C639">
      <w:pPr>
        <w:ind w:firstLine="480"/>
        <w:rPr>
          <w:rFonts w:eastAsia="仿宋"/>
          <w:sz w:val="28"/>
          <w:szCs w:val="28"/>
        </w:rPr>
      </w:pPr>
      <w:r>
        <w:rPr>
          <w:rFonts w:eastAsia="仿宋"/>
          <w:sz w:val="28"/>
          <w:szCs w:val="28"/>
        </w:rPr>
        <w:t>把保障人民群众的生命健康和饮水安全作为首要任务，建立健全预防预警机制。加强培训、演练，强化应急准备和应急响应能力，加强群策群防机制的建立，发动群众及时报告水源地突发性事件及其隐患，及时处置可能导致事故的隐患。</w:t>
      </w:r>
    </w:p>
    <w:p w14:paraId="6809B586">
      <w:pPr>
        <w:ind w:firstLine="480"/>
        <w:rPr>
          <w:rFonts w:eastAsia="仿宋"/>
          <w:b/>
          <w:sz w:val="28"/>
          <w:szCs w:val="28"/>
        </w:rPr>
      </w:pPr>
      <w:r>
        <w:rPr>
          <w:rFonts w:eastAsia="仿宋"/>
          <w:b/>
          <w:sz w:val="28"/>
          <w:szCs w:val="28"/>
        </w:rPr>
        <w:t>（2）统一领导，分级负责。</w:t>
      </w:r>
    </w:p>
    <w:p w14:paraId="62A85A05">
      <w:pPr>
        <w:ind w:firstLine="480"/>
        <w:rPr>
          <w:rFonts w:eastAsia="仿宋"/>
          <w:sz w:val="28"/>
          <w:szCs w:val="28"/>
        </w:rPr>
      </w:pPr>
      <w:r>
        <w:rPr>
          <w:rFonts w:eastAsia="仿宋"/>
          <w:sz w:val="28"/>
          <w:szCs w:val="28"/>
        </w:rPr>
        <w:t>在花溪区政府的统一领导下，充分发挥各级各部门的作用，建立饮用水水源地突发环境事件应急指挥机构，确定不同等级的安全事件及其对策，形成上下联动的应急处置体系，落实应急责任机制。</w:t>
      </w:r>
    </w:p>
    <w:p w14:paraId="1B3B042F">
      <w:pPr>
        <w:ind w:firstLine="480"/>
        <w:rPr>
          <w:rFonts w:eastAsia="仿宋"/>
          <w:b/>
          <w:sz w:val="28"/>
          <w:szCs w:val="28"/>
        </w:rPr>
      </w:pPr>
      <w:r>
        <w:rPr>
          <w:rFonts w:eastAsia="仿宋"/>
          <w:b/>
          <w:sz w:val="28"/>
          <w:szCs w:val="28"/>
        </w:rPr>
        <w:t>（3）统筹安排，分工合作。</w:t>
      </w:r>
    </w:p>
    <w:p w14:paraId="044B59C5">
      <w:pPr>
        <w:ind w:firstLine="480"/>
        <w:rPr>
          <w:rFonts w:eastAsia="仿宋"/>
          <w:sz w:val="28"/>
          <w:szCs w:val="28"/>
        </w:rPr>
      </w:pPr>
      <w:r>
        <w:rPr>
          <w:rFonts w:eastAsia="仿宋"/>
          <w:sz w:val="28"/>
          <w:szCs w:val="28"/>
        </w:rPr>
        <w:t>按照属地原则，整合资源，统筹安排各部门应急工作任务，加强协调配合和分工合作，处理好日常业务和应急工作的关系。</w:t>
      </w:r>
    </w:p>
    <w:p w14:paraId="08F806F9">
      <w:pPr>
        <w:ind w:firstLine="480"/>
        <w:rPr>
          <w:rFonts w:eastAsia="仿宋"/>
          <w:b/>
          <w:sz w:val="28"/>
          <w:szCs w:val="28"/>
        </w:rPr>
      </w:pPr>
      <w:r>
        <w:rPr>
          <w:rFonts w:eastAsia="仿宋"/>
          <w:b/>
          <w:sz w:val="28"/>
          <w:szCs w:val="28"/>
        </w:rPr>
        <w:t>（4）快速反应，有效控制。</w:t>
      </w:r>
    </w:p>
    <w:p w14:paraId="64C54359">
      <w:pPr>
        <w:ind w:firstLine="480"/>
        <w:rPr>
          <w:rFonts w:eastAsia="仿宋"/>
          <w:sz w:val="28"/>
          <w:szCs w:val="28"/>
        </w:rPr>
      </w:pPr>
      <w:r>
        <w:rPr>
          <w:rFonts w:eastAsia="仿宋"/>
          <w:sz w:val="28"/>
          <w:szCs w:val="28"/>
        </w:rPr>
        <w:t>突发性事件发生后，应急指挥小组应根据应急要求快速作出反应，组织会商，启动相应应急预案，有效控制，防止事态蔓延和进一步恶化。</w:t>
      </w:r>
    </w:p>
    <w:p w14:paraId="32149CD5">
      <w:pPr>
        <w:ind w:firstLine="480"/>
        <w:rPr>
          <w:rFonts w:eastAsia="仿宋"/>
          <w:b/>
          <w:sz w:val="28"/>
          <w:szCs w:val="28"/>
        </w:rPr>
      </w:pPr>
      <w:r>
        <w:rPr>
          <w:rFonts w:eastAsia="仿宋"/>
          <w:b/>
          <w:sz w:val="28"/>
          <w:szCs w:val="28"/>
        </w:rPr>
        <w:t>（5）属地为主，就近应急。</w:t>
      </w:r>
    </w:p>
    <w:p w14:paraId="4A01DE2A">
      <w:pPr>
        <w:ind w:firstLine="480"/>
        <w:rPr>
          <w:rFonts w:eastAsia="仿宋"/>
          <w:sz w:val="28"/>
          <w:szCs w:val="28"/>
        </w:rPr>
      </w:pPr>
      <w:r>
        <w:rPr>
          <w:rFonts w:eastAsia="仿宋"/>
          <w:sz w:val="28"/>
          <w:szCs w:val="28"/>
        </w:rPr>
        <w:t>突发性事件发生后，应贯彻突发环境事件所在地为主，就近应急处置的原则，坚决防止因</w:t>
      </w:r>
      <w:r>
        <w:rPr>
          <w:rFonts w:hint="eastAsia" w:eastAsia="仿宋"/>
          <w:sz w:val="28"/>
          <w:szCs w:val="28"/>
        </w:rPr>
        <w:t>推诿扯皮</w:t>
      </w:r>
      <w:r>
        <w:rPr>
          <w:rFonts w:eastAsia="仿宋"/>
          <w:sz w:val="28"/>
          <w:szCs w:val="28"/>
        </w:rPr>
        <w:t>而贻误时机。</w:t>
      </w:r>
    </w:p>
    <w:p w14:paraId="7256A2E3">
      <w:pPr>
        <w:ind w:firstLine="480"/>
        <w:rPr>
          <w:rFonts w:eastAsia="仿宋"/>
          <w:b/>
          <w:sz w:val="28"/>
          <w:szCs w:val="28"/>
        </w:rPr>
      </w:pPr>
      <w:r>
        <w:rPr>
          <w:rFonts w:eastAsia="仿宋"/>
          <w:b/>
          <w:sz w:val="28"/>
          <w:szCs w:val="28"/>
        </w:rPr>
        <w:t>（6）平战结合，科学处置。</w:t>
      </w:r>
    </w:p>
    <w:p w14:paraId="58DF1D74">
      <w:pPr>
        <w:ind w:firstLine="480"/>
        <w:rPr>
          <w:rFonts w:eastAsia="仿宋"/>
          <w:sz w:val="28"/>
          <w:szCs w:val="28"/>
        </w:rPr>
      </w:pPr>
      <w:r>
        <w:rPr>
          <w:rFonts w:eastAsia="仿宋"/>
          <w:sz w:val="28"/>
          <w:szCs w:val="28"/>
        </w:rPr>
        <w:t>积极做好应对饮用水水源地地突发环境事件的物资和技术准备，发挥专业人员作用，完善行业安全监控体系，加强应急演练，提高公众自救、互救和应对突发事故的综合素质。</w:t>
      </w:r>
    </w:p>
    <w:p w14:paraId="7F843719">
      <w:pPr>
        <w:ind w:firstLine="480"/>
        <w:rPr>
          <w:rFonts w:eastAsia="仿宋"/>
          <w:b/>
          <w:sz w:val="28"/>
          <w:szCs w:val="28"/>
        </w:rPr>
      </w:pPr>
      <w:r>
        <w:rPr>
          <w:rFonts w:eastAsia="仿宋"/>
          <w:b/>
          <w:sz w:val="28"/>
          <w:szCs w:val="28"/>
        </w:rPr>
        <w:t>（7）坚持预防与应急并重。</w:t>
      </w:r>
    </w:p>
    <w:p w14:paraId="16BF9AC5">
      <w:pPr>
        <w:ind w:firstLine="480"/>
        <w:rPr>
          <w:rFonts w:eastAsia="仿宋"/>
          <w:sz w:val="28"/>
          <w:szCs w:val="28"/>
        </w:rPr>
      </w:pPr>
      <w:r>
        <w:rPr>
          <w:rFonts w:eastAsia="仿宋"/>
          <w:sz w:val="28"/>
          <w:szCs w:val="28"/>
        </w:rPr>
        <w:t>落实“预防与应急并重，常态非常态相结合”的要求，强化、落实水源保护区内及周边企业水环境安全主体责任，开展环境风险评估、隐患排查与整改等工作，消除环境安全隐患。</w:t>
      </w:r>
    </w:p>
    <w:p w14:paraId="4D96E795">
      <w:pPr>
        <w:ind w:firstLine="480"/>
        <w:rPr>
          <w:rFonts w:eastAsia="仿宋"/>
          <w:b/>
          <w:sz w:val="28"/>
          <w:szCs w:val="28"/>
        </w:rPr>
      </w:pPr>
      <w:r>
        <w:rPr>
          <w:rFonts w:eastAsia="仿宋"/>
          <w:b/>
          <w:sz w:val="28"/>
          <w:szCs w:val="28"/>
        </w:rPr>
        <w:t>（8）坚持属地为主，先期处置。</w:t>
      </w:r>
    </w:p>
    <w:p w14:paraId="39485B14">
      <w:pPr>
        <w:ind w:firstLine="480"/>
        <w:rPr>
          <w:rFonts w:eastAsia="仿宋"/>
          <w:sz w:val="28"/>
          <w:szCs w:val="28"/>
        </w:rPr>
      </w:pPr>
      <w:r>
        <w:rPr>
          <w:rFonts w:eastAsia="仿宋"/>
          <w:sz w:val="28"/>
          <w:szCs w:val="28"/>
        </w:rPr>
        <w:t>在应急办的统一领导下，建立饮用水水源地突发环境事故应急指挥体系，形成分类指挥、综合协调的饮用水水源地突发环境事故处置体系。企事业单位要落实主体责任，实施先期处置，控制事态、减轻后果，同时报告贵阳市生态环境局花溪分局和花溪区人民政府。</w:t>
      </w:r>
    </w:p>
    <w:p w14:paraId="23D9233C">
      <w:pPr>
        <w:ind w:firstLine="480"/>
        <w:rPr>
          <w:rFonts w:eastAsia="仿宋"/>
          <w:b/>
          <w:sz w:val="28"/>
          <w:szCs w:val="28"/>
        </w:rPr>
      </w:pPr>
      <w:r>
        <w:rPr>
          <w:rFonts w:eastAsia="仿宋"/>
          <w:b/>
          <w:sz w:val="28"/>
          <w:szCs w:val="28"/>
        </w:rPr>
        <w:t>（9）谁主管，谁负责；谁监管，谁负责。</w:t>
      </w:r>
    </w:p>
    <w:p w14:paraId="34A8F094">
      <w:pPr>
        <w:ind w:firstLine="560" w:firstLineChars="200"/>
        <w:rPr>
          <w:rFonts w:eastAsia="仿宋"/>
          <w:sz w:val="28"/>
          <w:szCs w:val="28"/>
        </w:rPr>
      </w:pPr>
      <w:r>
        <w:rPr>
          <w:rFonts w:eastAsia="仿宋"/>
          <w:sz w:val="28"/>
          <w:szCs w:val="28"/>
        </w:rPr>
        <w:t>对饮用水水源地突发环境事件的责任主体要明确，按照“谁主管，谁负责；谁监管，谁负责”的原则进行责任追究。同时，发生事件单位的上级主管单位和监管单位应作为主要成员单位承担相应的应急工作职责。</w:t>
      </w:r>
    </w:p>
    <w:p w14:paraId="3CBB482D">
      <w:pPr>
        <w:pStyle w:val="3"/>
        <w:rPr>
          <w:rFonts w:eastAsia="仿宋"/>
          <w:sz w:val="32"/>
        </w:rPr>
      </w:pPr>
      <w:bookmarkStart w:id="19" w:name="_Toc60930762"/>
      <w:r>
        <w:rPr>
          <w:rFonts w:eastAsia="仿宋"/>
          <w:sz w:val="32"/>
        </w:rPr>
        <w:t>1.6事件分级</w:t>
      </w:r>
      <w:bookmarkEnd w:id="19"/>
    </w:p>
    <w:p w14:paraId="085EA5F4">
      <w:pPr>
        <w:ind w:firstLine="480"/>
        <w:rPr>
          <w:rFonts w:eastAsia="仿宋"/>
          <w:sz w:val="28"/>
          <w:szCs w:val="28"/>
        </w:rPr>
      </w:pPr>
      <w:r>
        <w:rPr>
          <w:rFonts w:eastAsia="仿宋"/>
          <w:sz w:val="28"/>
          <w:szCs w:val="28"/>
        </w:rPr>
        <w:t>根据《国务院办公厅关于印发国家突发环境事件应急预案的通知国办函〔2014〕119号》，按照突发事件严重性和紧急程度，突发环境事件分为特别重大（Ⅰ级）、重大（Ⅱ级）、较大（Ⅲ级）和一般（Ⅳ级）四级。预警信号依次为红色、橙色、黄色和蓝色。</w:t>
      </w:r>
    </w:p>
    <w:p w14:paraId="1741F0D9">
      <w:pPr>
        <w:ind w:firstLine="482"/>
        <w:rPr>
          <w:rFonts w:eastAsia="仿宋"/>
          <w:sz w:val="28"/>
          <w:szCs w:val="28"/>
        </w:rPr>
      </w:pPr>
      <w:bookmarkStart w:id="20" w:name="_Toc8877_WPSOffice_Level3"/>
      <w:r>
        <w:rPr>
          <w:rFonts w:eastAsia="仿宋"/>
          <w:sz w:val="28"/>
          <w:szCs w:val="28"/>
        </w:rPr>
        <w:t>（1）特别重大突发环境事件</w:t>
      </w:r>
      <w:bookmarkEnd w:id="20"/>
    </w:p>
    <w:p w14:paraId="12061AEE">
      <w:pPr>
        <w:ind w:firstLine="480"/>
        <w:rPr>
          <w:rFonts w:eastAsia="仿宋"/>
          <w:sz w:val="28"/>
          <w:szCs w:val="28"/>
        </w:rPr>
      </w:pPr>
      <w:r>
        <w:rPr>
          <w:rFonts w:eastAsia="仿宋"/>
          <w:sz w:val="28"/>
          <w:szCs w:val="28"/>
        </w:rPr>
        <w:t>凡符合下列情形之一的，为特别重大突发环境事件：</w:t>
      </w:r>
    </w:p>
    <w:p w14:paraId="25527132">
      <w:pPr>
        <w:ind w:firstLine="480"/>
        <w:rPr>
          <w:rFonts w:eastAsia="仿宋"/>
          <w:sz w:val="28"/>
          <w:szCs w:val="28"/>
        </w:rPr>
      </w:pPr>
      <w:r>
        <w:rPr>
          <w:rFonts w:eastAsia="仿宋"/>
          <w:sz w:val="28"/>
          <w:szCs w:val="28"/>
        </w:rPr>
        <w:t>1.因环境污染直接导致10人以上死亡或100人以上中毒或重伤的；</w:t>
      </w:r>
    </w:p>
    <w:p w14:paraId="7CB5180E">
      <w:pPr>
        <w:ind w:firstLine="480"/>
        <w:rPr>
          <w:rFonts w:eastAsia="仿宋"/>
          <w:sz w:val="28"/>
          <w:szCs w:val="28"/>
        </w:rPr>
      </w:pPr>
      <w:r>
        <w:rPr>
          <w:rFonts w:eastAsia="仿宋"/>
          <w:sz w:val="28"/>
          <w:szCs w:val="28"/>
        </w:rPr>
        <w:t>2.因环境污染疏散、转移人员5万人以上的；</w:t>
      </w:r>
    </w:p>
    <w:p w14:paraId="3C4A7AA3">
      <w:pPr>
        <w:ind w:firstLine="480"/>
        <w:rPr>
          <w:rFonts w:eastAsia="仿宋"/>
          <w:sz w:val="28"/>
          <w:szCs w:val="28"/>
        </w:rPr>
      </w:pPr>
      <w:r>
        <w:rPr>
          <w:rFonts w:eastAsia="仿宋"/>
          <w:sz w:val="28"/>
          <w:szCs w:val="28"/>
        </w:rPr>
        <w:t>3.因环境污染造成直接经济损失1亿元以上的；</w:t>
      </w:r>
    </w:p>
    <w:p w14:paraId="3B486A90">
      <w:pPr>
        <w:ind w:firstLine="480"/>
        <w:rPr>
          <w:rFonts w:eastAsia="仿宋"/>
          <w:sz w:val="28"/>
          <w:szCs w:val="28"/>
        </w:rPr>
      </w:pPr>
      <w:r>
        <w:rPr>
          <w:rFonts w:eastAsia="仿宋"/>
          <w:sz w:val="28"/>
          <w:szCs w:val="28"/>
        </w:rPr>
        <w:t>4.因环境污染造成区域生态功能丧失或该区域国家重点保护物种灭绝的；</w:t>
      </w:r>
    </w:p>
    <w:p w14:paraId="3299EAD1">
      <w:pPr>
        <w:ind w:firstLine="480"/>
        <w:rPr>
          <w:rFonts w:eastAsia="仿宋"/>
          <w:sz w:val="28"/>
          <w:szCs w:val="28"/>
        </w:rPr>
      </w:pPr>
      <w:r>
        <w:rPr>
          <w:rFonts w:eastAsia="仿宋"/>
          <w:sz w:val="28"/>
          <w:szCs w:val="28"/>
        </w:rPr>
        <w:t>5.因环境污染造成设区的市级以上城市集中式饮用水水源地取水中断的；</w:t>
      </w:r>
    </w:p>
    <w:p w14:paraId="65681A69">
      <w:pPr>
        <w:ind w:firstLine="480"/>
        <w:rPr>
          <w:rFonts w:eastAsia="仿宋"/>
          <w:sz w:val="28"/>
          <w:szCs w:val="28"/>
        </w:rPr>
      </w:pPr>
      <w:r>
        <w:rPr>
          <w:rFonts w:eastAsia="仿宋"/>
          <w:sz w:val="28"/>
          <w:szCs w:val="28"/>
        </w:rPr>
        <w:t>6.Ⅰ、Ⅱ类放射源丢失、被盗、失控并造成大范围严重辐射污染后果的；放射性同位素和射线装置失控导致3人以上急性死亡的；放射性物质泄漏，造成大范围辐射污染后果的；</w:t>
      </w:r>
    </w:p>
    <w:p w14:paraId="41F52153">
      <w:pPr>
        <w:ind w:firstLine="480"/>
        <w:rPr>
          <w:rFonts w:eastAsia="仿宋"/>
          <w:sz w:val="28"/>
          <w:szCs w:val="28"/>
        </w:rPr>
      </w:pPr>
      <w:r>
        <w:rPr>
          <w:rFonts w:eastAsia="仿宋"/>
          <w:sz w:val="28"/>
          <w:szCs w:val="28"/>
        </w:rPr>
        <w:t>7.造成重大跨国境影响的境内突发环境事件。</w:t>
      </w:r>
    </w:p>
    <w:p w14:paraId="464AE093">
      <w:pPr>
        <w:ind w:firstLine="482"/>
        <w:rPr>
          <w:rFonts w:eastAsia="仿宋"/>
          <w:sz w:val="28"/>
          <w:szCs w:val="28"/>
        </w:rPr>
      </w:pPr>
      <w:bookmarkStart w:id="21" w:name="_Toc3055_WPSOffice_Level3"/>
      <w:r>
        <w:rPr>
          <w:rFonts w:eastAsia="仿宋"/>
          <w:sz w:val="28"/>
          <w:szCs w:val="28"/>
        </w:rPr>
        <w:t>（2）重大突发环境事件</w:t>
      </w:r>
      <w:bookmarkEnd w:id="21"/>
    </w:p>
    <w:p w14:paraId="01776C9A">
      <w:pPr>
        <w:ind w:firstLine="480"/>
        <w:rPr>
          <w:rFonts w:eastAsia="仿宋"/>
          <w:sz w:val="28"/>
          <w:szCs w:val="28"/>
        </w:rPr>
      </w:pPr>
      <w:r>
        <w:rPr>
          <w:rFonts w:eastAsia="仿宋"/>
          <w:sz w:val="28"/>
          <w:szCs w:val="28"/>
        </w:rPr>
        <w:t>凡符合下列情形之一的，为重大突发环境事件：</w:t>
      </w:r>
    </w:p>
    <w:p w14:paraId="3BE9D8E7">
      <w:pPr>
        <w:ind w:firstLine="480"/>
        <w:rPr>
          <w:rFonts w:eastAsia="仿宋"/>
          <w:sz w:val="28"/>
          <w:szCs w:val="28"/>
        </w:rPr>
      </w:pPr>
      <w:r>
        <w:rPr>
          <w:rFonts w:eastAsia="仿宋"/>
          <w:sz w:val="28"/>
          <w:szCs w:val="28"/>
        </w:rPr>
        <w:t>1.因环境污染直接导致10人以上30人以下死亡或50人以上100人以下中毒或重伤的；</w:t>
      </w:r>
    </w:p>
    <w:p w14:paraId="23AB5BA2">
      <w:pPr>
        <w:ind w:firstLine="480"/>
        <w:rPr>
          <w:rFonts w:eastAsia="仿宋"/>
          <w:sz w:val="28"/>
          <w:szCs w:val="28"/>
        </w:rPr>
      </w:pPr>
      <w:r>
        <w:rPr>
          <w:rFonts w:eastAsia="仿宋"/>
          <w:sz w:val="28"/>
          <w:szCs w:val="28"/>
        </w:rPr>
        <w:t>2.因环境污染疏散、转移人员1万人以上5万人以下的；</w:t>
      </w:r>
    </w:p>
    <w:p w14:paraId="6B57645B">
      <w:pPr>
        <w:ind w:firstLine="480"/>
        <w:rPr>
          <w:rFonts w:eastAsia="仿宋"/>
          <w:sz w:val="28"/>
          <w:szCs w:val="28"/>
        </w:rPr>
      </w:pPr>
      <w:r>
        <w:rPr>
          <w:rFonts w:eastAsia="仿宋"/>
          <w:sz w:val="28"/>
          <w:szCs w:val="28"/>
        </w:rPr>
        <w:t>3.因环境污染造成直接经济损失2000万元以上1亿元以下的；</w:t>
      </w:r>
    </w:p>
    <w:p w14:paraId="1CC940FE">
      <w:pPr>
        <w:ind w:firstLine="480"/>
        <w:rPr>
          <w:rFonts w:eastAsia="仿宋"/>
          <w:sz w:val="28"/>
          <w:szCs w:val="28"/>
        </w:rPr>
      </w:pPr>
      <w:r>
        <w:rPr>
          <w:rFonts w:eastAsia="仿宋"/>
          <w:sz w:val="28"/>
          <w:szCs w:val="28"/>
        </w:rPr>
        <w:t>4.因环境污染造成区域生态功能部分丧失或该区域国家重点保护野生动植物种群大批死亡的；</w:t>
      </w:r>
    </w:p>
    <w:p w14:paraId="0578BEAC">
      <w:pPr>
        <w:ind w:firstLine="480"/>
        <w:rPr>
          <w:rFonts w:eastAsia="仿宋"/>
          <w:sz w:val="28"/>
          <w:szCs w:val="28"/>
        </w:rPr>
      </w:pPr>
      <w:r>
        <w:rPr>
          <w:rFonts w:eastAsia="仿宋"/>
          <w:sz w:val="28"/>
          <w:szCs w:val="28"/>
        </w:rPr>
        <w:t>5.因环境污染造成县级城市集中式饮用水水源地取水中断的；</w:t>
      </w:r>
    </w:p>
    <w:p w14:paraId="00E31B8B">
      <w:pPr>
        <w:ind w:firstLine="480"/>
        <w:rPr>
          <w:rFonts w:eastAsia="仿宋"/>
          <w:sz w:val="28"/>
          <w:szCs w:val="28"/>
        </w:rPr>
      </w:pPr>
      <w:r>
        <w:rPr>
          <w:rFonts w:eastAsia="仿宋"/>
          <w:sz w:val="28"/>
          <w:szCs w:val="28"/>
        </w:rPr>
        <w:t>6.Ⅰ、Ⅱ类放射源丢失、被盗的；放射性同位素和射线装置失控导致3人以下急性死亡或者10人以上急性重度放射病、局部器官残疾的；放射性物质泄漏，造成较大范围辐射污染后果的；</w:t>
      </w:r>
    </w:p>
    <w:p w14:paraId="3014136F">
      <w:pPr>
        <w:ind w:firstLine="480"/>
        <w:rPr>
          <w:rFonts w:eastAsia="仿宋"/>
          <w:sz w:val="28"/>
          <w:szCs w:val="28"/>
        </w:rPr>
      </w:pPr>
      <w:r>
        <w:rPr>
          <w:rFonts w:eastAsia="仿宋"/>
          <w:sz w:val="28"/>
          <w:szCs w:val="28"/>
        </w:rPr>
        <w:t>7.造成跨省级行政区域影响的突发环境事件。</w:t>
      </w:r>
    </w:p>
    <w:p w14:paraId="5FA886A6">
      <w:pPr>
        <w:ind w:firstLine="482"/>
        <w:rPr>
          <w:rFonts w:eastAsia="仿宋"/>
          <w:sz w:val="28"/>
          <w:szCs w:val="28"/>
        </w:rPr>
      </w:pPr>
      <w:bookmarkStart w:id="22" w:name="_Toc16423_WPSOffice_Level3"/>
      <w:r>
        <w:rPr>
          <w:rFonts w:eastAsia="仿宋"/>
          <w:sz w:val="28"/>
          <w:szCs w:val="28"/>
        </w:rPr>
        <w:t>（3）较大突发环境事件</w:t>
      </w:r>
      <w:bookmarkEnd w:id="22"/>
    </w:p>
    <w:p w14:paraId="555BBB49">
      <w:pPr>
        <w:ind w:firstLine="480"/>
        <w:rPr>
          <w:rFonts w:eastAsia="仿宋"/>
          <w:sz w:val="28"/>
          <w:szCs w:val="28"/>
        </w:rPr>
      </w:pPr>
      <w:r>
        <w:rPr>
          <w:rFonts w:eastAsia="仿宋"/>
          <w:sz w:val="28"/>
          <w:szCs w:val="28"/>
        </w:rPr>
        <w:t>凡符合下列情形之一的，为较大突发环境事件：</w:t>
      </w:r>
    </w:p>
    <w:p w14:paraId="06B1C05B">
      <w:pPr>
        <w:ind w:firstLine="480"/>
        <w:rPr>
          <w:rFonts w:eastAsia="仿宋"/>
          <w:sz w:val="28"/>
          <w:szCs w:val="28"/>
        </w:rPr>
      </w:pPr>
      <w:r>
        <w:rPr>
          <w:rFonts w:eastAsia="仿宋"/>
          <w:sz w:val="28"/>
          <w:szCs w:val="28"/>
        </w:rPr>
        <w:t>1.因环境污染直接导致3人以上10人以下死亡或10人以上50人以下中毒或重伤的；</w:t>
      </w:r>
    </w:p>
    <w:p w14:paraId="277C8B9B">
      <w:pPr>
        <w:ind w:firstLine="480"/>
        <w:rPr>
          <w:rFonts w:eastAsia="仿宋"/>
          <w:sz w:val="28"/>
          <w:szCs w:val="28"/>
        </w:rPr>
      </w:pPr>
      <w:r>
        <w:rPr>
          <w:rFonts w:eastAsia="仿宋"/>
          <w:sz w:val="28"/>
          <w:szCs w:val="28"/>
        </w:rPr>
        <w:t>2.因环境污染疏散、转移人员5000人以上1万人以下的；</w:t>
      </w:r>
    </w:p>
    <w:p w14:paraId="6F6864C2">
      <w:pPr>
        <w:ind w:firstLine="480"/>
        <w:rPr>
          <w:rFonts w:eastAsia="仿宋"/>
          <w:sz w:val="28"/>
          <w:szCs w:val="28"/>
        </w:rPr>
      </w:pPr>
      <w:r>
        <w:rPr>
          <w:rFonts w:eastAsia="仿宋"/>
          <w:sz w:val="28"/>
          <w:szCs w:val="28"/>
        </w:rPr>
        <w:t>3.因环境污染造成直接经济损失500万元以上2000万元以下的；</w:t>
      </w:r>
    </w:p>
    <w:p w14:paraId="6D3EE9FE">
      <w:pPr>
        <w:ind w:firstLine="480"/>
        <w:rPr>
          <w:rFonts w:eastAsia="仿宋"/>
          <w:sz w:val="28"/>
          <w:szCs w:val="28"/>
        </w:rPr>
      </w:pPr>
      <w:r>
        <w:rPr>
          <w:rFonts w:eastAsia="仿宋"/>
          <w:sz w:val="28"/>
          <w:szCs w:val="28"/>
        </w:rPr>
        <w:t>4.因环境污染造成国家重点保护的动植物物种受到破坏的；</w:t>
      </w:r>
    </w:p>
    <w:p w14:paraId="369FD67B">
      <w:pPr>
        <w:ind w:firstLine="480"/>
        <w:rPr>
          <w:rFonts w:eastAsia="仿宋"/>
          <w:sz w:val="28"/>
          <w:szCs w:val="28"/>
        </w:rPr>
      </w:pPr>
      <w:r>
        <w:rPr>
          <w:rFonts w:eastAsia="仿宋"/>
          <w:sz w:val="28"/>
          <w:szCs w:val="28"/>
        </w:rPr>
        <w:t>5.因环境污染造成乡镇集中式饮用水水源地取水中断的；</w:t>
      </w:r>
    </w:p>
    <w:p w14:paraId="293B9FB6">
      <w:pPr>
        <w:ind w:firstLine="480"/>
        <w:rPr>
          <w:rFonts w:eastAsia="仿宋"/>
          <w:sz w:val="28"/>
          <w:szCs w:val="28"/>
        </w:rPr>
      </w:pPr>
      <w:r>
        <w:rPr>
          <w:rFonts w:eastAsia="仿宋"/>
          <w:sz w:val="28"/>
          <w:szCs w:val="28"/>
        </w:rPr>
        <w:t>6.Ⅲ类放射源丢失、被盗的；放射性同位素和射线装置失控导致10人以下急性重度放射病、局部器官残疾的；放射性物质泄漏，造成小范围辐射污染后果的；</w:t>
      </w:r>
    </w:p>
    <w:p w14:paraId="4FAB11BA">
      <w:pPr>
        <w:ind w:firstLine="480"/>
        <w:rPr>
          <w:rFonts w:eastAsia="仿宋"/>
          <w:sz w:val="28"/>
          <w:szCs w:val="28"/>
        </w:rPr>
      </w:pPr>
      <w:r>
        <w:rPr>
          <w:rFonts w:eastAsia="仿宋"/>
          <w:sz w:val="28"/>
          <w:szCs w:val="28"/>
        </w:rPr>
        <w:t>7.造成跨设区的市级行政区域影响的突发环境事件。</w:t>
      </w:r>
    </w:p>
    <w:p w14:paraId="149D3454">
      <w:pPr>
        <w:ind w:firstLine="482"/>
        <w:rPr>
          <w:rFonts w:eastAsia="仿宋"/>
          <w:sz w:val="28"/>
          <w:szCs w:val="28"/>
        </w:rPr>
      </w:pPr>
      <w:bookmarkStart w:id="23" w:name="_Toc31351_WPSOffice_Level3"/>
      <w:r>
        <w:rPr>
          <w:rFonts w:eastAsia="仿宋"/>
          <w:sz w:val="28"/>
          <w:szCs w:val="28"/>
        </w:rPr>
        <w:t>（4）一般突发环境事件</w:t>
      </w:r>
      <w:bookmarkEnd w:id="23"/>
    </w:p>
    <w:p w14:paraId="3EFE5056">
      <w:pPr>
        <w:ind w:firstLine="480"/>
        <w:rPr>
          <w:rFonts w:eastAsia="仿宋"/>
          <w:sz w:val="28"/>
          <w:szCs w:val="28"/>
        </w:rPr>
      </w:pPr>
      <w:r>
        <w:rPr>
          <w:rFonts w:eastAsia="仿宋"/>
          <w:sz w:val="28"/>
          <w:szCs w:val="28"/>
        </w:rPr>
        <w:t>凡符合下列情形之一的，为一般突发环境事件：</w:t>
      </w:r>
    </w:p>
    <w:p w14:paraId="72D8D695">
      <w:pPr>
        <w:ind w:firstLine="480"/>
        <w:rPr>
          <w:rFonts w:eastAsia="仿宋"/>
          <w:sz w:val="28"/>
          <w:szCs w:val="28"/>
        </w:rPr>
      </w:pPr>
      <w:r>
        <w:rPr>
          <w:rFonts w:eastAsia="仿宋"/>
          <w:sz w:val="28"/>
          <w:szCs w:val="28"/>
        </w:rPr>
        <w:t>1.因环境污染直接导致3人以下死亡或10人以下中毒或重伤的；</w:t>
      </w:r>
    </w:p>
    <w:p w14:paraId="75E58289">
      <w:pPr>
        <w:ind w:firstLine="480"/>
        <w:rPr>
          <w:rFonts w:eastAsia="仿宋"/>
          <w:sz w:val="28"/>
          <w:szCs w:val="28"/>
        </w:rPr>
      </w:pPr>
      <w:r>
        <w:rPr>
          <w:rFonts w:eastAsia="仿宋"/>
          <w:sz w:val="28"/>
          <w:szCs w:val="28"/>
        </w:rPr>
        <w:t>2.因环境污染疏散、转移人员5000人以下的；</w:t>
      </w:r>
    </w:p>
    <w:p w14:paraId="442382C1">
      <w:pPr>
        <w:ind w:firstLine="480"/>
        <w:rPr>
          <w:rFonts w:eastAsia="仿宋"/>
          <w:sz w:val="28"/>
          <w:szCs w:val="28"/>
        </w:rPr>
      </w:pPr>
      <w:r>
        <w:rPr>
          <w:rFonts w:eastAsia="仿宋"/>
          <w:sz w:val="28"/>
          <w:szCs w:val="28"/>
        </w:rPr>
        <w:t>3.因环境污染造成直接经济损失500万元以下的；</w:t>
      </w:r>
    </w:p>
    <w:p w14:paraId="32BE5BD9">
      <w:pPr>
        <w:ind w:firstLine="480"/>
        <w:rPr>
          <w:rFonts w:eastAsia="仿宋"/>
          <w:sz w:val="28"/>
          <w:szCs w:val="28"/>
        </w:rPr>
      </w:pPr>
      <w:r>
        <w:rPr>
          <w:rFonts w:eastAsia="仿宋"/>
          <w:sz w:val="28"/>
          <w:szCs w:val="28"/>
        </w:rPr>
        <w:t>4.因环境污染造成跨县级行政区域纠纷，引起一般性群体影响的；</w:t>
      </w:r>
    </w:p>
    <w:p w14:paraId="35CC89E8">
      <w:pPr>
        <w:ind w:firstLine="480"/>
        <w:rPr>
          <w:rFonts w:eastAsia="仿宋"/>
          <w:sz w:val="28"/>
          <w:szCs w:val="28"/>
        </w:rPr>
      </w:pPr>
      <w:r>
        <w:rPr>
          <w:rFonts w:eastAsia="仿宋"/>
          <w:sz w:val="28"/>
          <w:szCs w:val="28"/>
        </w:rPr>
        <w:t>5.Ⅳ、Ⅴ类放射源丢失、被盗的；放射性同位素和射线装置失控导致人员受到超过年剂量限值的照射的；放射性物质泄漏，造成厂区内或设施内局部辐射污染后果的；铀矿冶、伴生矿超标排放，造成环境辐射污染后果的；</w:t>
      </w:r>
    </w:p>
    <w:p w14:paraId="33AEB8AB">
      <w:pPr>
        <w:ind w:firstLine="560" w:firstLineChars="200"/>
        <w:rPr>
          <w:rFonts w:eastAsia="仿宋"/>
          <w:sz w:val="28"/>
          <w:szCs w:val="28"/>
        </w:rPr>
      </w:pPr>
      <w:r>
        <w:rPr>
          <w:rFonts w:eastAsia="仿宋"/>
          <w:sz w:val="28"/>
          <w:szCs w:val="28"/>
        </w:rPr>
        <w:t>6.对环境造成一定影响，尚未达到较大突发环境事件级别的。</w:t>
      </w:r>
    </w:p>
    <w:p w14:paraId="1E602C87">
      <w:pPr>
        <w:ind w:firstLine="560" w:firstLineChars="200"/>
        <w:rPr>
          <w:rFonts w:eastAsia="仿宋"/>
        </w:rPr>
      </w:pPr>
      <w:r>
        <w:rPr>
          <w:rFonts w:eastAsia="仿宋"/>
          <w:sz w:val="28"/>
          <w:szCs w:val="28"/>
        </w:rPr>
        <w:t>上述分级标准有关数量的表述中，“以上”含本数，“以下”不含本数。</w:t>
      </w:r>
    </w:p>
    <w:p w14:paraId="1BEF8AEF">
      <w:pPr>
        <w:rPr>
          <w:rFonts w:eastAsia="仿宋"/>
        </w:rPr>
        <w:sectPr>
          <w:footerReference r:id="rId8" w:type="default"/>
          <w:pgSz w:w="11906" w:h="16838"/>
          <w:pgMar w:top="1304" w:right="1304" w:bottom="1304" w:left="1474" w:header="851" w:footer="992" w:gutter="0"/>
          <w:pgNumType w:start="1"/>
          <w:cols w:space="425" w:num="1"/>
          <w:docGrid w:type="lines" w:linePitch="312" w:charSpace="0"/>
        </w:sectPr>
      </w:pPr>
    </w:p>
    <w:p w14:paraId="59B2CC7B">
      <w:pPr>
        <w:widowControl/>
        <w:jc w:val="center"/>
        <w:outlineLvl w:val="0"/>
        <w:rPr>
          <w:rFonts w:eastAsia="仿宋"/>
          <w:b/>
          <w:bCs/>
          <w:sz w:val="32"/>
          <w:szCs w:val="28"/>
        </w:rPr>
      </w:pPr>
      <w:bookmarkStart w:id="24" w:name="_Toc60930763"/>
      <w:r>
        <w:rPr>
          <w:rFonts w:eastAsia="仿宋"/>
          <w:b/>
          <w:bCs/>
          <w:sz w:val="32"/>
          <w:szCs w:val="28"/>
        </w:rPr>
        <w:t>2  水源地概况及风险识别</w:t>
      </w:r>
      <w:bookmarkEnd w:id="24"/>
    </w:p>
    <w:p w14:paraId="4350A427">
      <w:pPr>
        <w:ind w:firstLine="320" w:firstLineChars="200"/>
        <w:rPr>
          <w:rFonts w:eastAsia="仿宋"/>
          <w:sz w:val="16"/>
          <w:szCs w:val="28"/>
        </w:rPr>
      </w:pPr>
    </w:p>
    <w:p w14:paraId="1604D505">
      <w:pPr>
        <w:ind w:firstLine="560" w:firstLineChars="200"/>
        <w:rPr>
          <w:rFonts w:eastAsia="仿宋"/>
          <w:sz w:val="28"/>
          <w:szCs w:val="28"/>
        </w:rPr>
      </w:pPr>
      <w:r>
        <w:rPr>
          <w:rFonts w:hint="eastAsia" w:eastAsia="仿宋"/>
          <w:sz w:val="28"/>
          <w:szCs w:val="28"/>
        </w:rPr>
        <w:t>本预案中的</w:t>
      </w:r>
      <w:r>
        <w:rPr>
          <w:rFonts w:eastAsia="仿宋"/>
          <w:sz w:val="28"/>
          <w:szCs w:val="28"/>
        </w:rPr>
        <w:t>花溪区</w:t>
      </w:r>
      <w:r>
        <w:rPr>
          <w:rFonts w:hint="eastAsia" w:eastAsia="仿宋"/>
          <w:sz w:val="28"/>
          <w:szCs w:val="28"/>
        </w:rPr>
        <w:t>千人以上</w:t>
      </w:r>
      <w:r>
        <w:rPr>
          <w:rFonts w:eastAsia="仿宋"/>
          <w:sz w:val="28"/>
          <w:szCs w:val="28"/>
        </w:rPr>
        <w:t>集中式饮用水水源地分别为</w:t>
      </w:r>
      <w:r>
        <w:rPr>
          <w:rFonts w:hint="eastAsia" w:eastAsia="仿宋"/>
          <w:sz w:val="28"/>
          <w:szCs w:val="28"/>
        </w:rPr>
        <w:t>高坡乡阴河洞</w:t>
      </w:r>
      <w:r>
        <w:rPr>
          <w:rFonts w:eastAsia="仿宋"/>
          <w:sz w:val="28"/>
          <w:szCs w:val="28"/>
        </w:rPr>
        <w:t>、</w:t>
      </w:r>
      <w:r>
        <w:rPr>
          <w:rFonts w:hint="eastAsia" w:eastAsia="仿宋"/>
          <w:sz w:val="28"/>
          <w:szCs w:val="28"/>
        </w:rPr>
        <w:t>高坡乡苦蒿冲水源</w:t>
      </w:r>
      <w:r>
        <w:rPr>
          <w:rFonts w:eastAsia="仿宋"/>
          <w:sz w:val="28"/>
          <w:szCs w:val="28"/>
        </w:rPr>
        <w:t>、</w:t>
      </w:r>
      <w:r>
        <w:rPr>
          <w:rFonts w:hint="eastAsia" w:eastAsia="仿宋"/>
          <w:sz w:val="28"/>
          <w:szCs w:val="28"/>
        </w:rPr>
        <w:t>马铃乡麻窝坑水源</w:t>
      </w:r>
      <w:r>
        <w:rPr>
          <w:rFonts w:eastAsia="仿宋"/>
          <w:sz w:val="28"/>
          <w:szCs w:val="28"/>
        </w:rPr>
        <w:t>、</w:t>
      </w:r>
      <w:r>
        <w:rPr>
          <w:rFonts w:hint="eastAsia" w:eastAsia="仿宋"/>
          <w:sz w:val="28"/>
          <w:szCs w:val="28"/>
        </w:rPr>
        <w:t>青岩镇海爬井水源</w:t>
      </w:r>
      <w:r>
        <w:rPr>
          <w:rFonts w:eastAsia="仿宋"/>
          <w:sz w:val="28"/>
          <w:szCs w:val="28"/>
        </w:rPr>
        <w:t>、</w:t>
      </w:r>
      <w:r>
        <w:rPr>
          <w:rFonts w:hint="eastAsia" w:eastAsia="仿宋"/>
          <w:sz w:val="28"/>
          <w:szCs w:val="28"/>
        </w:rPr>
        <w:t>青岩镇龙井沟</w:t>
      </w:r>
      <w:r>
        <w:rPr>
          <w:rFonts w:eastAsia="仿宋"/>
          <w:sz w:val="28"/>
          <w:szCs w:val="28"/>
        </w:rPr>
        <w:t>水源</w:t>
      </w:r>
      <w:r>
        <w:rPr>
          <w:rFonts w:hint="eastAsia" w:eastAsia="仿宋"/>
          <w:sz w:val="28"/>
          <w:szCs w:val="28"/>
        </w:rPr>
        <w:t>、青岩镇龙潭水源、燕楼镇燕鲁小燕河水源、黔陶乡九眼井水源、马铃乡红岩水库、高坡乡的大洪村、批林村、杉坪村蚂蜂洞、黔陶乡的马场村、骑龙村、赵司村赵司河、青岩镇的达夯村坡六塘、龙井村、思潜村赵司河、西门河、新楼村、清溪街道的9</w:t>
      </w:r>
      <w:r>
        <w:rPr>
          <w:rFonts w:eastAsia="仿宋"/>
          <w:sz w:val="28"/>
          <w:szCs w:val="28"/>
        </w:rPr>
        <w:t>855</w:t>
      </w:r>
      <w:r>
        <w:rPr>
          <w:rFonts w:hint="eastAsia" w:eastAsia="仿宋"/>
          <w:sz w:val="28"/>
          <w:szCs w:val="28"/>
        </w:rPr>
        <w:t>厂、机械厂、石板镇的盖冗村、燕楼镇的坝楼村、槐舟村、新井村等1</w:t>
      </w:r>
      <w:r>
        <w:rPr>
          <w:rFonts w:eastAsia="仿宋"/>
          <w:sz w:val="28"/>
          <w:szCs w:val="28"/>
        </w:rPr>
        <w:t>7</w:t>
      </w:r>
      <w:r>
        <w:rPr>
          <w:rFonts w:hint="eastAsia" w:eastAsia="仿宋"/>
          <w:sz w:val="28"/>
          <w:szCs w:val="28"/>
        </w:rPr>
        <w:t>个千人以上集中式饮用水源</w:t>
      </w:r>
      <w:r>
        <w:rPr>
          <w:rFonts w:eastAsia="仿宋"/>
          <w:sz w:val="28"/>
          <w:szCs w:val="28"/>
        </w:rPr>
        <w:t>，水源地</w:t>
      </w:r>
      <w:r>
        <w:rPr>
          <w:rFonts w:hint="eastAsia" w:eastAsia="仿宋"/>
          <w:sz w:val="28"/>
          <w:szCs w:val="28"/>
        </w:rPr>
        <w:t>地理位置和水源地详细信息见</w:t>
      </w:r>
      <w:r>
        <w:rPr>
          <w:rFonts w:eastAsia="仿宋"/>
          <w:sz w:val="28"/>
          <w:szCs w:val="28"/>
        </w:rPr>
        <w:t>表2-1。</w:t>
      </w:r>
    </w:p>
    <w:p w14:paraId="7BDB4065">
      <w:pPr>
        <w:widowControl/>
        <w:jc w:val="center"/>
        <w:rPr>
          <w:rFonts w:eastAsia="仿宋"/>
          <w:b/>
          <w:kern w:val="0"/>
          <w:sz w:val="21"/>
          <w:szCs w:val="21"/>
        </w:rPr>
      </w:pPr>
      <w:r>
        <w:rPr>
          <w:rFonts w:eastAsia="仿宋"/>
          <w:b/>
          <w:kern w:val="0"/>
          <w:szCs w:val="21"/>
        </w:rPr>
        <w:t>表2-1 花溪区</w:t>
      </w:r>
      <w:r>
        <w:rPr>
          <w:rFonts w:hint="eastAsia" w:eastAsia="仿宋"/>
          <w:b/>
          <w:kern w:val="0"/>
          <w:szCs w:val="21"/>
        </w:rPr>
        <w:t>千人以上</w:t>
      </w:r>
      <w:r>
        <w:rPr>
          <w:rFonts w:eastAsia="仿宋"/>
          <w:b/>
          <w:kern w:val="0"/>
          <w:szCs w:val="21"/>
        </w:rPr>
        <w:t>集中式饮用水水源地概况</w:t>
      </w:r>
    </w:p>
    <w:tbl>
      <w:tblPr>
        <w:tblStyle w:val="14"/>
        <w:tblW w:w="8515" w:type="dxa"/>
        <w:tblInd w:w="0" w:type="dxa"/>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0" w:type="dxa"/>
          <w:bottom w:w="0" w:type="dxa"/>
          <w:right w:w="0" w:type="dxa"/>
        </w:tblCellMar>
      </w:tblPr>
      <w:tblGrid>
        <w:gridCol w:w="603"/>
        <w:gridCol w:w="967"/>
        <w:gridCol w:w="992"/>
        <w:gridCol w:w="1559"/>
        <w:gridCol w:w="709"/>
        <w:gridCol w:w="1134"/>
        <w:gridCol w:w="1276"/>
        <w:gridCol w:w="1275"/>
      </w:tblGrid>
      <w:tr w14:paraId="00F8F789">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545" w:hRule="atLeast"/>
        </w:trPr>
        <w:tc>
          <w:tcPr>
            <w:tcW w:w="603" w:type="dxa"/>
            <w:vMerge w:val="restart"/>
            <w:shd w:val="clear" w:color="auto" w:fill="auto"/>
            <w:vAlign w:val="center"/>
          </w:tcPr>
          <w:p w14:paraId="198DEB1F">
            <w:pPr>
              <w:widowControl/>
              <w:jc w:val="center"/>
              <w:rPr>
                <w:rFonts w:eastAsia="仿宋"/>
                <w:kern w:val="0"/>
                <w:sz w:val="21"/>
                <w:szCs w:val="21"/>
              </w:rPr>
            </w:pPr>
            <w:r>
              <w:rPr>
                <w:rFonts w:eastAsia="仿宋"/>
                <w:kern w:val="0"/>
                <w:sz w:val="21"/>
                <w:szCs w:val="21"/>
              </w:rPr>
              <w:t>序号</w:t>
            </w:r>
          </w:p>
        </w:tc>
        <w:tc>
          <w:tcPr>
            <w:tcW w:w="967" w:type="dxa"/>
            <w:vMerge w:val="restart"/>
            <w:shd w:val="clear" w:color="auto" w:fill="auto"/>
            <w:vAlign w:val="center"/>
          </w:tcPr>
          <w:p w14:paraId="5F1B739A">
            <w:pPr>
              <w:widowControl/>
              <w:jc w:val="center"/>
              <w:rPr>
                <w:rFonts w:eastAsia="仿宋"/>
                <w:kern w:val="0"/>
                <w:sz w:val="21"/>
                <w:szCs w:val="21"/>
              </w:rPr>
            </w:pPr>
            <w:r>
              <w:rPr>
                <w:rFonts w:eastAsia="仿宋"/>
                <w:kern w:val="0"/>
                <w:sz w:val="21"/>
                <w:szCs w:val="21"/>
              </w:rPr>
              <w:t>水源地</w:t>
            </w:r>
          </w:p>
          <w:p w14:paraId="5E7673E5">
            <w:pPr>
              <w:widowControl/>
              <w:jc w:val="center"/>
              <w:rPr>
                <w:rFonts w:eastAsia="仿宋"/>
                <w:kern w:val="0"/>
                <w:sz w:val="21"/>
                <w:szCs w:val="21"/>
              </w:rPr>
            </w:pPr>
            <w:r>
              <w:rPr>
                <w:rFonts w:eastAsia="仿宋"/>
                <w:kern w:val="0"/>
                <w:sz w:val="21"/>
                <w:szCs w:val="21"/>
              </w:rPr>
              <w:t>名称</w:t>
            </w:r>
          </w:p>
        </w:tc>
        <w:tc>
          <w:tcPr>
            <w:tcW w:w="992" w:type="dxa"/>
            <w:vMerge w:val="restart"/>
            <w:shd w:val="clear" w:color="auto" w:fill="auto"/>
            <w:vAlign w:val="center"/>
          </w:tcPr>
          <w:p w14:paraId="0489D41C">
            <w:pPr>
              <w:widowControl/>
              <w:jc w:val="center"/>
              <w:rPr>
                <w:rFonts w:eastAsia="仿宋"/>
                <w:kern w:val="0"/>
                <w:sz w:val="21"/>
                <w:szCs w:val="21"/>
              </w:rPr>
            </w:pPr>
            <w:r>
              <w:rPr>
                <w:rFonts w:eastAsia="仿宋"/>
                <w:kern w:val="0"/>
                <w:sz w:val="21"/>
                <w:szCs w:val="21"/>
              </w:rPr>
              <w:t>水源地</w:t>
            </w:r>
          </w:p>
          <w:p w14:paraId="53A6C526">
            <w:pPr>
              <w:widowControl/>
              <w:jc w:val="center"/>
              <w:rPr>
                <w:rFonts w:eastAsia="仿宋"/>
                <w:kern w:val="0"/>
                <w:sz w:val="21"/>
                <w:szCs w:val="21"/>
              </w:rPr>
            </w:pPr>
            <w:r>
              <w:rPr>
                <w:rFonts w:eastAsia="仿宋"/>
                <w:kern w:val="0"/>
                <w:sz w:val="21"/>
                <w:szCs w:val="21"/>
              </w:rPr>
              <w:t>类型</w:t>
            </w:r>
          </w:p>
        </w:tc>
        <w:tc>
          <w:tcPr>
            <w:tcW w:w="1559" w:type="dxa"/>
            <w:vMerge w:val="restart"/>
            <w:shd w:val="clear" w:color="auto" w:fill="auto"/>
            <w:vAlign w:val="center"/>
          </w:tcPr>
          <w:p w14:paraId="45F1FC4D">
            <w:pPr>
              <w:widowControl/>
              <w:jc w:val="center"/>
              <w:rPr>
                <w:rFonts w:eastAsia="仿宋"/>
                <w:kern w:val="0"/>
                <w:sz w:val="21"/>
                <w:szCs w:val="21"/>
              </w:rPr>
            </w:pPr>
            <w:r>
              <w:rPr>
                <w:rFonts w:eastAsia="仿宋"/>
                <w:kern w:val="0"/>
                <w:sz w:val="21"/>
                <w:szCs w:val="21"/>
              </w:rPr>
              <w:t>取水点</w:t>
            </w:r>
          </w:p>
          <w:p w14:paraId="7ADB536D">
            <w:pPr>
              <w:widowControl/>
              <w:jc w:val="center"/>
              <w:rPr>
                <w:rFonts w:eastAsia="仿宋"/>
                <w:kern w:val="0"/>
                <w:sz w:val="21"/>
                <w:szCs w:val="21"/>
              </w:rPr>
            </w:pPr>
            <w:r>
              <w:rPr>
                <w:rFonts w:hint="eastAsia" w:eastAsia="仿宋"/>
                <w:kern w:val="0"/>
                <w:sz w:val="21"/>
                <w:szCs w:val="21"/>
              </w:rPr>
              <w:t>地理</w:t>
            </w:r>
            <w:r>
              <w:rPr>
                <w:rFonts w:eastAsia="仿宋"/>
                <w:kern w:val="0"/>
                <w:sz w:val="21"/>
                <w:szCs w:val="21"/>
              </w:rPr>
              <w:t>位置</w:t>
            </w:r>
          </w:p>
        </w:tc>
        <w:tc>
          <w:tcPr>
            <w:tcW w:w="709" w:type="dxa"/>
            <w:vMerge w:val="restart"/>
            <w:shd w:val="clear" w:color="auto" w:fill="auto"/>
            <w:vAlign w:val="center"/>
          </w:tcPr>
          <w:p w14:paraId="21212298">
            <w:pPr>
              <w:widowControl/>
              <w:jc w:val="center"/>
              <w:rPr>
                <w:rFonts w:eastAsia="仿宋"/>
                <w:kern w:val="0"/>
                <w:sz w:val="21"/>
                <w:szCs w:val="21"/>
              </w:rPr>
            </w:pPr>
            <w:r>
              <w:rPr>
                <w:rFonts w:eastAsia="仿宋"/>
                <w:kern w:val="0"/>
                <w:sz w:val="21"/>
                <w:szCs w:val="21"/>
              </w:rPr>
              <w:t>取水</w:t>
            </w:r>
          </w:p>
          <w:p w14:paraId="03698400">
            <w:pPr>
              <w:widowControl/>
              <w:jc w:val="center"/>
              <w:rPr>
                <w:rFonts w:eastAsia="仿宋"/>
                <w:kern w:val="0"/>
                <w:sz w:val="21"/>
                <w:szCs w:val="21"/>
              </w:rPr>
            </w:pPr>
            <w:r>
              <w:rPr>
                <w:rFonts w:eastAsia="仿宋"/>
                <w:kern w:val="0"/>
                <w:sz w:val="21"/>
                <w:szCs w:val="21"/>
              </w:rPr>
              <w:t>情况</w:t>
            </w:r>
          </w:p>
        </w:tc>
        <w:tc>
          <w:tcPr>
            <w:tcW w:w="3685" w:type="dxa"/>
            <w:gridSpan w:val="3"/>
            <w:shd w:val="clear" w:color="auto" w:fill="auto"/>
            <w:vAlign w:val="center"/>
          </w:tcPr>
          <w:p w14:paraId="6621E093">
            <w:pPr>
              <w:widowControl/>
              <w:jc w:val="center"/>
              <w:rPr>
                <w:rFonts w:eastAsia="仿宋"/>
                <w:kern w:val="0"/>
                <w:sz w:val="21"/>
                <w:szCs w:val="21"/>
              </w:rPr>
            </w:pPr>
            <w:r>
              <w:rPr>
                <w:rFonts w:eastAsia="仿宋"/>
                <w:kern w:val="0"/>
                <w:sz w:val="21"/>
                <w:szCs w:val="21"/>
              </w:rPr>
              <w:t>水源保护区面积</w:t>
            </w:r>
          </w:p>
        </w:tc>
      </w:tr>
      <w:tr w14:paraId="44F87705">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627" w:hRule="atLeast"/>
        </w:trPr>
        <w:tc>
          <w:tcPr>
            <w:tcW w:w="603" w:type="dxa"/>
            <w:vMerge w:val="continue"/>
            <w:shd w:val="clear" w:color="auto" w:fill="auto"/>
            <w:vAlign w:val="center"/>
          </w:tcPr>
          <w:p w14:paraId="4A1029D3">
            <w:pPr>
              <w:widowControl/>
              <w:jc w:val="center"/>
              <w:rPr>
                <w:rFonts w:eastAsia="仿宋"/>
                <w:kern w:val="0"/>
                <w:sz w:val="21"/>
                <w:szCs w:val="21"/>
              </w:rPr>
            </w:pPr>
          </w:p>
        </w:tc>
        <w:tc>
          <w:tcPr>
            <w:tcW w:w="967" w:type="dxa"/>
            <w:vMerge w:val="continue"/>
            <w:shd w:val="clear" w:color="auto" w:fill="auto"/>
            <w:vAlign w:val="center"/>
          </w:tcPr>
          <w:p w14:paraId="2B171C05">
            <w:pPr>
              <w:widowControl/>
              <w:jc w:val="center"/>
              <w:rPr>
                <w:rFonts w:eastAsia="仿宋"/>
                <w:kern w:val="0"/>
                <w:sz w:val="21"/>
                <w:szCs w:val="21"/>
              </w:rPr>
            </w:pPr>
          </w:p>
        </w:tc>
        <w:tc>
          <w:tcPr>
            <w:tcW w:w="992" w:type="dxa"/>
            <w:vMerge w:val="continue"/>
            <w:shd w:val="clear" w:color="auto" w:fill="auto"/>
            <w:vAlign w:val="center"/>
          </w:tcPr>
          <w:p w14:paraId="55D816C7">
            <w:pPr>
              <w:widowControl/>
              <w:jc w:val="center"/>
              <w:rPr>
                <w:rFonts w:eastAsia="仿宋"/>
                <w:kern w:val="0"/>
                <w:sz w:val="21"/>
                <w:szCs w:val="21"/>
              </w:rPr>
            </w:pPr>
          </w:p>
        </w:tc>
        <w:tc>
          <w:tcPr>
            <w:tcW w:w="1559" w:type="dxa"/>
            <w:vMerge w:val="continue"/>
            <w:shd w:val="clear" w:color="auto" w:fill="auto"/>
            <w:vAlign w:val="center"/>
          </w:tcPr>
          <w:p w14:paraId="4C26DB0D">
            <w:pPr>
              <w:widowControl/>
              <w:jc w:val="center"/>
              <w:rPr>
                <w:rFonts w:eastAsia="仿宋"/>
                <w:kern w:val="0"/>
                <w:sz w:val="21"/>
                <w:szCs w:val="21"/>
              </w:rPr>
            </w:pPr>
          </w:p>
        </w:tc>
        <w:tc>
          <w:tcPr>
            <w:tcW w:w="709" w:type="dxa"/>
            <w:vMerge w:val="continue"/>
            <w:shd w:val="clear" w:color="auto" w:fill="auto"/>
            <w:vAlign w:val="center"/>
          </w:tcPr>
          <w:p w14:paraId="43C38900">
            <w:pPr>
              <w:widowControl/>
              <w:jc w:val="center"/>
              <w:rPr>
                <w:rFonts w:eastAsia="仿宋"/>
                <w:kern w:val="0"/>
                <w:sz w:val="21"/>
                <w:szCs w:val="21"/>
              </w:rPr>
            </w:pPr>
          </w:p>
        </w:tc>
        <w:tc>
          <w:tcPr>
            <w:tcW w:w="1134" w:type="dxa"/>
            <w:shd w:val="clear" w:color="auto" w:fill="auto"/>
            <w:vAlign w:val="center"/>
          </w:tcPr>
          <w:p w14:paraId="19EA1FBE">
            <w:pPr>
              <w:widowControl/>
              <w:jc w:val="center"/>
              <w:rPr>
                <w:rFonts w:eastAsia="仿宋"/>
                <w:kern w:val="0"/>
                <w:sz w:val="21"/>
                <w:szCs w:val="21"/>
              </w:rPr>
            </w:pPr>
            <w:r>
              <w:rPr>
                <w:rFonts w:eastAsia="仿宋"/>
                <w:kern w:val="0"/>
                <w:sz w:val="21"/>
                <w:szCs w:val="21"/>
              </w:rPr>
              <w:t>一级保护区(</w:t>
            </w:r>
            <w:r>
              <w:rPr>
                <w:rFonts w:hint="eastAsia" w:eastAsia="仿宋"/>
                <w:kern w:val="0"/>
                <w:sz w:val="21"/>
                <w:szCs w:val="21"/>
              </w:rPr>
              <w:t>h</w:t>
            </w:r>
            <w:r>
              <w:rPr>
                <w:rFonts w:eastAsia="仿宋"/>
                <w:kern w:val="0"/>
                <w:sz w:val="21"/>
                <w:szCs w:val="21"/>
              </w:rPr>
              <w:t>m</w:t>
            </w:r>
            <w:r>
              <w:rPr>
                <w:rFonts w:eastAsia="仿宋"/>
                <w:kern w:val="0"/>
                <w:sz w:val="21"/>
                <w:szCs w:val="21"/>
                <w:vertAlign w:val="superscript"/>
              </w:rPr>
              <w:t>2</w:t>
            </w:r>
            <w:r>
              <w:rPr>
                <w:rFonts w:eastAsia="仿宋"/>
                <w:kern w:val="0"/>
                <w:sz w:val="21"/>
                <w:szCs w:val="21"/>
              </w:rPr>
              <w:t>)</w:t>
            </w:r>
          </w:p>
        </w:tc>
        <w:tc>
          <w:tcPr>
            <w:tcW w:w="1276" w:type="dxa"/>
            <w:shd w:val="clear" w:color="auto" w:fill="auto"/>
            <w:vAlign w:val="center"/>
          </w:tcPr>
          <w:p w14:paraId="4E822432">
            <w:pPr>
              <w:widowControl/>
              <w:jc w:val="center"/>
              <w:rPr>
                <w:rFonts w:eastAsia="仿宋"/>
                <w:kern w:val="0"/>
                <w:sz w:val="21"/>
                <w:szCs w:val="21"/>
              </w:rPr>
            </w:pPr>
            <w:r>
              <w:rPr>
                <w:rFonts w:eastAsia="仿宋"/>
                <w:kern w:val="0"/>
                <w:sz w:val="21"/>
                <w:szCs w:val="21"/>
              </w:rPr>
              <w:t>二级保护区(hm</w:t>
            </w:r>
            <w:r>
              <w:rPr>
                <w:rFonts w:eastAsia="仿宋"/>
                <w:kern w:val="0"/>
                <w:sz w:val="21"/>
                <w:szCs w:val="21"/>
                <w:vertAlign w:val="superscript"/>
              </w:rPr>
              <w:t>2</w:t>
            </w:r>
            <w:r>
              <w:rPr>
                <w:rFonts w:eastAsia="仿宋"/>
                <w:kern w:val="0"/>
                <w:sz w:val="21"/>
                <w:szCs w:val="21"/>
              </w:rPr>
              <w:t>)</w:t>
            </w:r>
          </w:p>
        </w:tc>
        <w:tc>
          <w:tcPr>
            <w:tcW w:w="1275" w:type="dxa"/>
            <w:shd w:val="clear" w:color="auto" w:fill="auto"/>
            <w:vAlign w:val="center"/>
          </w:tcPr>
          <w:p w14:paraId="7473A9F4">
            <w:pPr>
              <w:widowControl/>
              <w:jc w:val="center"/>
              <w:rPr>
                <w:rFonts w:eastAsia="仿宋"/>
                <w:kern w:val="0"/>
                <w:sz w:val="21"/>
                <w:szCs w:val="21"/>
              </w:rPr>
            </w:pPr>
            <w:r>
              <w:rPr>
                <w:rFonts w:hint="eastAsia" w:eastAsia="仿宋"/>
                <w:kern w:val="0"/>
                <w:sz w:val="21"/>
                <w:szCs w:val="21"/>
              </w:rPr>
              <w:t>准保护区</w:t>
            </w:r>
          </w:p>
          <w:p w14:paraId="4A1EFA4E">
            <w:pPr>
              <w:widowControl/>
              <w:jc w:val="center"/>
              <w:rPr>
                <w:rFonts w:eastAsia="仿宋"/>
                <w:kern w:val="0"/>
                <w:sz w:val="21"/>
                <w:szCs w:val="21"/>
              </w:rPr>
            </w:pPr>
            <w:r>
              <w:rPr>
                <w:rFonts w:eastAsia="仿宋"/>
                <w:kern w:val="0"/>
                <w:sz w:val="21"/>
                <w:szCs w:val="21"/>
              </w:rPr>
              <w:t>(hm</w:t>
            </w:r>
            <w:r>
              <w:rPr>
                <w:rFonts w:eastAsia="仿宋"/>
                <w:kern w:val="0"/>
                <w:sz w:val="21"/>
                <w:szCs w:val="21"/>
                <w:vertAlign w:val="superscript"/>
              </w:rPr>
              <w:t>2</w:t>
            </w:r>
            <w:r>
              <w:rPr>
                <w:rFonts w:eastAsia="仿宋"/>
                <w:kern w:val="0"/>
                <w:sz w:val="21"/>
                <w:szCs w:val="21"/>
              </w:rPr>
              <w:t>)</w:t>
            </w:r>
          </w:p>
        </w:tc>
      </w:tr>
      <w:tr w14:paraId="432FFA23">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963" w:hRule="atLeast"/>
        </w:trPr>
        <w:tc>
          <w:tcPr>
            <w:tcW w:w="603" w:type="dxa"/>
            <w:shd w:val="clear" w:color="auto" w:fill="auto"/>
            <w:vAlign w:val="center"/>
          </w:tcPr>
          <w:p w14:paraId="2704D200">
            <w:pPr>
              <w:widowControl/>
              <w:jc w:val="center"/>
              <w:rPr>
                <w:rFonts w:eastAsia="仿宋"/>
                <w:kern w:val="0"/>
                <w:sz w:val="21"/>
                <w:szCs w:val="21"/>
              </w:rPr>
            </w:pPr>
            <w:r>
              <w:rPr>
                <w:rFonts w:eastAsia="仿宋"/>
                <w:kern w:val="0"/>
                <w:sz w:val="21"/>
                <w:szCs w:val="21"/>
              </w:rPr>
              <w:t>1</w:t>
            </w:r>
          </w:p>
        </w:tc>
        <w:tc>
          <w:tcPr>
            <w:tcW w:w="967" w:type="dxa"/>
            <w:shd w:val="clear" w:color="auto" w:fill="auto"/>
            <w:vAlign w:val="center"/>
          </w:tcPr>
          <w:p w14:paraId="6422B406">
            <w:pPr>
              <w:widowControl/>
              <w:jc w:val="center"/>
              <w:rPr>
                <w:rFonts w:eastAsia="仿宋"/>
                <w:kern w:val="0"/>
                <w:sz w:val="21"/>
                <w:szCs w:val="21"/>
              </w:rPr>
            </w:pPr>
            <w:r>
              <w:rPr>
                <w:rFonts w:eastAsia="仿宋"/>
                <w:spacing w:val="-8"/>
                <w:sz w:val="21"/>
                <w:szCs w:val="21"/>
              </w:rPr>
              <w:t>高坡乡阴河洞水源</w:t>
            </w:r>
          </w:p>
        </w:tc>
        <w:tc>
          <w:tcPr>
            <w:tcW w:w="992" w:type="dxa"/>
            <w:shd w:val="clear" w:color="auto" w:fill="auto"/>
            <w:vAlign w:val="center"/>
          </w:tcPr>
          <w:p w14:paraId="1EFBE659">
            <w:pPr>
              <w:widowControl/>
              <w:jc w:val="center"/>
              <w:rPr>
                <w:rFonts w:eastAsia="仿宋"/>
                <w:kern w:val="0"/>
                <w:sz w:val="21"/>
                <w:szCs w:val="21"/>
              </w:rPr>
            </w:pPr>
            <w:r>
              <w:rPr>
                <w:rFonts w:eastAsia="仿宋"/>
                <w:kern w:val="0"/>
                <w:sz w:val="21"/>
                <w:szCs w:val="21"/>
              </w:rPr>
              <w:t>地下水型</w:t>
            </w:r>
          </w:p>
        </w:tc>
        <w:tc>
          <w:tcPr>
            <w:tcW w:w="1559" w:type="dxa"/>
            <w:shd w:val="clear" w:color="auto" w:fill="auto"/>
            <w:vAlign w:val="center"/>
          </w:tcPr>
          <w:p w14:paraId="35A47B61">
            <w:pPr>
              <w:widowControl/>
              <w:jc w:val="center"/>
              <w:rPr>
                <w:rFonts w:eastAsia="仿宋"/>
                <w:kern w:val="0"/>
                <w:sz w:val="21"/>
                <w:szCs w:val="21"/>
              </w:rPr>
            </w:pPr>
            <w:r>
              <w:rPr>
                <w:spacing w:val="-8"/>
                <w:sz w:val="21"/>
                <w:szCs w:val="21"/>
              </w:rPr>
              <w:t>E106.853053，N26.211988</w:t>
            </w:r>
          </w:p>
        </w:tc>
        <w:tc>
          <w:tcPr>
            <w:tcW w:w="709" w:type="dxa"/>
            <w:shd w:val="clear" w:color="auto" w:fill="auto"/>
            <w:vAlign w:val="center"/>
          </w:tcPr>
          <w:p w14:paraId="3094E892">
            <w:pPr>
              <w:widowControl/>
              <w:jc w:val="center"/>
              <w:rPr>
                <w:rFonts w:eastAsia="仿宋"/>
                <w:kern w:val="0"/>
                <w:sz w:val="21"/>
                <w:szCs w:val="21"/>
              </w:rPr>
            </w:pPr>
            <w:r>
              <w:rPr>
                <w:rFonts w:eastAsia="仿宋"/>
                <w:kern w:val="0"/>
                <w:sz w:val="21"/>
                <w:szCs w:val="21"/>
              </w:rPr>
              <w:t>正常</w:t>
            </w:r>
          </w:p>
        </w:tc>
        <w:tc>
          <w:tcPr>
            <w:tcW w:w="1134" w:type="dxa"/>
            <w:shd w:val="clear" w:color="auto" w:fill="auto"/>
            <w:vAlign w:val="center"/>
          </w:tcPr>
          <w:p w14:paraId="4695B933">
            <w:pPr>
              <w:widowControl/>
              <w:jc w:val="center"/>
              <w:rPr>
                <w:rFonts w:eastAsia="仿宋"/>
                <w:kern w:val="0"/>
                <w:sz w:val="21"/>
                <w:szCs w:val="21"/>
              </w:rPr>
            </w:pPr>
            <w:r>
              <w:rPr>
                <w:rFonts w:eastAsia="仿宋"/>
                <w:kern w:val="0"/>
                <w:sz w:val="21"/>
                <w:szCs w:val="21"/>
              </w:rPr>
              <w:t>1.01</w:t>
            </w:r>
          </w:p>
        </w:tc>
        <w:tc>
          <w:tcPr>
            <w:tcW w:w="1276" w:type="dxa"/>
            <w:shd w:val="clear" w:color="auto" w:fill="auto"/>
            <w:vAlign w:val="center"/>
          </w:tcPr>
          <w:p w14:paraId="7E0890FA">
            <w:pPr>
              <w:widowControl/>
              <w:jc w:val="center"/>
              <w:rPr>
                <w:rFonts w:eastAsia="仿宋"/>
                <w:kern w:val="0"/>
                <w:sz w:val="21"/>
                <w:szCs w:val="21"/>
              </w:rPr>
            </w:pPr>
            <w:r>
              <w:rPr>
                <w:rFonts w:eastAsia="仿宋"/>
                <w:kern w:val="0"/>
                <w:sz w:val="21"/>
                <w:szCs w:val="21"/>
              </w:rPr>
              <w:t>77.91</w:t>
            </w:r>
          </w:p>
        </w:tc>
        <w:tc>
          <w:tcPr>
            <w:tcW w:w="1275" w:type="dxa"/>
            <w:shd w:val="clear" w:color="auto" w:fill="auto"/>
            <w:vAlign w:val="center"/>
          </w:tcPr>
          <w:p w14:paraId="00EF6029">
            <w:pPr>
              <w:widowControl/>
              <w:jc w:val="center"/>
              <w:rPr>
                <w:rFonts w:eastAsia="仿宋"/>
                <w:kern w:val="0"/>
                <w:sz w:val="21"/>
                <w:szCs w:val="21"/>
              </w:rPr>
            </w:pPr>
            <w:r>
              <w:rPr>
                <w:rFonts w:eastAsia="仿宋"/>
                <w:spacing w:val="-8"/>
                <w:sz w:val="21"/>
                <w:szCs w:val="21"/>
              </w:rPr>
              <w:t>0</w:t>
            </w:r>
          </w:p>
        </w:tc>
      </w:tr>
      <w:tr w14:paraId="113634B3">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953" w:hRule="atLeast"/>
        </w:trPr>
        <w:tc>
          <w:tcPr>
            <w:tcW w:w="603" w:type="dxa"/>
            <w:shd w:val="clear" w:color="auto" w:fill="auto"/>
            <w:vAlign w:val="center"/>
          </w:tcPr>
          <w:p w14:paraId="53FB3E67">
            <w:pPr>
              <w:widowControl/>
              <w:jc w:val="center"/>
              <w:rPr>
                <w:rFonts w:eastAsia="仿宋"/>
                <w:kern w:val="0"/>
                <w:sz w:val="21"/>
                <w:szCs w:val="21"/>
              </w:rPr>
            </w:pPr>
            <w:r>
              <w:rPr>
                <w:rFonts w:eastAsia="仿宋"/>
                <w:kern w:val="0"/>
                <w:sz w:val="21"/>
                <w:szCs w:val="21"/>
              </w:rPr>
              <w:t>2</w:t>
            </w:r>
          </w:p>
        </w:tc>
        <w:tc>
          <w:tcPr>
            <w:tcW w:w="967" w:type="dxa"/>
            <w:shd w:val="clear" w:color="auto" w:fill="auto"/>
            <w:vAlign w:val="center"/>
          </w:tcPr>
          <w:p w14:paraId="5673DB49">
            <w:pPr>
              <w:widowControl/>
              <w:jc w:val="center"/>
              <w:rPr>
                <w:rFonts w:eastAsia="仿宋"/>
                <w:kern w:val="0"/>
                <w:sz w:val="21"/>
                <w:szCs w:val="21"/>
              </w:rPr>
            </w:pPr>
            <w:r>
              <w:rPr>
                <w:rFonts w:eastAsia="仿宋"/>
                <w:sz w:val="21"/>
                <w:szCs w:val="21"/>
              </w:rPr>
              <w:t>高坡乡苦蒿冲水源</w:t>
            </w:r>
          </w:p>
        </w:tc>
        <w:tc>
          <w:tcPr>
            <w:tcW w:w="992" w:type="dxa"/>
            <w:shd w:val="clear" w:color="auto" w:fill="auto"/>
            <w:vAlign w:val="center"/>
          </w:tcPr>
          <w:p w14:paraId="74A2DA70">
            <w:pPr>
              <w:widowControl/>
              <w:jc w:val="center"/>
              <w:rPr>
                <w:rFonts w:eastAsia="仿宋"/>
                <w:kern w:val="0"/>
                <w:sz w:val="21"/>
                <w:szCs w:val="21"/>
              </w:rPr>
            </w:pPr>
            <w:r>
              <w:rPr>
                <w:rFonts w:eastAsia="仿宋"/>
                <w:kern w:val="0"/>
                <w:sz w:val="21"/>
                <w:szCs w:val="21"/>
              </w:rPr>
              <w:t>地下水型</w:t>
            </w:r>
          </w:p>
        </w:tc>
        <w:tc>
          <w:tcPr>
            <w:tcW w:w="1559" w:type="dxa"/>
            <w:shd w:val="clear" w:color="auto" w:fill="auto"/>
            <w:vAlign w:val="center"/>
          </w:tcPr>
          <w:p w14:paraId="17FE5806">
            <w:pPr>
              <w:widowControl/>
              <w:jc w:val="center"/>
              <w:rPr>
                <w:rFonts w:eastAsia="仿宋"/>
                <w:kern w:val="0"/>
                <w:sz w:val="21"/>
                <w:szCs w:val="21"/>
              </w:rPr>
            </w:pPr>
            <w:r>
              <w:rPr>
                <w:rFonts w:eastAsia="仿宋"/>
                <w:sz w:val="21"/>
                <w:szCs w:val="21"/>
              </w:rPr>
              <w:t>E106.864765，N26.292153</w:t>
            </w:r>
          </w:p>
        </w:tc>
        <w:tc>
          <w:tcPr>
            <w:tcW w:w="709" w:type="dxa"/>
            <w:shd w:val="clear" w:color="auto" w:fill="auto"/>
            <w:vAlign w:val="center"/>
          </w:tcPr>
          <w:p w14:paraId="0659B29D">
            <w:pPr>
              <w:widowControl/>
              <w:jc w:val="center"/>
              <w:rPr>
                <w:rFonts w:eastAsia="仿宋"/>
                <w:kern w:val="0"/>
                <w:sz w:val="21"/>
                <w:szCs w:val="21"/>
              </w:rPr>
            </w:pPr>
            <w:r>
              <w:rPr>
                <w:rFonts w:eastAsia="仿宋"/>
                <w:kern w:val="0"/>
                <w:sz w:val="21"/>
                <w:szCs w:val="21"/>
              </w:rPr>
              <w:t>正常</w:t>
            </w:r>
          </w:p>
        </w:tc>
        <w:tc>
          <w:tcPr>
            <w:tcW w:w="1134" w:type="dxa"/>
            <w:shd w:val="clear" w:color="auto" w:fill="auto"/>
            <w:vAlign w:val="center"/>
          </w:tcPr>
          <w:p w14:paraId="10040D49">
            <w:pPr>
              <w:widowControl/>
              <w:jc w:val="center"/>
              <w:rPr>
                <w:rFonts w:eastAsia="仿宋"/>
                <w:kern w:val="0"/>
                <w:sz w:val="21"/>
                <w:szCs w:val="21"/>
              </w:rPr>
            </w:pPr>
            <w:r>
              <w:rPr>
                <w:rFonts w:eastAsia="仿宋"/>
                <w:kern w:val="0"/>
                <w:sz w:val="21"/>
                <w:szCs w:val="21"/>
              </w:rPr>
              <w:t>78.80</w:t>
            </w:r>
          </w:p>
        </w:tc>
        <w:tc>
          <w:tcPr>
            <w:tcW w:w="1276" w:type="dxa"/>
            <w:shd w:val="clear" w:color="auto" w:fill="auto"/>
            <w:vAlign w:val="center"/>
          </w:tcPr>
          <w:p w14:paraId="3092D5BF">
            <w:pPr>
              <w:widowControl/>
              <w:jc w:val="center"/>
              <w:rPr>
                <w:rFonts w:eastAsia="仿宋"/>
                <w:kern w:val="0"/>
                <w:sz w:val="21"/>
                <w:szCs w:val="21"/>
              </w:rPr>
            </w:pPr>
            <w:r>
              <w:rPr>
                <w:rFonts w:eastAsia="仿宋"/>
                <w:kern w:val="0"/>
                <w:sz w:val="21"/>
                <w:szCs w:val="21"/>
              </w:rPr>
              <w:t>501.06</w:t>
            </w:r>
          </w:p>
        </w:tc>
        <w:tc>
          <w:tcPr>
            <w:tcW w:w="1275" w:type="dxa"/>
            <w:shd w:val="clear" w:color="auto" w:fill="auto"/>
            <w:vAlign w:val="center"/>
          </w:tcPr>
          <w:p w14:paraId="465C0B1D">
            <w:pPr>
              <w:widowControl/>
              <w:jc w:val="center"/>
              <w:rPr>
                <w:rFonts w:eastAsia="仿宋"/>
                <w:kern w:val="0"/>
                <w:sz w:val="21"/>
                <w:szCs w:val="21"/>
              </w:rPr>
            </w:pPr>
            <w:r>
              <w:rPr>
                <w:rFonts w:eastAsia="仿宋"/>
                <w:kern w:val="0"/>
                <w:sz w:val="21"/>
                <w:szCs w:val="21"/>
              </w:rPr>
              <w:t>0</w:t>
            </w:r>
          </w:p>
        </w:tc>
      </w:tr>
      <w:tr w14:paraId="50E6190B">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953" w:hRule="atLeast"/>
        </w:trPr>
        <w:tc>
          <w:tcPr>
            <w:tcW w:w="603" w:type="dxa"/>
            <w:shd w:val="clear" w:color="auto" w:fill="auto"/>
            <w:vAlign w:val="center"/>
          </w:tcPr>
          <w:p w14:paraId="654F9C59">
            <w:pPr>
              <w:widowControl/>
              <w:jc w:val="center"/>
              <w:rPr>
                <w:rFonts w:eastAsia="仿宋"/>
                <w:kern w:val="0"/>
                <w:sz w:val="21"/>
                <w:szCs w:val="21"/>
              </w:rPr>
            </w:pPr>
            <w:r>
              <w:rPr>
                <w:rFonts w:eastAsia="仿宋"/>
                <w:kern w:val="0"/>
                <w:sz w:val="21"/>
                <w:szCs w:val="21"/>
              </w:rPr>
              <w:t>3</w:t>
            </w:r>
          </w:p>
        </w:tc>
        <w:tc>
          <w:tcPr>
            <w:tcW w:w="967" w:type="dxa"/>
            <w:shd w:val="clear" w:color="auto" w:fill="auto"/>
            <w:vAlign w:val="center"/>
          </w:tcPr>
          <w:p w14:paraId="5622AA04">
            <w:pPr>
              <w:widowControl/>
              <w:jc w:val="center"/>
              <w:rPr>
                <w:rFonts w:eastAsia="仿宋"/>
                <w:kern w:val="0"/>
                <w:sz w:val="21"/>
                <w:szCs w:val="21"/>
              </w:rPr>
            </w:pPr>
            <w:r>
              <w:rPr>
                <w:rFonts w:eastAsia="仿宋"/>
                <w:sz w:val="21"/>
                <w:szCs w:val="21"/>
              </w:rPr>
              <w:t>马铃乡麻窝坑水源</w:t>
            </w:r>
          </w:p>
        </w:tc>
        <w:tc>
          <w:tcPr>
            <w:tcW w:w="992" w:type="dxa"/>
            <w:shd w:val="clear" w:color="auto" w:fill="auto"/>
            <w:vAlign w:val="center"/>
          </w:tcPr>
          <w:p w14:paraId="278CE531">
            <w:pPr>
              <w:widowControl/>
              <w:jc w:val="center"/>
              <w:rPr>
                <w:rFonts w:eastAsia="仿宋"/>
                <w:kern w:val="0"/>
                <w:sz w:val="21"/>
                <w:szCs w:val="21"/>
              </w:rPr>
            </w:pPr>
            <w:r>
              <w:rPr>
                <w:rFonts w:eastAsia="仿宋"/>
                <w:kern w:val="0"/>
                <w:sz w:val="21"/>
                <w:szCs w:val="21"/>
              </w:rPr>
              <w:t>地下水型</w:t>
            </w:r>
          </w:p>
        </w:tc>
        <w:tc>
          <w:tcPr>
            <w:tcW w:w="1559" w:type="dxa"/>
            <w:shd w:val="clear" w:color="auto" w:fill="auto"/>
            <w:vAlign w:val="center"/>
          </w:tcPr>
          <w:p w14:paraId="0C53BC1F">
            <w:pPr>
              <w:widowControl/>
              <w:jc w:val="center"/>
              <w:rPr>
                <w:rFonts w:eastAsia="仿宋"/>
                <w:sz w:val="21"/>
                <w:szCs w:val="21"/>
              </w:rPr>
            </w:pPr>
            <w:r>
              <w:rPr>
                <w:rFonts w:eastAsia="仿宋"/>
                <w:sz w:val="21"/>
                <w:szCs w:val="21"/>
              </w:rPr>
              <w:t>E 106.577898，</w:t>
            </w:r>
          </w:p>
          <w:p w14:paraId="00F0AC2B">
            <w:pPr>
              <w:widowControl/>
              <w:jc w:val="center"/>
              <w:rPr>
                <w:rFonts w:eastAsia="仿宋"/>
                <w:kern w:val="0"/>
                <w:sz w:val="21"/>
                <w:szCs w:val="21"/>
              </w:rPr>
            </w:pPr>
            <w:r>
              <w:rPr>
                <w:rFonts w:eastAsia="仿宋"/>
                <w:sz w:val="21"/>
                <w:szCs w:val="21"/>
              </w:rPr>
              <w:t>N 26.273285</w:t>
            </w:r>
          </w:p>
        </w:tc>
        <w:tc>
          <w:tcPr>
            <w:tcW w:w="709" w:type="dxa"/>
            <w:shd w:val="clear" w:color="auto" w:fill="auto"/>
            <w:vAlign w:val="center"/>
          </w:tcPr>
          <w:p w14:paraId="606FBE3F">
            <w:pPr>
              <w:widowControl/>
              <w:jc w:val="center"/>
              <w:rPr>
                <w:rFonts w:eastAsia="仿宋"/>
                <w:kern w:val="0"/>
                <w:sz w:val="21"/>
                <w:szCs w:val="21"/>
              </w:rPr>
            </w:pPr>
            <w:r>
              <w:rPr>
                <w:rFonts w:eastAsia="仿宋"/>
                <w:kern w:val="0"/>
                <w:sz w:val="21"/>
                <w:szCs w:val="21"/>
              </w:rPr>
              <w:t>正常</w:t>
            </w:r>
          </w:p>
        </w:tc>
        <w:tc>
          <w:tcPr>
            <w:tcW w:w="1134" w:type="dxa"/>
            <w:shd w:val="clear" w:color="auto" w:fill="auto"/>
            <w:vAlign w:val="center"/>
          </w:tcPr>
          <w:p w14:paraId="648D89CA">
            <w:pPr>
              <w:widowControl/>
              <w:jc w:val="center"/>
              <w:rPr>
                <w:rFonts w:eastAsia="仿宋"/>
                <w:kern w:val="0"/>
                <w:sz w:val="21"/>
                <w:szCs w:val="21"/>
              </w:rPr>
            </w:pPr>
            <w:r>
              <w:rPr>
                <w:rFonts w:eastAsia="仿宋"/>
                <w:kern w:val="0"/>
                <w:sz w:val="21"/>
                <w:szCs w:val="21"/>
              </w:rPr>
              <w:t>1.10</w:t>
            </w:r>
          </w:p>
        </w:tc>
        <w:tc>
          <w:tcPr>
            <w:tcW w:w="1276" w:type="dxa"/>
            <w:shd w:val="clear" w:color="auto" w:fill="auto"/>
            <w:vAlign w:val="center"/>
          </w:tcPr>
          <w:p w14:paraId="7D998DD1">
            <w:pPr>
              <w:widowControl/>
              <w:jc w:val="center"/>
              <w:rPr>
                <w:rFonts w:eastAsia="仿宋"/>
                <w:kern w:val="0"/>
                <w:sz w:val="21"/>
                <w:szCs w:val="21"/>
              </w:rPr>
            </w:pPr>
            <w:r>
              <w:rPr>
                <w:rFonts w:eastAsia="仿宋"/>
                <w:kern w:val="0"/>
                <w:sz w:val="21"/>
                <w:szCs w:val="21"/>
              </w:rPr>
              <w:t>0</w:t>
            </w:r>
          </w:p>
        </w:tc>
        <w:tc>
          <w:tcPr>
            <w:tcW w:w="1275" w:type="dxa"/>
            <w:shd w:val="clear" w:color="auto" w:fill="auto"/>
            <w:vAlign w:val="center"/>
          </w:tcPr>
          <w:p w14:paraId="5E77EF35">
            <w:pPr>
              <w:widowControl/>
              <w:jc w:val="center"/>
              <w:rPr>
                <w:rFonts w:eastAsia="仿宋"/>
                <w:kern w:val="0"/>
                <w:sz w:val="21"/>
                <w:szCs w:val="21"/>
              </w:rPr>
            </w:pPr>
            <w:r>
              <w:rPr>
                <w:rFonts w:eastAsia="仿宋"/>
                <w:kern w:val="0"/>
                <w:sz w:val="21"/>
                <w:szCs w:val="21"/>
              </w:rPr>
              <w:t>0</w:t>
            </w:r>
          </w:p>
        </w:tc>
      </w:tr>
      <w:tr w14:paraId="22D7FC9B">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963" w:hRule="atLeast"/>
        </w:trPr>
        <w:tc>
          <w:tcPr>
            <w:tcW w:w="603" w:type="dxa"/>
            <w:shd w:val="clear" w:color="auto" w:fill="auto"/>
            <w:vAlign w:val="center"/>
          </w:tcPr>
          <w:p w14:paraId="6D509432">
            <w:pPr>
              <w:widowControl/>
              <w:jc w:val="center"/>
              <w:rPr>
                <w:rFonts w:eastAsia="仿宋"/>
                <w:kern w:val="0"/>
                <w:sz w:val="21"/>
                <w:szCs w:val="21"/>
              </w:rPr>
            </w:pPr>
            <w:r>
              <w:rPr>
                <w:rFonts w:eastAsia="仿宋"/>
                <w:kern w:val="0"/>
                <w:sz w:val="21"/>
                <w:szCs w:val="21"/>
              </w:rPr>
              <w:t>4</w:t>
            </w:r>
          </w:p>
        </w:tc>
        <w:tc>
          <w:tcPr>
            <w:tcW w:w="967" w:type="dxa"/>
            <w:shd w:val="clear" w:color="auto" w:fill="auto"/>
            <w:vAlign w:val="center"/>
          </w:tcPr>
          <w:p w14:paraId="4D41FB11">
            <w:pPr>
              <w:widowControl/>
              <w:jc w:val="center"/>
              <w:rPr>
                <w:rFonts w:eastAsia="仿宋"/>
                <w:kern w:val="0"/>
                <w:sz w:val="21"/>
                <w:szCs w:val="21"/>
              </w:rPr>
            </w:pPr>
            <w:r>
              <w:rPr>
                <w:rFonts w:eastAsia="仿宋"/>
                <w:kern w:val="0"/>
                <w:sz w:val="21"/>
                <w:szCs w:val="21"/>
              </w:rPr>
              <w:t>青岩镇海爬井水源</w:t>
            </w:r>
          </w:p>
        </w:tc>
        <w:tc>
          <w:tcPr>
            <w:tcW w:w="992" w:type="dxa"/>
            <w:shd w:val="clear" w:color="auto" w:fill="auto"/>
            <w:vAlign w:val="center"/>
          </w:tcPr>
          <w:p w14:paraId="353947E8">
            <w:pPr>
              <w:widowControl/>
              <w:jc w:val="center"/>
              <w:rPr>
                <w:rFonts w:eastAsia="仿宋"/>
                <w:kern w:val="0"/>
                <w:sz w:val="21"/>
                <w:szCs w:val="21"/>
              </w:rPr>
            </w:pPr>
            <w:r>
              <w:rPr>
                <w:rFonts w:eastAsia="仿宋"/>
                <w:kern w:val="0"/>
                <w:sz w:val="21"/>
                <w:szCs w:val="21"/>
              </w:rPr>
              <w:t>地下水型</w:t>
            </w:r>
          </w:p>
        </w:tc>
        <w:tc>
          <w:tcPr>
            <w:tcW w:w="1559" w:type="dxa"/>
            <w:shd w:val="clear" w:color="auto" w:fill="auto"/>
            <w:vAlign w:val="center"/>
          </w:tcPr>
          <w:p w14:paraId="19338F25">
            <w:pPr>
              <w:widowControl/>
              <w:jc w:val="center"/>
              <w:rPr>
                <w:rFonts w:eastAsia="仿宋"/>
                <w:kern w:val="0"/>
                <w:sz w:val="21"/>
                <w:szCs w:val="21"/>
              </w:rPr>
            </w:pPr>
            <w:r>
              <w:rPr>
                <w:rFonts w:eastAsia="仿宋"/>
                <w:sz w:val="21"/>
                <w:szCs w:val="21"/>
              </w:rPr>
              <w:t>E106.707283，N26.382208</w:t>
            </w:r>
          </w:p>
        </w:tc>
        <w:tc>
          <w:tcPr>
            <w:tcW w:w="709" w:type="dxa"/>
            <w:shd w:val="clear" w:color="auto" w:fill="auto"/>
            <w:vAlign w:val="center"/>
          </w:tcPr>
          <w:p w14:paraId="41024287">
            <w:pPr>
              <w:widowControl/>
              <w:jc w:val="center"/>
              <w:rPr>
                <w:rFonts w:eastAsia="仿宋"/>
                <w:kern w:val="0"/>
                <w:sz w:val="21"/>
                <w:szCs w:val="21"/>
              </w:rPr>
            </w:pPr>
            <w:r>
              <w:rPr>
                <w:rFonts w:eastAsia="仿宋"/>
                <w:kern w:val="0"/>
                <w:sz w:val="21"/>
                <w:szCs w:val="21"/>
              </w:rPr>
              <w:t>正常</w:t>
            </w:r>
          </w:p>
        </w:tc>
        <w:tc>
          <w:tcPr>
            <w:tcW w:w="1134" w:type="dxa"/>
            <w:shd w:val="clear" w:color="auto" w:fill="auto"/>
            <w:vAlign w:val="center"/>
          </w:tcPr>
          <w:p w14:paraId="72CD25E3">
            <w:pPr>
              <w:widowControl/>
              <w:jc w:val="center"/>
              <w:rPr>
                <w:rFonts w:eastAsia="仿宋"/>
                <w:kern w:val="0"/>
                <w:sz w:val="21"/>
                <w:szCs w:val="21"/>
              </w:rPr>
            </w:pPr>
            <w:r>
              <w:rPr>
                <w:rFonts w:eastAsia="仿宋"/>
                <w:kern w:val="0"/>
                <w:sz w:val="21"/>
                <w:szCs w:val="21"/>
              </w:rPr>
              <w:t>4.03</w:t>
            </w:r>
          </w:p>
        </w:tc>
        <w:tc>
          <w:tcPr>
            <w:tcW w:w="1276" w:type="dxa"/>
            <w:shd w:val="clear" w:color="auto" w:fill="auto"/>
            <w:vAlign w:val="center"/>
          </w:tcPr>
          <w:p w14:paraId="4630DC6B">
            <w:pPr>
              <w:widowControl/>
              <w:jc w:val="center"/>
              <w:rPr>
                <w:rFonts w:eastAsia="仿宋"/>
                <w:kern w:val="0"/>
                <w:sz w:val="21"/>
                <w:szCs w:val="21"/>
              </w:rPr>
            </w:pPr>
            <w:r>
              <w:rPr>
                <w:rFonts w:eastAsia="仿宋"/>
                <w:kern w:val="0"/>
                <w:sz w:val="21"/>
                <w:szCs w:val="21"/>
              </w:rPr>
              <w:t>23.07</w:t>
            </w:r>
          </w:p>
        </w:tc>
        <w:tc>
          <w:tcPr>
            <w:tcW w:w="1275" w:type="dxa"/>
            <w:shd w:val="clear" w:color="auto" w:fill="auto"/>
            <w:vAlign w:val="center"/>
          </w:tcPr>
          <w:p w14:paraId="4D15043E">
            <w:pPr>
              <w:widowControl/>
              <w:jc w:val="center"/>
              <w:rPr>
                <w:rFonts w:eastAsia="仿宋"/>
                <w:kern w:val="0"/>
                <w:sz w:val="21"/>
                <w:szCs w:val="21"/>
              </w:rPr>
            </w:pPr>
            <w:r>
              <w:rPr>
                <w:rFonts w:eastAsia="仿宋"/>
                <w:kern w:val="0"/>
                <w:sz w:val="21"/>
                <w:szCs w:val="21"/>
              </w:rPr>
              <w:t>0</w:t>
            </w:r>
          </w:p>
        </w:tc>
      </w:tr>
      <w:tr w14:paraId="463F36F0">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963" w:hRule="atLeast"/>
        </w:trPr>
        <w:tc>
          <w:tcPr>
            <w:tcW w:w="603" w:type="dxa"/>
            <w:shd w:val="clear" w:color="auto" w:fill="auto"/>
            <w:vAlign w:val="center"/>
          </w:tcPr>
          <w:p w14:paraId="60B43A5A">
            <w:pPr>
              <w:widowControl/>
              <w:jc w:val="center"/>
              <w:rPr>
                <w:rFonts w:eastAsia="仿宋"/>
                <w:kern w:val="0"/>
                <w:sz w:val="21"/>
                <w:szCs w:val="21"/>
              </w:rPr>
            </w:pPr>
            <w:r>
              <w:rPr>
                <w:rFonts w:eastAsia="仿宋"/>
                <w:kern w:val="0"/>
                <w:sz w:val="21"/>
                <w:szCs w:val="21"/>
              </w:rPr>
              <w:t>5</w:t>
            </w:r>
          </w:p>
        </w:tc>
        <w:tc>
          <w:tcPr>
            <w:tcW w:w="967" w:type="dxa"/>
            <w:shd w:val="clear" w:color="auto" w:fill="auto"/>
            <w:vAlign w:val="center"/>
          </w:tcPr>
          <w:p w14:paraId="48BF6C4D">
            <w:pPr>
              <w:widowControl/>
              <w:jc w:val="center"/>
              <w:rPr>
                <w:rFonts w:eastAsia="仿宋"/>
                <w:kern w:val="0"/>
                <w:sz w:val="21"/>
                <w:szCs w:val="21"/>
              </w:rPr>
            </w:pPr>
            <w:r>
              <w:rPr>
                <w:rFonts w:eastAsia="仿宋"/>
                <w:kern w:val="0"/>
                <w:sz w:val="21"/>
                <w:szCs w:val="21"/>
              </w:rPr>
              <w:t>青岩镇龙井沟水源</w:t>
            </w:r>
          </w:p>
        </w:tc>
        <w:tc>
          <w:tcPr>
            <w:tcW w:w="992" w:type="dxa"/>
            <w:shd w:val="clear" w:color="auto" w:fill="auto"/>
            <w:vAlign w:val="center"/>
          </w:tcPr>
          <w:p w14:paraId="41058093">
            <w:pPr>
              <w:widowControl/>
              <w:jc w:val="center"/>
              <w:rPr>
                <w:rFonts w:eastAsia="仿宋"/>
                <w:kern w:val="0"/>
                <w:sz w:val="21"/>
                <w:szCs w:val="21"/>
              </w:rPr>
            </w:pPr>
            <w:r>
              <w:rPr>
                <w:rFonts w:eastAsia="仿宋"/>
                <w:kern w:val="0"/>
                <w:sz w:val="21"/>
                <w:szCs w:val="21"/>
              </w:rPr>
              <w:t>地下水型</w:t>
            </w:r>
          </w:p>
        </w:tc>
        <w:tc>
          <w:tcPr>
            <w:tcW w:w="1559" w:type="dxa"/>
            <w:shd w:val="clear" w:color="auto" w:fill="auto"/>
            <w:vAlign w:val="center"/>
          </w:tcPr>
          <w:p w14:paraId="3AA601CC">
            <w:pPr>
              <w:widowControl/>
              <w:jc w:val="center"/>
              <w:rPr>
                <w:rFonts w:eastAsia="仿宋"/>
                <w:sz w:val="21"/>
                <w:szCs w:val="21"/>
                <w:shd w:val="clear" w:color="auto" w:fill="FFFFFF"/>
              </w:rPr>
            </w:pPr>
            <w:r>
              <w:rPr>
                <w:rFonts w:eastAsia="仿宋"/>
                <w:sz w:val="21"/>
                <w:szCs w:val="21"/>
              </w:rPr>
              <w:t>E106.685946，N26.30767</w:t>
            </w:r>
          </w:p>
        </w:tc>
        <w:tc>
          <w:tcPr>
            <w:tcW w:w="709" w:type="dxa"/>
            <w:shd w:val="clear" w:color="auto" w:fill="auto"/>
            <w:vAlign w:val="center"/>
          </w:tcPr>
          <w:p w14:paraId="25C99350">
            <w:pPr>
              <w:widowControl/>
              <w:jc w:val="center"/>
              <w:rPr>
                <w:rFonts w:eastAsia="仿宋"/>
                <w:kern w:val="0"/>
                <w:sz w:val="21"/>
                <w:szCs w:val="21"/>
              </w:rPr>
            </w:pPr>
            <w:r>
              <w:rPr>
                <w:rFonts w:eastAsia="仿宋"/>
                <w:kern w:val="0"/>
                <w:sz w:val="21"/>
                <w:szCs w:val="21"/>
              </w:rPr>
              <w:t>正常</w:t>
            </w:r>
          </w:p>
        </w:tc>
        <w:tc>
          <w:tcPr>
            <w:tcW w:w="1134" w:type="dxa"/>
            <w:shd w:val="clear" w:color="auto" w:fill="auto"/>
            <w:vAlign w:val="center"/>
          </w:tcPr>
          <w:p w14:paraId="38B6CD0C">
            <w:pPr>
              <w:widowControl/>
              <w:jc w:val="center"/>
              <w:rPr>
                <w:rFonts w:eastAsia="仿宋"/>
                <w:kern w:val="0"/>
                <w:sz w:val="21"/>
                <w:szCs w:val="21"/>
              </w:rPr>
            </w:pPr>
            <w:r>
              <w:rPr>
                <w:rFonts w:eastAsia="仿宋"/>
                <w:kern w:val="0"/>
                <w:sz w:val="21"/>
                <w:szCs w:val="21"/>
              </w:rPr>
              <w:t>0.30</w:t>
            </w:r>
          </w:p>
        </w:tc>
        <w:tc>
          <w:tcPr>
            <w:tcW w:w="1276" w:type="dxa"/>
            <w:shd w:val="clear" w:color="auto" w:fill="auto"/>
            <w:vAlign w:val="center"/>
          </w:tcPr>
          <w:p w14:paraId="0EA723F2">
            <w:pPr>
              <w:widowControl/>
              <w:jc w:val="center"/>
              <w:rPr>
                <w:rFonts w:eastAsia="仿宋"/>
                <w:kern w:val="0"/>
                <w:sz w:val="21"/>
                <w:szCs w:val="21"/>
              </w:rPr>
            </w:pPr>
            <w:r>
              <w:rPr>
                <w:rFonts w:eastAsia="仿宋"/>
                <w:kern w:val="0"/>
                <w:sz w:val="21"/>
                <w:szCs w:val="21"/>
              </w:rPr>
              <w:t>30.61</w:t>
            </w:r>
          </w:p>
        </w:tc>
        <w:tc>
          <w:tcPr>
            <w:tcW w:w="1275" w:type="dxa"/>
            <w:shd w:val="clear" w:color="auto" w:fill="auto"/>
            <w:vAlign w:val="center"/>
          </w:tcPr>
          <w:p w14:paraId="37836B09">
            <w:pPr>
              <w:widowControl/>
              <w:jc w:val="center"/>
              <w:rPr>
                <w:rFonts w:eastAsia="仿宋"/>
                <w:kern w:val="0"/>
                <w:sz w:val="21"/>
                <w:szCs w:val="21"/>
              </w:rPr>
            </w:pPr>
            <w:r>
              <w:rPr>
                <w:rFonts w:eastAsia="仿宋"/>
                <w:kern w:val="0"/>
                <w:sz w:val="21"/>
                <w:szCs w:val="21"/>
              </w:rPr>
              <w:t>0</w:t>
            </w:r>
          </w:p>
        </w:tc>
      </w:tr>
      <w:tr w14:paraId="007EB12E">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963" w:hRule="atLeast"/>
        </w:trPr>
        <w:tc>
          <w:tcPr>
            <w:tcW w:w="603" w:type="dxa"/>
            <w:shd w:val="clear" w:color="auto" w:fill="auto"/>
            <w:vAlign w:val="center"/>
          </w:tcPr>
          <w:p w14:paraId="49E799A6">
            <w:pPr>
              <w:widowControl/>
              <w:jc w:val="center"/>
              <w:rPr>
                <w:rFonts w:eastAsia="仿宋"/>
                <w:kern w:val="0"/>
                <w:sz w:val="21"/>
                <w:szCs w:val="21"/>
              </w:rPr>
            </w:pPr>
            <w:r>
              <w:rPr>
                <w:rFonts w:eastAsia="仿宋"/>
                <w:kern w:val="0"/>
                <w:sz w:val="21"/>
                <w:szCs w:val="21"/>
              </w:rPr>
              <w:t>6</w:t>
            </w:r>
          </w:p>
        </w:tc>
        <w:tc>
          <w:tcPr>
            <w:tcW w:w="967" w:type="dxa"/>
            <w:shd w:val="clear" w:color="auto" w:fill="auto"/>
            <w:vAlign w:val="center"/>
          </w:tcPr>
          <w:p w14:paraId="246B21EB">
            <w:pPr>
              <w:widowControl/>
              <w:jc w:val="center"/>
              <w:rPr>
                <w:rFonts w:eastAsia="仿宋"/>
                <w:kern w:val="0"/>
                <w:sz w:val="21"/>
                <w:szCs w:val="21"/>
              </w:rPr>
            </w:pPr>
            <w:r>
              <w:rPr>
                <w:rFonts w:eastAsia="仿宋"/>
                <w:kern w:val="0"/>
                <w:sz w:val="21"/>
                <w:szCs w:val="21"/>
              </w:rPr>
              <w:t>青岩镇龙潭水源</w:t>
            </w:r>
          </w:p>
        </w:tc>
        <w:tc>
          <w:tcPr>
            <w:tcW w:w="992" w:type="dxa"/>
            <w:shd w:val="clear" w:color="auto" w:fill="auto"/>
            <w:vAlign w:val="center"/>
          </w:tcPr>
          <w:p w14:paraId="5E058DBA">
            <w:pPr>
              <w:widowControl/>
              <w:jc w:val="center"/>
              <w:rPr>
                <w:rFonts w:eastAsia="仿宋"/>
                <w:kern w:val="0"/>
                <w:sz w:val="21"/>
                <w:szCs w:val="21"/>
              </w:rPr>
            </w:pPr>
            <w:r>
              <w:rPr>
                <w:rFonts w:eastAsia="仿宋"/>
                <w:kern w:val="0"/>
                <w:sz w:val="21"/>
                <w:szCs w:val="21"/>
              </w:rPr>
              <w:t>地下水型</w:t>
            </w:r>
          </w:p>
        </w:tc>
        <w:tc>
          <w:tcPr>
            <w:tcW w:w="1559" w:type="dxa"/>
            <w:shd w:val="clear" w:color="auto" w:fill="auto"/>
            <w:vAlign w:val="center"/>
          </w:tcPr>
          <w:p w14:paraId="5C00A14E">
            <w:pPr>
              <w:widowControl/>
              <w:jc w:val="center"/>
              <w:rPr>
                <w:rFonts w:eastAsia="仿宋"/>
                <w:sz w:val="21"/>
                <w:szCs w:val="21"/>
                <w:shd w:val="clear" w:color="auto" w:fill="FFFFFF"/>
              </w:rPr>
            </w:pPr>
            <w:r>
              <w:rPr>
                <w:rFonts w:eastAsia="仿宋"/>
                <w:sz w:val="21"/>
                <w:szCs w:val="21"/>
              </w:rPr>
              <w:t>E106.64627，N26.297356</w:t>
            </w:r>
          </w:p>
        </w:tc>
        <w:tc>
          <w:tcPr>
            <w:tcW w:w="709" w:type="dxa"/>
            <w:shd w:val="clear" w:color="auto" w:fill="auto"/>
            <w:vAlign w:val="center"/>
          </w:tcPr>
          <w:p w14:paraId="3B1072FB">
            <w:pPr>
              <w:widowControl/>
              <w:jc w:val="center"/>
              <w:rPr>
                <w:rFonts w:eastAsia="仿宋"/>
                <w:kern w:val="0"/>
                <w:sz w:val="21"/>
                <w:szCs w:val="21"/>
              </w:rPr>
            </w:pPr>
            <w:r>
              <w:rPr>
                <w:rFonts w:eastAsia="仿宋"/>
                <w:kern w:val="0"/>
                <w:sz w:val="21"/>
                <w:szCs w:val="21"/>
              </w:rPr>
              <w:t>正常</w:t>
            </w:r>
          </w:p>
        </w:tc>
        <w:tc>
          <w:tcPr>
            <w:tcW w:w="1134" w:type="dxa"/>
            <w:shd w:val="clear" w:color="auto" w:fill="auto"/>
            <w:vAlign w:val="center"/>
          </w:tcPr>
          <w:p w14:paraId="36925315">
            <w:pPr>
              <w:widowControl/>
              <w:jc w:val="center"/>
              <w:rPr>
                <w:rFonts w:eastAsia="仿宋"/>
                <w:kern w:val="0"/>
                <w:sz w:val="21"/>
                <w:szCs w:val="21"/>
              </w:rPr>
            </w:pPr>
            <w:r>
              <w:rPr>
                <w:rFonts w:eastAsia="仿宋"/>
                <w:kern w:val="0"/>
                <w:sz w:val="21"/>
                <w:szCs w:val="21"/>
              </w:rPr>
              <w:t>23.38</w:t>
            </w:r>
          </w:p>
        </w:tc>
        <w:tc>
          <w:tcPr>
            <w:tcW w:w="1276" w:type="dxa"/>
            <w:shd w:val="clear" w:color="auto" w:fill="auto"/>
            <w:vAlign w:val="center"/>
          </w:tcPr>
          <w:p w14:paraId="511805A4">
            <w:pPr>
              <w:widowControl/>
              <w:jc w:val="center"/>
              <w:rPr>
                <w:rFonts w:eastAsia="仿宋"/>
                <w:kern w:val="0"/>
                <w:sz w:val="21"/>
                <w:szCs w:val="21"/>
              </w:rPr>
            </w:pPr>
            <w:r>
              <w:rPr>
                <w:rFonts w:eastAsia="仿宋"/>
                <w:kern w:val="0"/>
                <w:sz w:val="21"/>
                <w:szCs w:val="21"/>
              </w:rPr>
              <w:t>288.51</w:t>
            </w:r>
          </w:p>
        </w:tc>
        <w:tc>
          <w:tcPr>
            <w:tcW w:w="1275" w:type="dxa"/>
            <w:shd w:val="clear" w:color="auto" w:fill="auto"/>
            <w:vAlign w:val="center"/>
          </w:tcPr>
          <w:p w14:paraId="31687C8D">
            <w:pPr>
              <w:widowControl/>
              <w:jc w:val="center"/>
              <w:rPr>
                <w:rFonts w:eastAsia="仿宋"/>
                <w:kern w:val="0"/>
                <w:sz w:val="21"/>
                <w:szCs w:val="21"/>
              </w:rPr>
            </w:pPr>
            <w:r>
              <w:rPr>
                <w:rFonts w:eastAsia="仿宋"/>
                <w:kern w:val="0"/>
                <w:sz w:val="21"/>
                <w:szCs w:val="21"/>
              </w:rPr>
              <w:t>0</w:t>
            </w:r>
          </w:p>
        </w:tc>
      </w:tr>
      <w:tr w14:paraId="4419B859">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953" w:hRule="atLeast"/>
        </w:trPr>
        <w:tc>
          <w:tcPr>
            <w:tcW w:w="603" w:type="dxa"/>
            <w:shd w:val="clear" w:color="auto" w:fill="auto"/>
            <w:vAlign w:val="center"/>
          </w:tcPr>
          <w:p w14:paraId="5533FF8A">
            <w:pPr>
              <w:widowControl/>
              <w:jc w:val="center"/>
              <w:rPr>
                <w:rFonts w:eastAsia="仿宋"/>
                <w:kern w:val="0"/>
                <w:sz w:val="21"/>
                <w:szCs w:val="21"/>
              </w:rPr>
            </w:pPr>
            <w:r>
              <w:rPr>
                <w:rFonts w:eastAsia="仿宋"/>
                <w:kern w:val="0"/>
                <w:sz w:val="21"/>
                <w:szCs w:val="21"/>
              </w:rPr>
              <w:t>7</w:t>
            </w:r>
          </w:p>
        </w:tc>
        <w:tc>
          <w:tcPr>
            <w:tcW w:w="967" w:type="dxa"/>
            <w:shd w:val="clear" w:color="auto" w:fill="auto"/>
            <w:vAlign w:val="center"/>
          </w:tcPr>
          <w:p w14:paraId="6BFF9A83">
            <w:pPr>
              <w:widowControl/>
              <w:jc w:val="center"/>
              <w:rPr>
                <w:rFonts w:eastAsia="仿宋"/>
                <w:kern w:val="0"/>
                <w:sz w:val="21"/>
                <w:szCs w:val="21"/>
              </w:rPr>
            </w:pPr>
            <w:r>
              <w:rPr>
                <w:rFonts w:eastAsia="仿宋"/>
                <w:sz w:val="21"/>
                <w:szCs w:val="21"/>
              </w:rPr>
              <w:t>燕楼镇燕鲁小燕河</w:t>
            </w:r>
          </w:p>
        </w:tc>
        <w:tc>
          <w:tcPr>
            <w:tcW w:w="992" w:type="dxa"/>
            <w:shd w:val="clear" w:color="auto" w:fill="auto"/>
            <w:vAlign w:val="center"/>
          </w:tcPr>
          <w:p w14:paraId="098D89C6">
            <w:pPr>
              <w:widowControl/>
              <w:jc w:val="center"/>
              <w:rPr>
                <w:rFonts w:eastAsia="仿宋"/>
                <w:kern w:val="0"/>
                <w:sz w:val="21"/>
                <w:szCs w:val="21"/>
              </w:rPr>
            </w:pPr>
            <w:r>
              <w:rPr>
                <w:rFonts w:eastAsia="仿宋"/>
                <w:kern w:val="0"/>
                <w:sz w:val="21"/>
                <w:szCs w:val="21"/>
              </w:rPr>
              <w:t>地下水型</w:t>
            </w:r>
          </w:p>
        </w:tc>
        <w:tc>
          <w:tcPr>
            <w:tcW w:w="1559" w:type="dxa"/>
            <w:shd w:val="clear" w:color="auto" w:fill="auto"/>
            <w:vAlign w:val="center"/>
          </w:tcPr>
          <w:p w14:paraId="1E74347B">
            <w:pPr>
              <w:widowControl/>
              <w:jc w:val="center"/>
              <w:rPr>
                <w:rFonts w:eastAsia="仿宋"/>
                <w:sz w:val="21"/>
                <w:szCs w:val="21"/>
              </w:rPr>
            </w:pPr>
            <w:r>
              <w:rPr>
                <w:rFonts w:eastAsia="仿宋"/>
                <w:sz w:val="21"/>
                <w:szCs w:val="21"/>
              </w:rPr>
              <w:t>E 106.603896，</w:t>
            </w:r>
          </w:p>
          <w:p w14:paraId="4EA200AC">
            <w:pPr>
              <w:widowControl/>
              <w:rPr>
                <w:rFonts w:eastAsia="仿宋"/>
                <w:spacing w:val="-8"/>
                <w:sz w:val="21"/>
                <w:szCs w:val="21"/>
              </w:rPr>
            </w:pPr>
            <w:r>
              <w:rPr>
                <w:rFonts w:eastAsia="仿宋"/>
                <w:sz w:val="21"/>
                <w:szCs w:val="21"/>
              </w:rPr>
              <w:t xml:space="preserve"> N 26.240703</w:t>
            </w:r>
          </w:p>
        </w:tc>
        <w:tc>
          <w:tcPr>
            <w:tcW w:w="709" w:type="dxa"/>
            <w:shd w:val="clear" w:color="auto" w:fill="auto"/>
            <w:vAlign w:val="center"/>
          </w:tcPr>
          <w:p w14:paraId="6FBC68E9">
            <w:pPr>
              <w:widowControl/>
              <w:jc w:val="center"/>
              <w:rPr>
                <w:rFonts w:eastAsia="仿宋"/>
                <w:kern w:val="0"/>
                <w:sz w:val="21"/>
                <w:szCs w:val="21"/>
              </w:rPr>
            </w:pPr>
            <w:r>
              <w:rPr>
                <w:rFonts w:eastAsia="仿宋"/>
                <w:kern w:val="0"/>
                <w:sz w:val="21"/>
                <w:szCs w:val="21"/>
              </w:rPr>
              <w:t>正常</w:t>
            </w:r>
          </w:p>
        </w:tc>
        <w:tc>
          <w:tcPr>
            <w:tcW w:w="1134" w:type="dxa"/>
            <w:shd w:val="clear" w:color="auto" w:fill="auto"/>
            <w:vAlign w:val="center"/>
          </w:tcPr>
          <w:p w14:paraId="4C5E21F7">
            <w:pPr>
              <w:widowControl/>
              <w:jc w:val="center"/>
              <w:rPr>
                <w:rFonts w:eastAsia="仿宋"/>
                <w:kern w:val="0"/>
                <w:sz w:val="21"/>
                <w:szCs w:val="21"/>
              </w:rPr>
            </w:pPr>
            <w:r>
              <w:rPr>
                <w:rFonts w:eastAsia="仿宋"/>
                <w:kern w:val="0"/>
                <w:sz w:val="21"/>
                <w:szCs w:val="21"/>
              </w:rPr>
              <w:t>5.51</w:t>
            </w:r>
          </w:p>
        </w:tc>
        <w:tc>
          <w:tcPr>
            <w:tcW w:w="1276" w:type="dxa"/>
            <w:shd w:val="clear" w:color="auto" w:fill="auto"/>
            <w:vAlign w:val="center"/>
          </w:tcPr>
          <w:p w14:paraId="5A9CB244">
            <w:pPr>
              <w:widowControl/>
              <w:jc w:val="center"/>
              <w:rPr>
                <w:rFonts w:eastAsia="仿宋"/>
                <w:kern w:val="0"/>
                <w:sz w:val="21"/>
                <w:szCs w:val="21"/>
              </w:rPr>
            </w:pPr>
            <w:r>
              <w:rPr>
                <w:rFonts w:eastAsia="仿宋"/>
                <w:kern w:val="0"/>
                <w:sz w:val="21"/>
                <w:szCs w:val="21"/>
              </w:rPr>
              <w:t>36.44</w:t>
            </w:r>
          </w:p>
        </w:tc>
        <w:tc>
          <w:tcPr>
            <w:tcW w:w="1275" w:type="dxa"/>
            <w:shd w:val="clear" w:color="auto" w:fill="auto"/>
            <w:vAlign w:val="center"/>
          </w:tcPr>
          <w:p w14:paraId="43722EA9">
            <w:pPr>
              <w:widowControl/>
              <w:jc w:val="center"/>
              <w:rPr>
                <w:rFonts w:eastAsia="仿宋"/>
                <w:kern w:val="0"/>
                <w:sz w:val="21"/>
                <w:szCs w:val="21"/>
              </w:rPr>
            </w:pPr>
            <w:r>
              <w:rPr>
                <w:rFonts w:eastAsia="仿宋"/>
                <w:kern w:val="0"/>
                <w:sz w:val="21"/>
                <w:szCs w:val="21"/>
              </w:rPr>
              <w:t>0</w:t>
            </w:r>
          </w:p>
        </w:tc>
      </w:tr>
      <w:tr w14:paraId="7C327A1A">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953" w:hRule="atLeast"/>
        </w:trPr>
        <w:tc>
          <w:tcPr>
            <w:tcW w:w="603" w:type="dxa"/>
            <w:shd w:val="clear" w:color="auto" w:fill="auto"/>
            <w:vAlign w:val="center"/>
          </w:tcPr>
          <w:p w14:paraId="0CE4AC0E">
            <w:pPr>
              <w:widowControl/>
              <w:jc w:val="center"/>
              <w:rPr>
                <w:rFonts w:eastAsia="仿宋"/>
                <w:kern w:val="0"/>
                <w:sz w:val="21"/>
                <w:szCs w:val="21"/>
              </w:rPr>
            </w:pPr>
            <w:r>
              <w:rPr>
                <w:rFonts w:hint="eastAsia" w:eastAsia="仿宋"/>
                <w:kern w:val="0"/>
                <w:sz w:val="21"/>
                <w:szCs w:val="21"/>
              </w:rPr>
              <w:t>8</w:t>
            </w:r>
          </w:p>
        </w:tc>
        <w:tc>
          <w:tcPr>
            <w:tcW w:w="967" w:type="dxa"/>
            <w:shd w:val="clear" w:color="auto" w:fill="auto"/>
            <w:vAlign w:val="center"/>
          </w:tcPr>
          <w:p w14:paraId="52CC609D">
            <w:pPr>
              <w:widowControl/>
              <w:jc w:val="center"/>
              <w:rPr>
                <w:rFonts w:eastAsia="仿宋"/>
                <w:sz w:val="21"/>
                <w:szCs w:val="21"/>
              </w:rPr>
            </w:pPr>
            <w:r>
              <w:rPr>
                <w:rFonts w:hint="eastAsia" w:eastAsia="仿宋"/>
                <w:sz w:val="21"/>
                <w:szCs w:val="21"/>
              </w:rPr>
              <w:t>黔陶乡九眼井水源</w:t>
            </w:r>
          </w:p>
        </w:tc>
        <w:tc>
          <w:tcPr>
            <w:tcW w:w="992" w:type="dxa"/>
            <w:shd w:val="clear" w:color="auto" w:fill="auto"/>
            <w:vAlign w:val="center"/>
          </w:tcPr>
          <w:p w14:paraId="559BAD2C">
            <w:pPr>
              <w:widowControl/>
              <w:jc w:val="center"/>
              <w:rPr>
                <w:rFonts w:eastAsia="仿宋"/>
                <w:kern w:val="0"/>
                <w:sz w:val="21"/>
                <w:szCs w:val="21"/>
              </w:rPr>
            </w:pPr>
            <w:r>
              <w:rPr>
                <w:rFonts w:eastAsia="仿宋"/>
                <w:kern w:val="0"/>
                <w:sz w:val="21"/>
                <w:szCs w:val="21"/>
              </w:rPr>
              <w:t>地下水型</w:t>
            </w:r>
          </w:p>
        </w:tc>
        <w:tc>
          <w:tcPr>
            <w:tcW w:w="1559" w:type="dxa"/>
            <w:shd w:val="clear" w:color="auto" w:fill="auto"/>
            <w:vAlign w:val="center"/>
          </w:tcPr>
          <w:p w14:paraId="46BB185A">
            <w:pPr>
              <w:widowControl/>
              <w:jc w:val="center"/>
              <w:rPr>
                <w:rFonts w:eastAsia="仿宋_GB2312"/>
                <w:spacing w:val="-8"/>
                <w:sz w:val="21"/>
                <w:szCs w:val="21"/>
              </w:rPr>
            </w:pPr>
            <w:r>
              <w:rPr>
                <w:rFonts w:eastAsia="仿宋"/>
                <w:sz w:val="21"/>
                <w:szCs w:val="21"/>
              </w:rPr>
              <w:t xml:space="preserve">E </w:t>
            </w:r>
            <w:r>
              <w:rPr>
                <w:rFonts w:eastAsia="仿宋_GB2312"/>
                <w:spacing w:val="-8"/>
                <w:sz w:val="21"/>
                <w:szCs w:val="21"/>
              </w:rPr>
              <w:t>106°43'39.54"，</w:t>
            </w:r>
          </w:p>
          <w:p w14:paraId="26D90500">
            <w:pPr>
              <w:widowControl/>
              <w:jc w:val="center"/>
              <w:rPr>
                <w:rFonts w:eastAsia="仿宋"/>
                <w:sz w:val="21"/>
                <w:szCs w:val="21"/>
              </w:rPr>
            </w:pPr>
            <w:r>
              <w:rPr>
                <w:rFonts w:eastAsia="仿宋"/>
                <w:sz w:val="21"/>
                <w:szCs w:val="21"/>
              </w:rPr>
              <w:t xml:space="preserve">N </w:t>
            </w:r>
            <w:r>
              <w:rPr>
                <w:rFonts w:eastAsia="仿宋_GB2312"/>
                <w:spacing w:val="-8"/>
                <w:sz w:val="21"/>
                <w:szCs w:val="21"/>
              </w:rPr>
              <w:t>26°20'42.06"</w:t>
            </w:r>
          </w:p>
        </w:tc>
        <w:tc>
          <w:tcPr>
            <w:tcW w:w="709" w:type="dxa"/>
            <w:shd w:val="clear" w:color="auto" w:fill="auto"/>
            <w:vAlign w:val="center"/>
          </w:tcPr>
          <w:p w14:paraId="07A70029">
            <w:pPr>
              <w:widowControl/>
              <w:jc w:val="center"/>
              <w:rPr>
                <w:rFonts w:eastAsia="仿宋"/>
                <w:kern w:val="0"/>
                <w:sz w:val="21"/>
                <w:szCs w:val="21"/>
              </w:rPr>
            </w:pPr>
            <w:r>
              <w:rPr>
                <w:rFonts w:eastAsia="仿宋"/>
                <w:kern w:val="0"/>
                <w:sz w:val="21"/>
                <w:szCs w:val="21"/>
              </w:rPr>
              <w:t>正常</w:t>
            </w:r>
          </w:p>
        </w:tc>
        <w:tc>
          <w:tcPr>
            <w:tcW w:w="1134" w:type="dxa"/>
            <w:shd w:val="clear" w:color="auto" w:fill="auto"/>
            <w:vAlign w:val="center"/>
          </w:tcPr>
          <w:p w14:paraId="71E840C5">
            <w:pPr>
              <w:widowControl/>
              <w:jc w:val="center"/>
              <w:rPr>
                <w:rFonts w:eastAsia="仿宋"/>
                <w:kern w:val="0"/>
                <w:sz w:val="21"/>
                <w:szCs w:val="21"/>
              </w:rPr>
            </w:pPr>
            <w:r>
              <w:rPr>
                <w:rFonts w:eastAsia="仿宋"/>
                <w:kern w:val="0"/>
                <w:sz w:val="21"/>
                <w:szCs w:val="21"/>
              </w:rPr>
              <w:t>0.16</w:t>
            </w:r>
          </w:p>
        </w:tc>
        <w:tc>
          <w:tcPr>
            <w:tcW w:w="1276" w:type="dxa"/>
            <w:shd w:val="clear" w:color="auto" w:fill="auto"/>
            <w:vAlign w:val="center"/>
          </w:tcPr>
          <w:p w14:paraId="222BF9AC">
            <w:pPr>
              <w:widowControl/>
              <w:jc w:val="center"/>
              <w:rPr>
                <w:rFonts w:eastAsia="仿宋"/>
                <w:kern w:val="0"/>
                <w:sz w:val="21"/>
                <w:szCs w:val="21"/>
              </w:rPr>
            </w:pPr>
            <w:r>
              <w:rPr>
                <w:rFonts w:hint="eastAsia" w:eastAsia="仿宋"/>
                <w:kern w:val="0"/>
                <w:sz w:val="21"/>
                <w:szCs w:val="21"/>
              </w:rPr>
              <w:t>0</w:t>
            </w:r>
          </w:p>
        </w:tc>
        <w:tc>
          <w:tcPr>
            <w:tcW w:w="1275" w:type="dxa"/>
            <w:shd w:val="clear" w:color="auto" w:fill="auto"/>
            <w:vAlign w:val="center"/>
          </w:tcPr>
          <w:p w14:paraId="7821F658">
            <w:pPr>
              <w:widowControl/>
              <w:jc w:val="center"/>
              <w:rPr>
                <w:rFonts w:eastAsia="仿宋"/>
                <w:kern w:val="0"/>
                <w:sz w:val="21"/>
                <w:szCs w:val="21"/>
              </w:rPr>
            </w:pPr>
            <w:r>
              <w:rPr>
                <w:rFonts w:eastAsia="仿宋"/>
                <w:kern w:val="0"/>
                <w:sz w:val="21"/>
                <w:szCs w:val="21"/>
              </w:rPr>
              <w:t>0</w:t>
            </w:r>
          </w:p>
        </w:tc>
      </w:tr>
      <w:tr w14:paraId="676F2DDB">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953" w:hRule="atLeast"/>
        </w:trPr>
        <w:tc>
          <w:tcPr>
            <w:tcW w:w="603" w:type="dxa"/>
            <w:shd w:val="clear" w:color="auto" w:fill="auto"/>
            <w:vAlign w:val="center"/>
          </w:tcPr>
          <w:p w14:paraId="4354CB31">
            <w:pPr>
              <w:widowControl/>
              <w:jc w:val="center"/>
              <w:rPr>
                <w:rFonts w:eastAsia="仿宋"/>
                <w:kern w:val="0"/>
                <w:sz w:val="21"/>
                <w:szCs w:val="21"/>
              </w:rPr>
            </w:pPr>
            <w:r>
              <w:rPr>
                <w:rFonts w:hint="eastAsia" w:eastAsia="仿宋"/>
                <w:kern w:val="0"/>
                <w:sz w:val="21"/>
                <w:szCs w:val="21"/>
              </w:rPr>
              <w:t>9</w:t>
            </w:r>
          </w:p>
        </w:tc>
        <w:tc>
          <w:tcPr>
            <w:tcW w:w="967" w:type="dxa"/>
            <w:shd w:val="clear" w:color="auto" w:fill="auto"/>
            <w:vAlign w:val="center"/>
          </w:tcPr>
          <w:p w14:paraId="58B93890">
            <w:pPr>
              <w:widowControl/>
              <w:jc w:val="center"/>
              <w:rPr>
                <w:rFonts w:eastAsia="仿宋"/>
                <w:sz w:val="21"/>
                <w:szCs w:val="21"/>
              </w:rPr>
            </w:pPr>
            <w:r>
              <w:rPr>
                <w:rFonts w:hint="eastAsia" w:eastAsia="仿宋"/>
                <w:sz w:val="21"/>
                <w:szCs w:val="21"/>
              </w:rPr>
              <w:t>马铃乡红岩水库</w:t>
            </w:r>
          </w:p>
        </w:tc>
        <w:tc>
          <w:tcPr>
            <w:tcW w:w="992" w:type="dxa"/>
            <w:shd w:val="clear" w:color="auto" w:fill="auto"/>
            <w:vAlign w:val="center"/>
          </w:tcPr>
          <w:p w14:paraId="760EEAE1">
            <w:pPr>
              <w:widowControl/>
              <w:jc w:val="center"/>
              <w:rPr>
                <w:rFonts w:eastAsia="仿宋"/>
                <w:kern w:val="0"/>
                <w:sz w:val="21"/>
                <w:szCs w:val="21"/>
              </w:rPr>
            </w:pPr>
            <w:r>
              <w:rPr>
                <w:rFonts w:hint="eastAsia" w:eastAsia="仿宋"/>
                <w:kern w:val="0"/>
                <w:sz w:val="21"/>
                <w:szCs w:val="21"/>
              </w:rPr>
              <w:t>湖库型</w:t>
            </w:r>
          </w:p>
        </w:tc>
        <w:tc>
          <w:tcPr>
            <w:tcW w:w="1559" w:type="dxa"/>
            <w:shd w:val="clear" w:color="auto" w:fill="auto"/>
            <w:vAlign w:val="center"/>
          </w:tcPr>
          <w:p w14:paraId="2CA6D20B">
            <w:pPr>
              <w:widowControl/>
              <w:jc w:val="center"/>
              <w:rPr>
                <w:rFonts w:eastAsia="仿宋_GB2312"/>
                <w:spacing w:val="-8"/>
                <w:sz w:val="21"/>
                <w:szCs w:val="21"/>
              </w:rPr>
            </w:pPr>
            <w:r>
              <w:rPr>
                <w:rFonts w:eastAsia="仿宋"/>
                <w:sz w:val="21"/>
                <w:szCs w:val="21"/>
              </w:rPr>
              <w:t>E</w:t>
            </w:r>
            <w:r>
              <w:rPr>
                <w:rFonts w:eastAsia="仿宋_GB2312"/>
                <w:spacing w:val="-8"/>
                <w:sz w:val="21"/>
                <w:szCs w:val="21"/>
              </w:rPr>
              <w:t xml:space="preserve"> 106°37'7.28"</w:t>
            </w:r>
            <w:r>
              <w:rPr>
                <w:rFonts w:hint="eastAsia" w:eastAsia="仿宋_GB2312"/>
                <w:spacing w:val="-8"/>
                <w:sz w:val="21"/>
                <w:szCs w:val="21"/>
              </w:rPr>
              <w:t>，</w:t>
            </w:r>
          </w:p>
          <w:p w14:paraId="39A4494F">
            <w:pPr>
              <w:widowControl/>
              <w:jc w:val="center"/>
              <w:rPr>
                <w:rFonts w:eastAsia="仿宋"/>
                <w:sz w:val="21"/>
                <w:szCs w:val="21"/>
              </w:rPr>
            </w:pPr>
            <w:r>
              <w:rPr>
                <w:rFonts w:eastAsia="仿宋"/>
                <w:sz w:val="21"/>
                <w:szCs w:val="21"/>
              </w:rPr>
              <w:t>N</w:t>
            </w:r>
            <w:r>
              <w:rPr>
                <w:rFonts w:eastAsia="仿宋_GB2312"/>
                <w:spacing w:val="-8"/>
                <w:sz w:val="21"/>
                <w:szCs w:val="21"/>
              </w:rPr>
              <w:t xml:space="preserve"> 26°15'47.44"</w:t>
            </w:r>
          </w:p>
        </w:tc>
        <w:tc>
          <w:tcPr>
            <w:tcW w:w="709" w:type="dxa"/>
            <w:shd w:val="clear" w:color="auto" w:fill="auto"/>
            <w:vAlign w:val="center"/>
          </w:tcPr>
          <w:p w14:paraId="6B23F9D7">
            <w:pPr>
              <w:widowControl/>
              <w:jc w:val="center"/>
              <w:rPr>
                <w:rFonts w:eastAsia="仿宋"/>
                <w:kern w:val="0"/>
                <w:sz w:val="21"/>
                <w:szCs w:val="21"/>
              </w:rPr>
            </w:pPr>
            <w:r>
              <w:rPr>
                <w:rFonts w:eastAsia="仿宋"/>
                <w:kern w:val="0"/>
                <w:sz w:val="21"/>
                <w:szCs w:val="21"/>
              </w:rPr>
              <w:t>正常</w:t>
            </w:r>
          </w:p>
        </w:tc>
        <w:tc>
          <w:tcPr>
            <w:tcW w:w="1134" w:type="dxa"/>
            <w:shd w:val="clear" w:color="auto" w:fill="auto"/>
            <w:vAlign w:val="center"/>
          </w:tcPr>
          <w:p w14:paraId="40162D4B">
            <w:pPr>
              <w:widowControl/>
              <w:jc w:val="center"/>
              <w:rPr>
                <w:rFonts w:eastAsia="仿宋"/>
                <w:kern w:val="0"/>
                <w:sz w:val="21"/>
                <w:szCs w:val="21"/>
              </w:rPr>
            </w:pPr>
            <w:r>
              <w:rPr>
                <w:rFonts w:eastAsia="仿宋"/>
                <w:kern w:val="0"/>
                <w:sz w:val="21"/>
                <w:szCs w:val="21"/>
              </w:rPr>
              <w:t>27.7</w:t>
            </w:r>
          </w:p>
        </w:tc>
        <w:tc>
          <w:tcPr>
            <w:tcW w:w="1276" w:type="dxa"/>
            <w:shd w:val="clear" w:color="auto" w:fill="auto"/>
            <w:vAlign w:val="center"/>
          </w:tcPr>
          <w:p w14:paraId="3AB7300B">
            <w:pPr>
              <w:widowControl/>
              <w:jc w:val="center"/>
              <w:rPr>
                <w:rFonts w:eastAsia="仿宋"/>
                <w:kern w:val="0"/>
                <w:sz w:val="21"/>
                <w:szCs w:val="21"/>
              </w:rPr>
            </w:pPr>
            <w:r>
              <w:rPr>
                <w:rFonts w:hint="eastAsia" w:eastAsia="仿宋"/>
                <w:kern w:val="0"/>
                <w:sz w:val="21"/>
                <w:szCs w:val="21"/>
              </w:rPr>
              <w:t>8</w:t>
            </w:r>
            <w:r>
              <w:rPr>
                <w:rFonts w:eastAsia="仿宋"/>
                <w:kern w:val="0"/>
                <w:sz w:val="21"/>
                <w:szCs w:val="21"/>
              </w:rPr>
              <w:t>14.5</w:t>
            </w:r>
          </w:p>
        </w:tc>
        <w:tc>
          <w:tcPr>
            <w:tcW w:w="1275" w:type="dxa"/>
            <w:shd w:val="clear" w:color="auto" w:fill="auto"/>
            <w:vAlign w:val="center"/>
          </w:tcPr>
          <w:p w14:paraId="7CFE7258">
            <w:pPr>
              <w:widowControl/>
              <w:jc w:val="center"/>
              <w:rPr>
                <w:rFonts w:eastAsia="仿宋"/>
                <w:kern w:val="0"/>
                <w:sz w:val="21"/>
                <w:szCs w:val="21"/>
              </w:rPr>
            </w:pPr>
            <w:r>
              <w:rPr>
                <w:rFonts w:eastAsia="仿宋"/>
                <w:kern w:val="0"/>
                <w:sz w:val="21"/>
                <w:szCs w:val="21"/>
              </w:rPr>
              <w:t>834.6</w:t>
            </w:r>
          </w:p>
        </w:tc>
      </w:tr>
      <w:tr w14:paraId="3BF9DF33">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953" w:hRule="atLeast"/>
        </w:trPr>
        <w:tc>
          <w:tcPr>
            <w:tcW w:w="603" w:type="dxa"/>
            <w:shd w:val="clear" w:color="auto" w:fill="auto"/>
            <w:vAlign w:val="center"/>
          </w:tcPr>
          <w:p w14:paraId="3C4309E4">
            <w:pPr>
              <w:widowControl/>
              <w:jc w:val="center"/>
              <w:rPr>
                <w:rFonts w:eastAsia="仿宋"/>
                <w:kern w:val="0"/>
                <w:sz w:val="21"/>
                <w:szCs w:val="21"/>
              </w:rPr>
            </w:pPr>
            <w:r>
              <w:rPr>
                <w:rFonts w:hint="eastAsia" w:eastAsia="仿宋"/>
                <w:kern w:val="0"/>
                <w:sz w:val="21"/>
                <w:szCs w:val="21"/>
              </w:rPr>
              <w:t>1</w:t>
            </w:r>
            <w:r>
              <w:rPr>
                <w:rFonts w:eastAsia="仿宋"/>
                <w:kern w:val="0"/>
                <w:sz w:val="21"/>
                <w:szCs w:val="21"/>
              </w:rPr>
              <w:t>0</w:t>
            </w:r>
          </w:p>
        </w:tc>
        <w:tc>
          <w:tcPr>
            <w:tcW w:w="967" w:type="dxa"/>
            <w:shd w:val="clear" w:color="auto" w:fill="auto"/>
            <w:vAlign w:val="center"/>
          </w:tcPr>
          <w:p w14:paraId="11EB9C1E">
            <w:pPr>
              <w:widowControl/>
              <w:jc w:val="center"/>
              <w:rPr>
                <w:rFonts w:eastAsia="仿宋"/>
                <w:sz w:val="21"/>
                <w:szCs w:val="21"/>
              </w:rPr>
            </w:pPr>
            <w:r>
              <w:rPr>
                <w:rFonts w:hint="eastAsia" w:eastAsia="仿宋"/>
                <w:sz w:val="21"/>
                <w:szCs w:val="21"/>
              </w:rPr>
              <w:t>高坡乡大洪村水源</w:t>
            </w:r>
          </w:p>
        </w:tc>
        <w:tc>
          <w:tcPr>
            <w:tcW w:w="992" w:type="dxa"/>
            <w:shd w:val="clear" w:color="auto" w:fill="auto"/>
            <w:vAlign w:val="center"/>
          </w:tcPr>
          <w:p w14:paraId="73A12F1B">
            <w:pPr>
              <w:widowControl/>
              <w:jc w:val="center"/>
              <w:rPr>
                <w:rFonts w:eastAsia="仿宋"/>
                <w:kern w:val="0"/>
                <w:sz w:val="21"/>
                <w:szCs w:val="21"/>
              </w:rPr>
            </w:pPr>
            <w:r>
              <w:rPr>
                <w:rFonts w:hint="eastAsia" w:eastAsia="仿宋"/>
                <w:kern w:val="0"/>
                <w:sz w:val="21"/>
                <w:szCs w:val="21"/>
              </w:rPr>
              <w:t>地下水型</w:t>
            </w:r>
          </w:p>
        </w:tc>
        <w:tc>
          <w:tcPr>
            <w:tcW w:w="1559" w:type="dxa"/>
            <w:shd w:val="clear" w:color="auto" w:fill="auto"/>
            <w:vAlign w:val="center"/>
          </w:tcPr>
          <w:p w14:paraId="749352F6">
            <w:pPr>
              <w:widowControl/>
              <w:jc w:val="center"/>
              <w:rPr>
                <w:rFonts w:eastAsia="仿宋_GB2312"/>
                <w:spacing w:val="-8"/>
                <w:sz w:val="21"/>
                <w:szCs w:val="21"/>
              </w:rPr>
            </w:pPr>
            <w:r>
              <w:rPr>
                <w:rFonts w:eastAsia="仿宋"/>
                <w:sz w:val="21"/>
                <w:szCs w:val="21"/>
              </w:rPr>
              <w:t>E</w:t>
            </w:r>
            <w:r>
              <w:rPr>
                <w:rFonts w:eastAsia="仿宋_GB2312"/>
                <w:spacing w:val="-8"/>
                <w:sz w:val="21"/>
                <w:szCs w:val="21"/>
              </w:rPr>
              <w:t xml:space="preserve"> 106°47'52.34"</w:t>
            </w:r>
            <w:r>
              <w:rPr>
                <w:rFonts w:hint="eastAsia" w:eastAsia="仿宋_GB2312"/>
                <w:spacing w:val="-8"/>
                <w:sz w:val="21"/>
                <w:szCs w:val="21"/>
              </w:rPr>
              <w:t>，</w:t>
            </w:r>
          </w:p>
          <w:p w14:paraId="5F816409">
            <w:pPr>
              <w:widowControl/>
              <w:jc w:val="center"/>
              <w:rPr>
                <w:rFonts w:eastAsia="仿宋"/>
                <w:sz w:val="21"/>
                <w:szCs w:val="21"/>
              </w:rPr>
            </w:pPr>
            <w:r>
              <w:rPr>
                <w:rFonts w:eastAsia="仿宋"/>
                <w:sz w:val="21"/>
                <w:szCs w:val="21"/>
              </w:rPr>
              <w:t>N</w:t>
            </w:r>
            <w:r>
              <w:rPr>
                <w:rFonts w:eastAsia="仿宋_GB2312"/>
                <w:spacing w:val="-8"/>
                <w:sz w:val="21"/>
                <w:szCs w:val="21"/>
              </w:rPr>
              <w:t xml:space="preserve"> 26°18'9.68"</w:t>
            </w:r>
          </w:p>
        </w:tc>
        <w:tc>
          <w:tcPr>
            <w:tcW w:w="709" w:type="dxa"/>
            <w:shd w:val="clear" w:color="auto" w:fill="auto"/>
            <w:vAlign w:val="center"/>
          </w:tcPr>
          <w:p w14:paraId="58DFD66D">
            <w:pPr>
              <w:widowControl/>
              <w:jc w:val="center"/>
              <w:rPr>
                <w:rFonts w:eastAsia="仿宋"/>
                <w:kern w:val="0"/>
                <w:sz w:val="21"/>
                <w:szCs w:val="21"/>
              </w:rPr>
            </w:pPr>
            <w:r>
              <w:rPr>
                <w:rFonts w:eastAsia="仿宋"/>
                <w:kern w:val="0"/>
                <w:sz w:val="21"/>
                <w:szCs w:val="21"/>
              </w:rPr>
              <w:t>正常</w:t>
            </w:r>
          </w:p>
        </w:tc>
        <w:tc>
          <w:tcPr>
            <w:tcW w:w="1134" w:type="dxa"/>
            <w:shd w:val="clear" w:color="auto" w:fill="auto"/>
            <w:vAlign w:val="center"/>
          </w:tcPr>
          <w:p w14:paraId="7076A89C">
            <w:pPr>
              <w:widowControl/>
              <w:jc w:val="center"/>
              <w:rPr>
                <w:rFonts w:eastAsia="仿宋"/>
                <w:kern w:val="0"/>
                <w:sz w:val="21"/>
                <w:szCs w:val="21"/>
              </w:rPr>
            </w:pPr>
            <w:r>
              <w:rPr>
                <w:rFonts w:eastAsia="仿宋"/>
                <w:kern w:val="0"/>
                <w:sz w:val="21"/>
                <w:szCs w:val="21"/>
              </w:rPr>
              <w:t>0.16</w:t>
            </w:r>
          </w:p>
        </w:tc>
        <w:tc>
          <w:tcPr>
            <w:tcW w:w="1276" w:type="dxa"/>
            <w:shd w:val="clear" w:color="auto" w:fill="auto"/>
            <w:vAlign w:val="center"/>
          </w:tcPr>
          <w:p w14:paraId="4980F36E">
            <w:pPr>
              <w:widowControl/>
              <w:jc w:val="center"/>
              <w:rPr>
                <w:rFonts w:eastAsia="仿宋"/>
                <w:kern w:val="0"/>
                <w:sz w:val="21"/>
                <w:szCs w:val="21"/>
              </w:rPr>
            </w:pPr>
            <w:r>
              <w:rPr>
                <w:rFonts w:hint="eastAsia" w:eastAsia="仿宋"/>
                <w:kern w:val="0"/>
                <w:sz w:val="21"/>
                <w:szCs w:val="21"/>
              </w:rPr>
              <w:t>0</w:t>
            </w:r>
          </w:p>
        </w:tc>
        <w:tc>
          <w:tcPr>
            <w:tcW w:w="1275" w:type="dxa"/>
            <w:shd w:val="clear" w:color="auto" w:fill="auto"/>
            <w:vAlign w:val="center"/>
          </w:tcPr>
          <w:p w14:paraId="4201D74D">
            <w:pPr>
              <w:widowControl/>
              <w:jc w:val="center"/>
              <w:rPr>
                <w:rFonts w:eastAsia="仿宋"/>
                <w:kern w:val="0"/>
                <w:sz w:val="21"/>
                <w:szCs w:val="21"/>
              </w:rPr>
            </w:pPr>
            <w:r>
              <w:rPr>
                <w:rFonts w:hint="eastAsia" w:eastAsia="仿宋"/>
                <w:kern w:val="0"/>
                <w:sz w:val="21"/>
                <w:szCs w:val="21"/>
              </w:rPr>
              <w:t>0</w:t>
            </w:r>
          </w:p>
        </w:tc>
      </w:tr>
      <w:tr w14:paraId="327AB404">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953" w:hRule="atLeast"/>
        </w:trPr>
        <w:tc>
          <w:tcPr>
            <w:tcW w:w="603" w:type="dxa"/>
            <w:shd w:val="clear" w:color="auto" w:fill="auto"/>
            <w:vAlign w:val="center"/>
          </w:tcPr>
          <w:p w14:paraId="36ACAEC8">
            <w:pPr>
              <w:widowControl/>
              <w:jc w:val="center"/>
              <w:rPr>
                <w:rFonts w:eastAsia="仿宋"/>
                <w:kern w:val="0"/>
                <w:sz w:val="21"/>
                <w:szCs w:val="21"/>
              </w:rPr>
            </w:pPr>
            <w:r>
              <w:rPr>
                <w:rFonts w:hint="eastAsia" w:eastAsia="仿宋"/>
                <w:kern w:val="0"/>
                <w:sz w:val="21"/>
                <w:szCs w:val="21"/>
              </w:rPr>
              <w:t>1</w:t>
            </w:r>
            <w:r>
              <w:rPr>
                <w:rFonts w:eastAsia="仿宋"/>
                <w:kern w:val="0"/>
                <w:sz w:val="21"/>
                <w:szCs w:val="21"/>
              </w:rPr>
              <w:t>1</w:t>
            </w:r>
          </w:p>
        </w:tc>
        <w:tc>
          <w:tcPr>
            <w:tcW w:w="967" w:type="dxa"/>
            <w:shd w:val="clear" w:color="auto" w:fill="auto"/>
            <w:vAlign w:val="center"/>
          </w:tcPr>
          <w:p w14:paraId="02587A54">
            <w:pPr>
              <w:widowControl/>
              <w:jc w:val="center"/>
              <w:rPr>
                <w:rFonts w:eastAsia="仿宋"/>
                <w:sz w:val="21"/>
                <w:szCs w:val="21"/>
              </w:rPr>
            </w:pPr>
            <w:r>
              <w:rPr>
                <w:rFonts w:hint="eastAsia" w:eastAsia="仿宋"/>
                <w:sz w:val="21"/>
                <w:szCs w:val="21"/>
              </w:rPr>
              <w:t>高坡乡批林村水源</w:t>
            </w:r>
          </w:p>
        </w:tc>
        <w:tc>
          <w:tcPr>
            <w:tcW w:w="992" w:type="dxa"/>
            <w:shd w:val="clear" w:color="auto" w:fill="auto"/>
            <w:vAlign w:val="center"/>
          </w:tcPr>
          <w:p w14:paraId="4665EE24">
            <w:pPr>
              <w:widowControl/>
              <w:jc w:val="center"/>
              <w:rPr>
                <w:rFonts w:eastAsia="仿宋"/>
                <w:kern w:val="0"/>
                <w:sz w:val="21"/>
                <w:szCs w:val="21"/>
              </w:rPr>
            </w:pPr>
            <w:r>
              <w:rPr>
                <w:rFonts w:hint="eastAsia" w:eastAsia="仿宋"/>
                <w:kern w:val="0"/>
                <w:sz w:val="21"/>
                <w:szCs w:val="21"/>
              </w:rPr>
              <w:t>地下水型</w:t>
            </w:r>
          </w:p>
        </w:tc>
        <w:tc>
          <w:tcPr>
            <w:tcW w:w="1559" w:type="dxa"/>
            <w:shd w:val="clear" w:color="auto" w:fill="auto"/>
            <w:vAlign w:val="center"/>
          </w:tcPr>
          <w:p w14:paraId="278F45A8">
            <w:pPr>
              <w:widowControl/>
              <w:jc w:val="center"/>
              <w:rPr>
                <w:rFonts w:eastAsia="仿宋_GB2312"/>
                <w:spacing w:val="-8"/>
                <w:sz w:val="21"/>
                <w:szCs w:val="21"/>
              </w:rPr>
            </w:pPr>
            <w:r>
              <w:rPr>
                <w:rFonts w:eastAsia="仿宋"/>
                <w:sz w:val="21"/>
                <w:szCs w:val="21"/>
              </w:rPr>
              <w:t>E</w:t>
            </w:r>
            <w:r>
              <w:rPr>
                <w:rFonts w:eastAsia="仿宋_GB2312"/>
                <w:spacing w:val="-8"/>
                <w:sz w:val="21"/>
                <w:szCs w:val="21"/>
              </w:rPr>
              <w:t xml:space="preserve"> 106°47'37.</w:t>
            </w:r>
            <w:r>
              <w:rPr>
                <w:rFonts w:hint="eastAsia" w:eastAsia="仿宋_GB2312"/>
                <w:spacing w:val="-8"/>
                <w:sz w:val="21"/>
                <w:szCs w:val="21"/>
              </w:rPr>
              <w:t>2</w:t>
            </w:r>
            <w:r>
              <w:rPr>
                <w:rFonts w:eastAsia="仿宋_GB2312"/>
                <w:spacing w:val="-8"/>
                <w:sz w:val="21"/>
                <w:szCs w:val="21"/>
              </w:rPr>
              <w:t>7"</w:t>
            </w:r>
            <w:r>
              <w:rPr>
                <w:rFonts w:hint="eastAsia" w:eastAsia="仿宋_GB2312"/>
                <w:spacing w:val="-8"/>
                <w:sz w:val="21"/>
                <w:szCs w:val="21"/>
              </w:rPr>
              <w:t>，</w:t>
            </w:r>
          </w:p>
          <w:p w14:paraId="04E06708">
            <w:pPr>
              <w:widowControl/>
              <w:jc w:val="center"/>
              <w:rPr>
                <w:rFonts w:eastAsia="仿宋"/>
                <w:sz w:val="21"/>
                <w:szCs w:val="21"/>
              </w:rPr>
            </w:pPr>
            <w:r>
              <w:rPr>
                <w:rFonts w:eastAsia="仿宋"/>
                <w:sz w:val="21"/>
                <w:szCs w:val="21"/>
              </w:rPr>
              <w:t>N</w:t>
            </w:r>
            <w:r>
              <w:rPr>
                <w:rFonts w:eastAsia="仿宋_GB2312"/>
                <w:spacing w:val="-8"/>
                <w:sz w:val="21"/>
                <w:szCs w:val="21"/>
              </w:rPr>
              <w:t xml:space="preserve"> 26°14'32.47"</w:t>
            </w:r>
          </w:p>
        </w:tc>
        <w:tc>
          <w:tcPr>
            <w:tcW w:w="709" w:type="dxa"/>
            <w:shd w:val="clear" w:color="auto" w:fill="auto"/>
            <w:vAlign w:val="center"/>
          </w:tcPr>
          <w:p w14:paraId="6C7FED3E">
            <w:pPr>
              <w:widowControl/>
              <w:jc w:val="center"/>
              <w:rPr>
                <w:rFonts w:eastAsia="仿宋"/>
                <w:kern w:val="0"/>
                <w:sz w:val="21"/>
                <w:szCs w:val="21"/>
              </w:rPr>
            </w:pPr>
            <w:r>
              <w:rPr>
                <w:rFonts w:eastAsia="仿宋"/>
                <w:kern w:val="0"/>
                <w:sz w:val="21"/>
                <w:szCs w:val="21"/>
              </w:rPr>
              <w:t>正常</w:t>
            </w:r>
          </w:p>
        </w:tc>
        <w:tc>
          <w:tcPr>
            <w:tcW w:w="1134" w:type="dxa"/>
            <w:shd w:val="clear" w:color="auto" w:fill="auto"/>
            <w:vAlign w:val="center"/>
          </w:tcPr>
          <w:p w14:paraId="766FADBC">
            <w:pPr>
              <w:widowControl/>
              <w:jc w:val="center"/>
              <w:rPr>
                <w:rFonts w:eastAsia="仿宋"/>
                <w:kern w:val="0"/>
                <w:sz w:val="21"/>
                <w:szCs w:val="21"/>
              </w:rPr>
            </w:pPr>
            <w:r>
              <w:rPr>
                <w:rFonts w:hint="eastAsia" w:eastAsia="仿宋"/>
                <w:kern w:val="0"/>
                <w:sz w:val="21"/>
                <w:szCs w:val="21"/>
              </w:rPr>
              <w:t>0</w:t>
            </w:r>
            <w:r>
              <w:rPr>
                <w:rFonts w:eastAsia="仿宋"/>
                <w:kern w:val="0"/>
                <w:sz w:val="21"/>
                <w:szCs w:val="21"/>
              </w:rPr>
              <w:t>.02</w:t>
            </w:r>
          </w:p>
        </w:tc>
        <w:tc>
          <w:tcPr>
            <w:tcW w:w="1276" w:type="dxa"/>
            <w:shd w:val="clear" w:color="auto" w:fill="auto"/>
            <w:vAlign w:val="center"/>
          </w:tcPr>
          <w:p w14:paraId="2A97E841">
            <w:pPr>
              <w:widowControl/>
              <w:jc w:val="center"/>
              <w:rPr>
                <w:rFonts w:eastAsia="仿宋"/>
                <w:kern w:val="0"/>
                <w:sz w:val="21"/>
                <w:szCs w:val="21"/>
              </w:rPr>
            </w:pPr>
            <w:r>
              <w:rPr>
                <w:rFonts w:hint="eastAsia" w:eastAsia="仿宋"/>
                <w:kern w:val="0"/>
                <w:sz w:val="21"/>
                <w:szCs w:val="21"/>
              </w:rPr>
              <w:t>0</w:t>
            </w:r>
          </w:p>
        </w:tc>
        <w:tc>
          <w:tcPr>
            <w:tcW w:w="1275" w:type="dxa"/>
            <w:shd w:val="clear" w:color="auto" w:fill="auto"/>
            <w:vAlign w:val="center"/>
          </w:tcPr>
          <w:p w14:paraId="3CD819F4">
            <w:pPr>
              <w:widowControl/>
              <w:jc w:val="center"/>
              <w:rPr>
                <w:rFonts w:eastAsia="仿宋"/>
                <w:kern w:val="0"/>
                <w:sz w:val="21"/>
                <w:szCs w:val="21"/>
              </w:rPr>
            </w:pPr>
            <w:r>
              <w:rPr>
                <w:rFonts w:hint="eastAsia" w:eastAsia="仿宋"/>
                <w:kern w:val="0"/>
                <w:sz w:val="21"/>
                <w:szCs w:val="21"/>
              </w:rPr>
              <w:t>0</w:t>
            </w:r>
          </w:p>
        </w:tc>
      </w:tr>
      <w:tr w14:paraId="56A2EEEF">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953" w:hRule="atLeast"/>
        </w:trPr>
        <w:tc>
          <w:tcPr>
            <w:tcW w:w="603" w:type="dxa"/>
            <w:shd w:val="clear" w:color="auto" w:fill="auto"/>
            <w:vAlign w:val="center"/>
          </w:tcPr>
          <w:p w14:paraId="379D26D0">
            <w:pPr>
              <w:widowControl/>
              <w:jc w:val="center"/>
              <w:rPr>
                <w:rFonts w:eastAsia="仿宋"/>
                <w:kern w:val="0"/>
                <w:sz w:val="21"/>
                <w:szCs w:val="21"/>
              </w:rPr>
            </w:pPr>
            <w:r>
              <w:rPr>
                <w:rFonts w:hint="eastAsia" w:eastAsia="仿宋"/>
                <w:kern w:val="0"/>
                <w:sz w:val="21"/>
                <w:szCs w:val="21"/>
              </w:rPr>
              <w:t>1</w:t>
            </w:r>
            <w:r>
              <w:rPr>
                <w:rFonts w:eastAsia="仿宋"/>
                <w:kern w:val="0"/>
                <w:sz w:val="21"/>
                <w:szCs w:val="21"/>
              </w:rPr>
              <w:t>2</w:t>
            </w:r>
          </w:p>
        </w:tc>
        <w:tc>
          <w:tcPr>
            <w:tcW w:w="967" w:type="dxa"/>
            <w:shd w:val="clear" w:color="auto" w:fill="auto"/>
            <w:vAlign w:val="center"/>
          </w:tcPr>
          <w:p w14:paraId="6FB9309F">
            <w:pPr>
              <w:widowControl/>
              <w:jc w:val="center"/>
              <w:rPr>
                <w:rFonts w:eastAsia="仿宋"/>
                <w:sz w:val="21"/>
                <w:szCs w:val="21"/>
              </w:rPr>
            </w:pPr>
            <w:r>
              <w:rPr>
                <w:rFonts w:hint="eastAsia" w:eastAsia="仿宋"/>
                <w:sz w:val="21"/>
                <w:szCs w:val="21"/>
              </w:rPr>
              <w:t>高坡乡杉坪村蚂蜂洞水源</w:t>
            </w:r>
          </w:p>
        </w:tc>
        <w:tc>
          <w:tcPr>
            <w:tcW w:w="992" w:type="dxa"/>
            <w:shd w:val="clear" w:color="auto" w:fill="auto"/>
            <w:vAlign w:val="center"/>
          </w:tcPr>
          <w:p w14:paraId="1F1F31D6">
            <w:pPr>
              <w:widowControl/>
              <w:jc w:val="center"/>
              <w:rPr>
                <w:rFonts w:eastAsia="仿宋"/>
                <w:kern w:val="0"/>
                <w:sz w:val="21"/>
                <w:szCs w:val="21"/>
              </w:rPr>
            </w:pPr>
            <w:r>
              <w:rPr>
                <w:rFonts w:hint="eastAsia" w:eastAsia="仿宋"/>
                <w:kern w:val="0"/>
                <w:sz w:val="21"/>
                <w:szCs w:val="21"/>
              </w:rPr>
              <w:t>地下水型</w:t>
            </w:r>
          </w:p>
        </w:tc>
        <w:tc>
          <w:tcPr>
            <w:tcW w:w="1559" w:type="dxa"/>
            <w:shd w:val="clear" w:color="auto" w:fill="auto"/>
            <w:vAlign w:val="center"/>
          </w:tcPr>
          <w:p w14:paraId="3B320A86">
            <w:pPr>
              <w:widowControl/>
              <w:jc w:val="center"/>
              <w:rPr>
                <w:rFonts w:eastAsia="仿宋_GB2312"/>
                <w:spacing w:val="-8"/>
                <w:sz w:val="21"/>
                <w:szCs w:val="21"/>
              </w:rPr>
            </w:pPr>
            <w:r>
              <w:rPr>
                <w:rFonts w:eastAsia="仿宋"/>
                <w:sz w:val="21"/>
                <w:szCs w:val="21"/>
              </w:rPr>
              <w:t>E</w:t>
            </w:r>
            <w:r>
              <w:rPr>
                <w:rFonts w:eastAsia="仿宋_GB2312"/>
                <w:spacing w:val="-8"/>
                <w:sz w:val="21"/>
                <w:szCs w:val="21"/>
              </w:rPr>
              <w:t xml:space="preserve"> 106°48'7.61"</w:t>
            </w:r>
            <w:r>
              <w:rPr>
                <w:rFonts w:hint="eastAsia" w:eastAsia="仿宋_GB2312"/>
                <w:spacing w:val="-8"/>
                <w:sz w:val="21"/>
                <w:szCs w:val="21"/>
              </w:rPr>
              <w:t>，</w:t>
            </w:r>
          </w:p>
          <w:p w14:paraId="2395DCA3">
            <w:pPr>
              <w:widowControl/>
              <w:jc w:val="center"/>
              <w:rPr>
                <w:rFonts w:eastAsia="仿宋"/>
                <w:sz w:val="21"/>
                <w:szCs w:val="21"/>
              </w:rPr>
            </w:pPr>
            <w:r>
              <w:rPr>
                <w:rFonts w:eastAsia="仿宋"/>
                <w:sz w:val="21"/>
                <w:szCs w:val="21"/>
              </w:rPr>
              <w:t>N</w:t>
            </w:r>
            <w:r>
              <w:rPr>
                <w:rFonts w:eastAsia="仿宋_GB2312"/>
                <w:spacing w:val="-8"/>
                <w:sz w:val="21"/>
                <w:szCs w:val="21"/>
              </w:rPr>
              <w:t xml:space="preserve"> 26°16'31.80"</w:t>
            </w:r>
          </w:p>
        </w:tc>
        <w:tc>
          <w:tcPr>
            <w:tcW w:w="709" w:type="dxa"/>
            <w:shd w:val="clear" w:color="auto" w:fill="auto"/>
            <w:vAlign w:val="center"/>
          </w:tcPr>
          <w:p w14:paraId="451FDF11">
            <w:pPr>
              <w:widowControl/>
              <w:jc w:val="center"/>
              <w:rPr>
                <w:rFonts w:eastAsia="仿宋"/>
                <w:kern w:val="0"/>
                <w:sz w:val="21"/>
                <w:szCs w:val="21"/>
              </w:rPr>
            </w:pPr>
            <w:r>
              <w:rPr>
                <w:rFonts w:eastAsia="仿宋"/>
                <w:kern w:val="0"/>
                <w:sz w:val="21"/>
                <w:szCs w:val="21"/>
              </w:rPr>
              <w:t>正常</w:t>
            </w:r>
          </w:p>
        </w:tc>
        <w:tc>
          <w:tcPr>
            <w:tcW w:w="1134" w:type="dxa"/>
            <w:shd w:val="clear" w:color="auto" w:fill="auto"/>
            <w:vAlign w:val="center"/>
          </w:tcPr>
          <w:p w14:paraId="28ABAD77">
            <w:pPr>
              <w:widowControl/>
              <w:jc w:val="center"/>
              <w:rPr>
                <w:rFonts w:eastAsia="仿宋"/>
                <w:kern w:val="0"/>
                <w:sz w:val="21"/>
                <w:szCs w:val="21"/>
              </w:rPr>
            </w:pPr>
            <w:r>
              <w:rPr>
                <w:rFonts w:hint="eastAsia" w:eastAsia="仿宋"/>
                <w:kern w:val="0"/>
                <w:sz w:val="21"/>
                <w:szCs w:val="21"/>
              </w:rPr>
              <w:t>0</w:t>
            </w:r>
            <w:r>
              <w:rPr>
                <w:rFonts w:eastAsia="仿宋"/>
                <w:kern w:val="0"/>
                <w:sz w:val="21"/>
                <w:szCs w:val="21"/>
              </w:rPr>
              <w:t>.15</w:t>
            </w:r>
          </w:p>
        </w:tc>
        <w:tc>
          <w:tcPr>
            <w:tcW w:w="1276" w:type="dxa"/>
            <w:shd w:val="clear" w:color="auto" w:fill="auto"/>
            <w:vAlign w:val="center"/>
          </w:tcPr>
          <w:p w14:paraId="30AFAA41">
            <w:pPr>
              <w:widowControl/>
              <w:jc w:val="center"/>
              <w:rPr>
                <w:rFonts w:eastAsia="仿宋"/>
                <w:kern w:val="0"/>
                <w:sz w:val="21"/>
                <w:szCs w:val="21"/>
              </w:rPr>
            </w:pPr>
            <w:r>
              <w:rPr>
                <w:rFonts w:hint="eastAsia" w:eastAsia="仿宋"/>
                <w:kern w:val="0"/>
                <w:sz w:val="21"/>
                <w:szCs w:val="21"/>
              </w:rPr>
              <w:t>0</w:t>
            </w:r>
          </w:p>
        </w:tc>
        <w:tc>
          <w:tcPr>
            <w:tcW w:w="1275" w:type="dxa"/>
            <w:shd w:val="clear" w:color="auto" w:fill="auto"/>
            <w:vAlign w:val="center"/>
          </w:tcPr>
          <w:p w14:paraId="7C159EA9">
            <w:pPr>
              <w:widowControl/>
              <w:jc w:val="center"/>
              <w:rPr>
                <w:rFonts w:eastAsia="仿宋"/>
                <w:kern w:val="0"/>
                <w:sz w:val="21"/>
                <w:szCs w:val="21"/>
              </w:rPr>
            </w:pPr>
            <w:r>
              <w:rPr>
                <w:rFonts w:hint="eastAsia" w:eastAsia="仿宋"/>
                <w:kern w:val="0"/>
                <w:sz w:val="21"/>
                <w:szCs w:val="21"/>
              </w:rPr>
              <w:t>0</w:t>
            </w:r>
          </w:p>
        </w:tc>
      </w:tr>
      <w:tr w14:paraId="621DE66C">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953" w:hRule="atLeast"/>
        </w:trPr>
        <w:tc>
          <w:tcPr>
            <w:tcW w:w="603" w:type="dxa"/>
            <w:shd w:val="clear" w:color="auto" w:fill="auto"/>
            <w:vAlign w:val="center"/>
          </w:tcPr>
          <w:p w14:paraId="6A921E1F">
            <w:pPr>
              <w:widowControl/>
              <w:jc w:val="center"/>
              <w:rPr>
                <w:rFonts w:eastAsia="仿宋"/>
                <w:kern w:val="0"/>
                <w:sz w:val="21"/>
                <w:szCs w:val="21"/>
              </w:rPr>
            </w:pPr>
            <w:r>
              <w:rPr>
                <w:rFonts w:hint="eastAsia" w:eastAsia="仿宋"/>
                <w:kern w:val="0"/>
                <w:sz w:val="21"/>
                <w:szCs w:val="21"/>
              </w:rPr>
              <w:t>1</w:t>
            </w:r>
            <w:r>
              <w:rPr>
                <w:rFonts w:eastAsia="仿宋"/>
                <w:kern w:val="0"/>
                <w:sz w:val="21"/>
                <w:szCs w:val="21"/>
              </w:rPr>
              <w:t>3</w:t>
            </w:r>
          </w:p>
        </w:tc>
        <w:tc>
          <w:tcPr>
            <w:tcW w:w="967" w:type="dxa"/>
            <w:shd w:val="clear" w:color="auto" w:fill="auto"/>
            <w:vAlign w:val="center"/>
          </w:tcPr>
          <w:p w14:paraId="24C64F65">
            <w:pPr>
              <w:widowControl/>
              <w:jc w:val="center"/>
              <w:rPr>
                <w:rFonts w:eastAsia="仿宋"/>
                <w:sz w:val="21"/>
                <w:szCs w:val="21"/>
              </w:rPr>
            </w:pPr>
            <w:r>
              <w:rPr>
                <w:rFonts w:hint="eastAsia" w:eastAsia="仿宋"/>
                <w:sz w:val="21"/>
                <w:szCs w:val="21"/>
              </w:rPr>
              <w:t>高坡乡马场村水源</w:t>
            </w:r>
          </w:p>
        </w:tc>
        <w:tc>
          <w:tcPr>
            <w:tcW w:w="992" w:type="dxa"/>
            <w:shd w:val="clear" w:color="auto" w:fill="auto"/>
            <w:vAlign w:val="center"/>
          </w:tcPr>
          <w:p w14:paraId="63842DB2">
            <w:pPr>
              <w:widowControl/>
              <w:jc w:val="center"/>
              <w:rPr>
                <w:rFonts w:eastAsia="仿宋"/>
                <w:kern w:val="0"/>
                <w:sz w:val="21"/>
                <w:szCs w:val="21"/>
              </w:rPr>
            </w:pPr>
            <w:r>
              <w:rPr>
                <w:rFonts w:hint="eastAsia" w:eastAsia="仿宋"/>
                <w:kern w:val="0"/>
                <w:sz w:val="21"/>
                <w:szCs w:val="21"/>
              </w:rPr>
              <w:t>地下水型</w:t>
            </w:r>
          </w:p>
        </w:tc>
        <w:tc>
          <w:tcPr>
            <w:tcW w:w="1559" w:type="dxa"/>
            <w:shd w:val="clear" w:color="auto" w:fill="auto"/>
            <w:vAlign w:val="center"/>
          </w:tcPr>
          <w:p w14:paraId="5A7F864B">
            <w:pPr>
              <w:widowControl/>
              <w:jc w:val="center"/>
              <w:rPr>
                <w:rFonts w:eastAsia="仿宋_GB2312"/>
                <w:spacing w:val="-8"/>
                <w:sz w:val="21"/>
                <w:szCs w:val="21"/>
              </w:rPr>
            </w:pPr>
            <w:r>
              <w:rPr>
                <w:rFonts w:eastAsia="仿宋"/>
                <w:sz w:val="21"/>
                <w:szCs w:val="21"/>
              </w:rPr>
              <w:t>E</w:t>
            </w:r>
            <w:r>
              <w:rPr>
                <w:rFonts w:eastAsia="仿宋_GB2312"/>
                <w:spacing w:val="-8"/>
                <w:sz w:val="21"/>
                <w:szCs w:val="21"/>
              </w:rPr>
              <w:t xml:space="preserve"> 106°47'8.31"</w:t>
            </w:r>
            <w:r>
              <w:rPr>
                <w:rFonts w:hint="eastAsia" w:eastAsia="仿宋_GB2312"/>
                <w:spacing w:val="-8"/>
                <w:sz w:val="21"/>
                <w:szCs w:val="21"/>
              </w:rPr>
              <w:t>，</w:t>
            </w:r>
          </w:p>
          <w:p w14:paraId="2E70F60C">
            <w:pPr>
              <w:widowControl/>
              <w:jc w:val="center"/>
              <w:rPr>
                <w:rFonts w:eastAsia="仿宋"/>
                <w:sz w:val="21"/>
                <w:szCs w:val="21"/>
              </w:rPr>
            </w:pPr>
            <w:r>
              <w:rPr>
                <w:rFonts w:eastAsia="仿宋"/>
                <w:sz w:val="21"/>
                <w:szCs w:val="21"/>
              </w:rPr>
              <w:t>N</w:t>
            </w:r>
            <w:r>
              <w:rPr>
                <w:rFonts w:eastAsia="仿宋_GB2312"/>
                <w:spacing w:val="-8"/>
                <w:sz w:val="21"/>
                <w:szCs w:val="21"/>
              </w:rPr>
              <w:t xml:space="preserve"> 26°18'53.61"</w:t>
            </w:r>
          </w:p>
        </w:tc>
        <w:tc>
          <w:tcPr>
            <w:tcW w:w="709" w:type="dxa"/>
            <w:shd w:val="clear" w:color="auto" w:fill="auto"/>
            <w:vAlign w:val="center"/>
          </w:tcPr>
          <w:p w14:paraId="347D4535">
            <w:pPr>
              <w:widowControl/>
              <w:jc w:val="center"/>
              <w:rPr>
                <w:rFonts w:eastAsia="仿宋"/>
                <w:kern w:val="0"/>
                <w:sz w:val="21"/>
                <w:szCs w:val="21"/>
              </w:rPr>
            </w:pPr>
            <w:r>
              <w:rPr>
                <w:rFonts w:eastAsia="仿宋"/>
                <w:kern w:val="0"/>
                <w:sz w:val="21"/>
                <w:szCs w:val="21"/>
              </w:rPr>
              <w:t>正常</w:t>
            </w:r>
          </w:p>
        </w:tc>
        <w:tc>
          <w:tcPr>
            <w:tcW w:w="1134" w:type="dxa"/>
            <w:shd w:val="clear" w:color="auto" w:fill="auto"/>
            <w:vAlign w:val="center"/>
          </w:tcPr>
          <w:p w14:paraId="5345F488">
            <w:pPr>
              <w:widowControl/>
              <w:jc w:val="center"/>
              <w:rPr>
                <w:rFonts w:eastAsia="仿宋"/>
                <w:kern w:val="0"/>
                <w:sz w:val="21"/>
                <w:szCs w:val="21"/>
              </w:rPr>
            </w:pPr>
            <w:r>
              <w:rPr>
                <w:rFonts w:hint="eastAsia" w:eastAsia="仿宋"/>
                <w:kern w:val="0"/>
                <w:sz w:val="21"/>
                <w:szCs w:val="21"/>
              </w:rPr>
              <w:t>0</w:t>
            </w:r>
            <w:r>
              <w:rPr>
                <w:rFonts w:eastAsia="仿宋"/>
                <w:kern w:val="0"/>
                <w:sz w:val="21"/>
                <w:szCs w:val="21"/>
              </w:rPr>
              <w:t>.09</w:t>
            </w:r>
          </w:p>
        </w:tc>
        <w:tc>
          <w:tcPr>
            <w:tcW w:w="1276" w:type="dxa"/>
            <w:shd w:val="clear" w:color="auto" w:fill="auto"/>
            <w:vAlign w:val="center"/>
          </w:tcPr>
          <w:p w14:paraId="120ECDA7">
            <w:pPr>
              <w:widowControl/>
              <w:jc w:val="center"/>
              <w:rPr>
                <w:rFonts w:eastAsia="仿宋"/>
                <w:kern w:val="0"/>
                <w:sz w:val="21"/>
                <w:szCs w:val="21"/>
              </w:rPr>
            </w:pPr>
            <w:r>
              <w:rPr>
                <w:rFonts w:hint="eastAsia" w:eastAsia="仿宋"/>
                <w:kern w:val="0"/>
                <w:sz w:val="21"/>
                <w:szCs w:val="21"/>
              </w:rPr>
              <w:t>0</w:t>
            </w:r>
          </w:p>
        </w:tc>
        <w:tc>
          <w:tcPr>
            <w:tcW w:w="1275" w:type="dxa"/>
            <w:shd w:val="clear" w:color="auto" w:fill="auto"/>
            <w:vAlign w:val="center"/>
          </w:tcPr>
          <w:p w14:paraId="6021147F">
            <w:pPr>
              <w:widowControl/>
              <w:jc w:val="center"/>
              <w:rPr>
                <w:rFonts w:eastAsia="仿宋"/>
                <w:kern w:val="0"/>
                <w:sz w:val="21"/>
                <w:szCs w:val="21"/>
              </w:rPr>
            </w:pPr>
            <w:r>
              <w:rPr>
                <w:rFonts w:hint="eastAsia" w:eastAsia="仿宋"/>
                <w:kern w:val="0"/>
                <w:sz w:val="21"/>
                <w:szCs w:val="21"/>
              </w:rPr>
              <w:t>0</w:t>
            </w:r>
          </w:p>
        </w:tc>
      </w:tr>
      <w:tr w14:paraId="3389761A">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1289" w:hRule="atLeast"/>
        </w:trPr>
        <w:tc>
          <w:tcPr>
            <w:tcW w:w="603" w:type="dxa"/>
            <w:shd w:val="clear" w:color="auto" w:fill="auto"/>
            <w:vAlign w:val="center"/>
          </w:tcPr>
          <w:p w14:paraId="790092F0">
            <w:pPr>
              <w:widowControl/>
              <w:jc w:val="center"/>
              <w:rPr>
                <w:rFonts w:eastAsia="仿宋"/>
                <w:kern w:val="0"/>
                <w:sz w:val="21"/>
                <w:szCs w:val="21"/>
              </w:rPr>
            </w:pPr>
            <w:r>
              <w:rPr>
                <w:rFonts w:hint="eastAsia" w:eastAsia="仿宋"/>
                <w:kern w:val="0"/>
                <w:sz w:val="21"/>
                <w:szCs w:val="21"/>
              </w:rPr>
              <w:t>1</w:t>
            </w:r>
            <w:r>
              <w:rPr>
                <w:rFonts w:eastAsia="仿宋"/>
                <w:kern w:val="0"/>
                <w:sz w:val="21"/>
                <w:szCs w:val="21"/>
              </w:rPr>
              <w:t>4</w:t>
            </w:r>
          </w:p>
        </w:tc>
        <w:tc>
          <w:tcPr>
            <w:tcW w:w="967" w:type="dxa"/>
            <w:shd w:val="clear" w:color="auto" w:fill="auto"/>
            <w:vAlign w:val="center"/>
          </w:tcPr>
          <w:p w14:paraId="25940CF3">
            <w:pPr>
              <w:widowControl/>
              <w:jc w:val="center"/>
              <w:rPr>
                <w:rFonts w:eastAsia="仿宋"/>
                <w:sz w:val="21"/>
                <w:szCs w:val="21"/>
              </w:rPr>
            </w:pPr>
            <w:r>
              <w:rPr>
                <w:rFonts w:hint="eastAsia" w:eastAsia="仿宋"/>
                <w:sz w:val="21"/>
                <w:szCs w:val="21"/>
              </w:rPr>
              <w:t>黔陶乡骑龙村水源</w:t>
            </w:r>
          </w:p>
        </w:tc>
        <w:tc>
          <w:tcPr>
            <w:tcW w:w="992" w:type="dxa"/>
            <w:shd w:val="clear" w:color="auto" w:fill="auto"/>
            <w:vAlign w:val="center"/>
          </w:tcPr>
          <w:p w14:paraId="2786CB7A">
            <w:pPr>
              <w:widowControl/>
              <w:jc w:val="center"/>
              <w:rPr>
                <w:rFonts w:eastAsia="仿宋"/>
                <w:kern w:val="0"/>
                <w:sz w:val="21"/>
                <w:szCs w:val="21"/>
              </w:rPr>
            </w:pPr>
            <w:r>
              <w:rPr>
                <w:rFonts w:hint="eastAsia" w:eastAsia="仿宋"/>
                <w:kern w:val="0"/>
                <w:sz w:val="21"/>
                <w:szCs w:val="21"/>
              </w:rPr>
              <w:t>地下水型</w:t>
            </w:r>
          </w:p>
        </w:tc>
        <w:tc>
          <w:tcPr>
            <w:tcW w:w="1559" w:type="dxa"/>
            <w:shd w:val="clear" w:color="auto" w:fill="auto"/>
            <w:vAlign w:val="center"/>
          </w:tcPr>
          <w:p w14:paraId="57825077">
            <w:pPr>
              <w:widowControl/>
              <w:jc w:val="center"/>
              <w:rPr>
                <w:rFonts w:eastAsia="仿宋_GB2312"/>
                <w:spacing w:val="-8"/>
                <w:sz w:val="21"/>
                <w:szCs w:val="21"/>
              </w:rPr>
            </w:pPr>
            <w:r>
              <w:rPr>
                <w:rFonts w:eastAsia="仿宋"/>
                <w:sz w:val="21"/>
                <w:szCs w:val="21"/>
              </w:rPr>
              <w:t>E</w:t>
            </w:r>
            <w:r>
              <w:rPr>
                <w:rFonts w:eastAsia="仿宋_GB2312"/>
                <w:spacing w:val="-8"/>
                <w:sz w:val="21"/>
                <w:szCs w:val="21"/>
              </w:rPr>
              <w:t xml:space="preserve"> 106°47'8.31"</w:t>
            </w:r>
            <w:r>
              <w:rPr>
                <w:rFonts w:hint="eastAsia" w:eastAsia="仿宋_GB2312"/>
                <w:spacing w:val="-8"/>
                <w:sz w:val="21"/>
                <w:szCs w:val="21"/>
              </w:rPr>
              <w:t>，</w:t>
            </w:r>
          </w:p>
          <w:p w14:paraId="5EF9B87D">
            <w:pPr>
              <w:widowControl/>
              <w:jc w:val="center"/>
              <w:rPr>
                <w:rFonts w:eastAsia="仿宋"/>
                <w:sz w:val="21"/>
                <w:szCs w:val="21"/>
              </w:rPr>
            </w:pPr>
            <w:r>
              <w:rPr>
                <w:rFonts w:eastAsia="仿宋"/>
                <w:sz w:val="21"/>
                <w:szCs w:val="21"/>
              </w:rPr>
              <w:t>N</w:t>
            </w:r>
            <w:r>
              <w:rPr>
                <w:rFonts w:eastAsia="仿宋_GB2312"/>
                <w:spacing w:val="-8"/>
                <w:sz w:val="21"/>
                <w:szCs w:val="21"/>
              </w:rPr>
              <w:t xml:space="preserve"> 26°18'53.61"</w:t>
            </w:r>
          </w:p>
        </w:tc>
        <w:tc>
          <w:tcPr>
            <w:tcW w:w="709" w:type="dxa"/>
            <w:shd w:val="clear" w:color="auto" w:fill="auto"/>
            <w:vAlign w:val="center"/>
          </w:tcPr>
          <w:p w14:paraId="0BF4AC33">
            <w:pPr>
              <w:widowControl/>
              <w:jc w:val="center"/>
              <w:rPr>
                <w:rFonts w:eastAsia="仿宋"/>
                <w:kern w:val="0"/>
                <w:sz w:val="21"/>
                <w:szCs w:val="21"/>
              </w:rPr>
            </w:pPr>
            <w:r>
              <w:rPr>
                <w:rFonts w:eastAsia="仿宋"/>
                <w:kern w:val="0"/>
                <w:sz w:val="21"/>
                <w:szCs w:val="21"/>
              </w:rPr>
              <w:t>正常</w:t>
            </w:r>
          </w:p>
        </w:tc>
        <w:tc>
          <w:tcPr>
            <w:tcW w:w="1134" w:type="dxa"/>
            <w:shd w:val="clear" w:color="auto" w:fill="auto"/>
            <w:vAlign w:val="center"/>
          </w:tcPr>
          <w:p w14:paraId="64AF9205">
            <w:pPr>
              <w:widowControl/>
              <w:jc w:val="center"/>
              <w:rPr>
                <w:rFonts w:eastAsia="仿宋"/>
                <w:kern w:val="0"/>
                <w:sz w:val="21"/>
                <w:szCs w:val="21"/>
              </w:rPr>
            </w:pPr>
            <w:r>
              <w:rPr>
                <w:rFonts w:hint="eastAsia" w:eastAsia="仿宋"/>
                <w:kern w:val="0"/>
                <w:sz w:val="21"/>
                <w:szCs w:val="21"/>
              </w:rPr>
              <w:t>0</w:t>
            </w:r>
            <w:r>
              <w:rPr>
                <w:rFonts w:eastAsia="仿宋"/>
                <w:kern w:val="0"/>
                <w:sz w:val="21"/>
                <w:szCs w:val="21"/>
              </w:rPr>
              <w:t>.03</w:t>
            </w:r>
          </w:p>
        </w:tc>
        <w:tc>
          <w:tcPr>
            <w:tcW w:w="1276" w:type="dxa"/>
            <w:shd w:val="clear" w:color="auto" w:fill="auto"/>
            <w:vAlign w:val="center"/>
          </w:tcPr>
          <w:p w14:paraId="3A3089C8">
            <w:pPr>
              <w:widowControl/>
              <w:jc w:val="center"/>
              <w:rPr>
                <w:rFonts w:eastAsia="仿宋"/>
                <w:kern w:val="0"/>
                <w:sz w:val="21"/>
                <w:szCs w:val="21"/>
              </w:rPr>
            </w:pPr>
            <w:r>
              <w:rPr>
                <w:rFonts w:hint="eastAsia" w:eastAsia="仿宋"/>
                <w:kern w:val="0"/>
                <w:sz w:val="21"/>
                <w:szCs w:val="21"/>
              </w:rPr>
              <w:t>0</w:t>
            </w:r>
          </w:p>
        </w:tc>
        <w:tc>
          <w:tcPr>
            <w:tcW w:w="1275" w:type="dxa"/>
            <w:shd w:val="clear" w:color="auto" w:fill="auto"/>
            <w:vAlign w:val="center"/>
          </w:tcPr>
          <w:p w14:paraId="2203A4DD">
            <w:pPr>
              <w:widowControl/>
              <w:jc w:val="center"/>
              <w:rPr>
                <w:rFonts w:eastAsia="仿宋"/>
                <w:kern w:val="0"/>
                <w:sz w:val="21"/>
                <w:szCs w:val="21"/>
              </w:rPr>
            </w:pPr>
            <w:r>
              <w:rPr>
                <w:rFonts w:hint="eastAsia" w:eastAsia="仿宋"/>
                <w:kern w:val="0"/>
                <w:sz w:val="21"/>
                <w:szCs w:val="21"/>
              </w:rPr>
              <w:t>0</w:t>
            </w:r>
          </w:p>
        </w:tc>
      </w:tr>
      <w:tr w14:paraId="139C73BB">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953" w:hRule="atLeast"/>
        </w:trPr>
        <w:tc>
          <w:tcPr>
            <w:tcW w:w="603" w:type="dxa"/>
            <w:shd w:val="clear" w:color="auto" w:fill="auto"/>
            <w:vAlign w:val="center"/>
          </w:tcPr>
          <w:p w14:paraId="43F60E20">
            <w:pPr>
              <w:widowControl/>
              <w:jc w:val="center"/>
              <w:rPr>
                <w:rFonts w:eastAsia="仿宋"/>
                <w:kern w:val="0"/>
                <w:sz w:val="21"/>
                <w:szCs w:val="21"/>
              </w:rPr>
            </w:pPr>
            <w:r>
              <w:rPr>
                <w:rFonts w:hint="eastAsia" w:eastAsia="仿宋"/>
                <w:kern w:val="0"/>
                <w:sz w:val="21"/>
                <w:szCs w:val="21"/>
              </w:rPr>
              <w:t>1</w:t>
            </w:r>
            <w:r>
              <w:rPr>
                <w:rFonts w:eastAsia="仿宋"/>
                <w:kern w:val="0"/>
                <w:sz w:val="21"/>
                <w:szCs w:val="21"/>
              </w:rPr>
              <w:t>5</w:t>
            </w:r>
          </w:p>
        </w:tc>
        <w:tc>
          <w:tcPr>
            <w:tcW w:w="967" w:type="dxa"/>
            <w:shd w:val="clear" w:color="auto" w:fill="auto"/>
            <w:vAlign w:val="center"/>
          </w:tcPr>
          <w:p w14:paraId="5B7C835B">
            <w:pPr>
              <w:widowControl/>
              <w:jc w:val="center"/>
              <w:rPr>
                <w:rFonts w:eastAsia="仿宋"/>
                <w:sz w:val="21"/>
                <w:szCs w:val="21"/>
              </w:rPr>
            </w:pPr>
            <w:r>
              <w:rPr>
                <w:rFonts w:hint="eastAsia" w:eastAsia="仿宋"/>
                <w:sz w:val="21"/>
                <w:szCs w:val="21"/>
              </w:rPr>
              <w:t>黔陶乡赵司村赵司河水源</w:t>
            </w:r>
          </w:p>
        </w:tc>
        <w:tc>
          <w:tcPr>
            <w:tcW w:w="992" w:type="dxa"/>
            <w:shd w:val="clear" w:color="auto" w:fill="auto"/>
            <w:vAlign w:val="center"/>
          </w:tcPr>
          <w:p w14:paraId="5AE19456">
            <w:pPr>
              <w:widowControl/>
              <w:jc w:val="center"/>
              <w:rPr>
                <w:rFonts w:eastAsia="仿宋"/>
                <w:kern w:val="0"/>
                <w:sz w:val="21"/>
                <w:szCs w:val="21"/>
              </w:rPr>
            </w:pPr>
            <w:r>
              <w:rPr>
                <w:rFonts w:hint="eastAsia" w:eastAsia="仿宋"/>
                <w:kern w:val="0"/>
                <w:sz w:val="21"/>
                <w:szCs w:val="21"/>
              </w:rPr>
              <w:t>地表水（河流）型</w:t>
            </w:r>
          </w:p>
        </w:tc>
        <w:tc>
          <w:tcPr>
            <w:tcW w:w="1559" w:type="dxa"/>
            <w:shd w:val="clear" w:color="auto" w:fill="auto"/>
            <w:vAlign w:val="center"/>
          </w:tcPr>
          <w:p w14:paraId="5FAF89BD">
            <w:pPr>
              <w:widowControl/>
              <w:jc w:val="center"/>
              <w:rPr>
                <w:rFonts w:eastAsia="仿宋_GB2312"/>
                <w:spacing w:val="-8"/>
                <w:sz w:val="21"/>
                <w:szCs w:val="21"/>
              </w:rPr>
            </w:pPr>
            <w:r>
              <w:rPr>
                <w:rFonts w:eastAsia="仿宋"/>
                <w:sz w:val="21"/>
                <w:szCs w:val="21"/>
              </w:rPr>
              <w:t>E</w:t>
            </w:r>
            <w:r>
              <w:rPr>
                <w:rFonts w:eastAsia="仿宋_GB2312"/>
                <w:spacing w:val="-8"/>
                <w:sz w:val="21"/>
                <w:szCs w:val="21"/>
              </w:rPr>
              <w:t xml:space="preserve"> 106°44'57.04"</w:t>
            </w:r>
            <w:r>
              <w:rPr>
                <w:rFonts w:hint="eastAsia" w:eastAsia="仿宋_GB2312"/>
                <w:spacing w:val="-8"/>
                <w:sz w:val="21"/>
                <w:szCs w:val="21"/>
              </w:rPr>
              <w:t>，</w:t>
            </w:r>
          </w:p>
          <w:p w14:paraId="49866603">
            <w:pPr>
              <w:widowControl/>
              <w:jc w:val="center"/>
              <w:rPr>
                <w:rFonts w:eastAsia="仿宋"/>
                <w:sz w:val="21"/>
                <w:szCs w:val="21"/>
              </w:rPr>
            </w:pPr>
            <w:r>
              <w:rPr>
                <w:rFonts w:eastAsia="仿宋"/>
                <w:sz w:val="21"/>
                <w:szCs w:val="21"/>
              </w:rPr>
              <w:t>N</w:t>
            </w:r>
            <w:r>
              <w:rPr>
                <w:rFonts w:eastAsia="仿宋_GB2312"/>
                <w:spacing w:val="-8"/>
                <w:sz w:val="21"/>
                <w:szCs w:val="21"/>
              </w:rPr>
              <w:t xml:space="preserve"> 26°19'8.50"</w:t>
            </w:r>
          </w:p>
        </w:tc>
        <w:tc>
          <w:tcPr>
            <w:tcW w:w="709" w:type="dxa"/>
            <w:shd w:val="clear" w:color="auto" w:fill="auto"/>
            <w:vAlign w:val="center"/>
          </w:tcPr>
          <w:p w14:paraId="304A2C50">
            <w:pPr>
              <w:widowControl/>
              <w:jc w:val="center"/>
              <w:rPr>
                <w:rFonts w:eastAsia="仿宋"/>
                <w:kern w:val="0"/>
                <w:sz w:val="21"/>
                <w:szCs w:val="21"/>
              </w:rPr>
            </w:pPr>
            <w:r>
              <w:rPr>
                <w:rFonts w:eastAsia="仿宋"/>
                <w:kern w:val="0"/>
                <w:sz w:val="21"/>
                <w:szCs w:val="21"/>
              </w:rPr>
              <w:t>正常</w:t>
            </w:r>
          </w:p>
        </w:tc>
        <w:tc>
          <w:tcPr>
            <w:tcW w:w="1134" w:type="dxa"/>
            <w:shd w:val="clear" w:color="auto" w:fill="auto"/>
            <w:vAlign w:val="center"/>
          </w:tcPr>
          <w:p w14:paraId="15A85DB5">
            <w:pPr>
              <w:widowControl/>
              <w:jc w:val="center"/>
              <w:rPr>
                <w:rFonts w:eastAsia="仿宋"/>
                <w:kern w:val="0"/>
                <w:sz w:val="21"/>
                <w:szCs w:val="21"/>
              </w:rPr>
            </w:pPr>
            <w:r>
              <w:rPr>
                <w:rFonts w:hint="eastAsia" w:eastAsia="仿宋"/>
                <w:kern w:val="0"/>
                <w:sz w:val="21"/>
                <w:szCs w:val="21"/>
              </w:rPr>
              <w:t>0</w:t>
            </w:r>
            <w:r>
              <w:rPr>
                <w:rFonts w:eastAsia="仿宋"/>
                <w:kern w:val="0"/>
                <w:sz w:val="21"/>
                <w:szCs w:val="21"/>
              </w:rPr>
              <w:t>.592</w:t>
            </w:r>
          </w:p>
        </w:tc>
        <w:tc>
          <w:tcPr>
            <w:tcW w:w="1276" w:type="dxa"/>
            <w:shd w:val="clear" w:color="auto" w:fill="auto"/>
            <w:vAlign w:val="center"/>
          </w:tcPr>
          <w:p w14:paraId="10942601">
            <w:pPr>
              <w:widowControl/>
              <w:jc w:val="center"/>
              <w:rPr>
                <w:rFonts w:eastAsia="仿宋"/>
                <w:kern w:val="0"/>
                <w:sz w:val="21"/>
                <w:szCs w:val="21"/>
              </w:rPr>
            </w:pPr>
            <w:r>
              <w:rPr>
                <w:rFonts w:hint="eastAsia" w:eastAsia="仿宋"/>
                <w:kern w:val="0"/>
                <w:sz w:val="21"/>
                <w:szCs w:val="21"/>
              </w:rPr>
              <w:t>0</w:t>
            </w:r>
          </w:p>
        </w:tc>
        <w:tc>
          <w:tcPr>
            <w:tcW w:w="1275" w:type="dxa"/>
            <w:shd w:val="clear" w:color="auto" w:fill="auto"/>
            <w:vAlign w:val="center"/>
          </w:tcPr>
          <w:p w14:paraId="420C4451">
            <w:pPr>
              <w:widowControl/>
              <w:jc w:val="center"/>
              <w:rPr>
                <w:rFonts w:eastAsia="仿宋"/>
                <w:kern w:val="0"/>
                <w:sz w:val="21"/>
                <w:szCs w:val="21"/>
              </w:rPr>
            </w:pPr>
            <w:r>
              <w:rPr>
                <w:rFonts w:hint="eastAsia" w:eastAsia="仿宋"/>
                <w:kern w:val="0"/>
                <w:sz w:val="21"/>
                <w:szCs w:val="21"/>
              </w:rPr>
              <w:t>0</w:t>
            </w:r>
          </w:p>
        </w:tc>
      </w:tr>
      <w:tr w14:paraId="12A83DA8">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953" w:hRule="atLeast"/>
        </w:trPr>
        <w:tc>
          <w:tcPr>
            <w:tcW w:w="603" w:type="dxa"/>
            <w:shd w:val="clear" w:color="auto" w:fill="auto"/>
            <w:vAlign w:val="center"/>
          </w:tcPr>
          <w:p w14:paraId="54B0566C">
            <w:pPr>
              <w:widowControl/>
              <w:jc w:val="center"/>
              <w:rPr>
                <w:rFonts w:eastAsia="仿宋"/>
                <w:kern w:val="0"/>
                <w:sz w:val="21"/>
                <w:szCs w:val="21"/>
              </w:rPr>
            </w:pPr>
            <w:r>
              <w:rPr>
                <w:rFonts w:hint="eastAsia" w:eastAsia="仿宋"/>
                <w:kern w:val="0"/>
                <w:sz w:val="21"/>
                <w:szCs w:val="21"/>
              </w:rPr>
              <w:t>1</w:t>
            </w:r>
            <w:r>
              <w:rPr>
                <w:rFonts w:eastAsia="仿宋"/>
                <w:kern w:val="0"/>
                <w:sz w:val="21"/>
                <w:szCs w:val="21"/>
              </w:rPr>
              <w:t>6</w:t>
            </w:r>
          </w:p>
        </w:tc>
        <w:tc>
          <w:tcPr>
            <w:tcW w:w="967" w:type="dxa"/>
            <w:shd w:val="clear" w:color="auto" w:fill="auto"/>
            <w:vAlign w:val="center"/>
          </w:tcPr>
          <w:p w14:paraId="545C9A6F">
            <w:pPr>
              <w:widowControl/>
              <w:jc w:val="center"/>
              <w:rPr>
                <w:rFonts w:eastAsia="仿宋"/>
                <w:sz w:val="21"/>
                <w:szCs w:val="21"/>
              </w:rPr>
            </w:pPr>
            <w:r>
              <w:rPr>
                <w:rFonts w:hint="eastAsia" w:eastAsia="仿宋"/>
                <w:sz w:val="21"/>
                <w:szCs w:val="21"/>
              </w:rPr>
              <w:t>青岩镇达夯村坡六塘水源</w:t>
            </w:r>
          </w:p>
        </w:tc>
        <w:tc>
          <w:tcPr>
            <w:tcW w:w="992" w:type="dxa"/>
            <w:shd w:val="clear" w:color="auto" w:fill="auto"/>
            <w:vAlign w:val="center"/>
          </w:tcPr>
          <w:p w14:paraId="22AB35BC">
            <w:pPr>
              <w:widowControl/>
              <w:jc w:val="center"/>
              <w:rPr>
                <w:rFonts w:eastAsia="仿宋"/>
                <w:kern w:val="0"/>
                <w:sz w:val="21"/>
                <w:szCs w:val="21"/>
              </w:rPr>
            </w:pPr>
            <w:r>
              <w:rPr>
                <w:rFonts w:hint="eastAsia" w:eastAsia="仿宋"/>
                <w:kern w:val="0"/>
                <w:sz w:val="21"/>
                <w:szCs w:val="21"/>
              </w:rPr>
              <w:t>地下水型</w:t>
            </w:r>
          </w:p>
        </w:tc>
        <w:tc>
          <w:tcPr>
            <w:tcW w:w="1559" w:type="dxa"/>
            <w:shd w:val="clear" w:color="auto" w:fill="auto"/>
            <w:vAlign w:val="center"/>
          </w:tcPr>
          <w:p w14:paraId="05F6855B">
            <w:pPr>
              <w:widowControl/>
              <w:jc w:val="center"/>
              <w:rPr>
                <w:rFonts w:eastAsia="仿宋_GB2312"/>
                <w:spacing w:val="-8"/>
                <w:sz w:val="21"/>
                <w:szCs w:val="21"/>
              </w:rPr>
            </w:pPr>
            <w:r>
              <w:rPr>
                <w:rFonts w:eastAsia="仿宋"/>
                <w:sz w:val="21"/>
                <w:szCs w:val="21"/>
              </w:rPr>
              <w:t>E</w:t>
            </w:r>
            <w:r>
              <w:rPr>
                <w:rFonts w:eastAsia="仿宋_GB2312"/>
                <w:spacing w:val="-8"/>
                <w:sz w:val="21"/>
                <w:szCs w:val="21"/>
              </w:rPr>
              <w:t xml:space="preserve"> 106°37'54.22"</w:t>
            </w:r>
            <w:r>
              <w:rPr>
                <w:rFonts w:hint="eastAsia" w:eastAsia="仿宋_GB2312"/>
                <w:spacing w:val="-8"/>
                <w:sz w:val="21"/>
                <w:szCs w:val="21"/>
              </w:rPr>
              <w:t>，</w:t>
            </w:r>
          </w:p>
          <w:p w14:paraId="52ECDC49">
            <w:pPr>
              <w:widowControl/>
              <w:jc w:val="center"/>
              <w:rPr>
                <w:rFonts w:eastAsia="仿宋"/>
                <w:sz w:val="21"/>
                <w:szCs w:val="21"/>
              </w:rPr>
            </w:pPr>
            <w:r>
              <w:rPr>
                <w:rFonts w:eastAsia="仿宋"/>
                <w:sz w:val="21"/>
                <w:szCs w:val="21"/>
              </w:rPr>
              <w:t>N</w:t>
            </w:r>
            <w:r>
              <w:rPr>
                <w:rFonts w:eastAsia="仿宋_GB2312"/>
                <w:spacing w:val="-8"/>
                <w:sz w:val="21"/>
                <w:szCs w:val="21"/>
              </w:rPr>
              <w:t xml:space="preserve"> 26°18'26.97"</w:t>
            </w:r>
          </w:p>
        </w:tc>
        <w:tc>
          <w:tcPr>
            <w:tcW w:w="709" w:type="dxa"/>
            <w:shd w:val="clear" w:color="auto" w:fill="auto"/>
            <w:vAlign w:val="center"/>
          </w:tcPr>
          <w:p w14:paraId="5A2C6094">
            <w:pPr>
              <w:widowControl/>
              <w:jc w:val="center"/>
              <w:rPr>
                <w:rFonts w:eastAsia="仿宋"/>
                <w:kern w:val="0"/>
                <w:sz w:val="21"/>
                <w:szCs w:val="21"/>
              </w:rPr>
            </w:pPr>
            <w:r>
              <w:rPr>
                <w:rFonts w:eastAsia="仿宋"/>
                <w:kern w:val="0"/>
                <w:sz w:val="21"/>
                <w:szCs w:val="21"/>
              </w:rPr>
              <w:t>正常</w:t>
            </w:r>
          </w:p>
        </w:tc>
        <w:tc>
          <w:tcPr>
            <w:tcW w:w="1134" w:type="dxa"/>
            <w:shd w:val="clear" w:color="auto" w:fill="auto"/>
            <w:vAlign w:val="center"/>
          </w:tcPr>
          <w:p w14:paraId="76E3C673">
            <w:pPr>
              <w:widowControl/>
              <w:jc w:val="center"/>
              <w:rPr>
                <w:rFonts w:eastAsia="仿宋"/>
                <w:kern w:val="0"/>
                <w:sz w:val="21"/>
                <w:szCs w:val="21"/>
              </w:rPr>
            </w:pPr>
            <w:r>
              <w:rPr>
                <w:rFonts w:hint="eastAsia" w:eastAsia="仿宋"/>
                <w:kern w:val="0"/>
                <w:sz w:val="21"/>
                <w:szCs w:val="21"/>
              </w:rPr>
              <w:t>0</w:t>
            </w:r>
            <w:r>
              <w:rPr>
                <w:rFonts w:eastAsia="仿宋"/>
                <w:kern w:val="0"/>
                <w:sz w:val="21"/>
                <w:szCs w:val="21"/>
              </w:rPr>
              <w:t>.03</w:t>
            </w:r>
          </w:p>
        </w:tc>
        <w:tc>
          <w:tcPr>
            <w:tcW w:w="1276" w:type="dxa"/>
            <w:shd w:val="clear" w:color="auto" w:fill="auto"/>
            <w:vAlign w:val="center"/>
          </w:tcPr>
          <w:p w14:paraId="10A3AB76">
            <w:pPr>
              <w:widowControl/>
              <w:jc w:val="center"/>
              <w:rPr>
                <w:rFonts w:eastAsia="仿宋"/>
                <w:kern w:val="0"/>
                <w:sz w:val="21"/>
                <w:szCs w:val="21"/>
              </w:rPr>
            </w:pPr>
            <w:r>
              <w:rPr>
                <w:rFonts w:hint="eastAsia" w:eastAsia="仿宋"/>
                <w:kern w:val="0"/>
                <w:sz w:val="21"/>
                <w:szCs w:val="21"/>
              </w:rPr>
              <w:t>0</w:t>
            </w:r>
          </w:p>
        </w:tc>
        <w:tc>
          <w:tcPr>
            <w:tcW w:w="1275" w:type="dxa"/>
            <w:shd w:val="clear" w:color="auto" w:fill="auto"/>
            <w:vAlign w:val="center"/>
          </w:tcPr>
          <w:p w14:paraId="1CD460C8">
            <w:pPr>
              <w:widowControl/>
              <w:jc w:val="center"/>
              <w:rPr>
                <w:rFonts w:eastAsia="仿宋"/>
                <w:kern w:val="0"/>
                <w:sz w:val="21"/>
                <w:szCs w:val="21"/>
              </w:rPr>
            </w:pPr>
            <w:r>
              <w:rPr>
                <w:rFonts w:hint="eastAsia" w:eastAsia="仿宋"/>
                <w:kern w:val="0"/>
                <w:sz w:val="21"/>
                <w:szCs w:val="21"/>
              </w:rPr>
              <w:t>0</w:t>
            </w:r>
          </w:p>
        </w:tc>
      </w:tr>
      <w:tr w14:paraId="456BC962">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953" w:hRule="atLeast"/>
        </w:trPr>
        <w:tc>
          <w:tcPr>
            <w:tcW w:w="603" w:type="dxa"/>
            <w:shd w:val="clear" w:color="auto" w:fill="auto"/>
            <w:vAlign w:val="center"/>
          </w:tcPr>
          <w:p w14:paraId="6C155825">
            <w:pPr>
              <w:widowControl/>
              <w:jc w:val="center"/>
              <w:rPr>
                <w:rFonts w:eastAsia="仿宋"/>
                <w:kern w:val="0"/>
                <w:sz w:val="21"/>
                <w:szCs w:val="21"/>
              </w:rPr>
            </w:pPr>
            <w:r>
              <w:rPr>
                <w:rFonts w:hint="eastAsia" w:eastAsia="仿宋"/>
                <w:kern w:val="0"/>
                <w:sz w:val="21"/>
                <w:szCs w:val="21"/>
              </w:rPr>
              <w:t>1</w:t>
            </w:r>
            <w:r>
              <w:rPr>
                <w:rFonts w:eastAsia="仿宋"/>
                <w:kern w:val="0"/>
                <w:sz w:val="21"/>
                <w:szCs w:val="21"/>
              </w:rPr>
              <w:t>7</w:t>
            </w:r>
          </w:p>
        </w:tc>
        <w:tc>
          <w:tcPr>
            <w:tcW w:w="967" w:type="dxa"/>
            <w:shd w:val="clear" w:color="auto" w:fill="auto"/>
            <w:vAlign w:val="center"/>
          </w:tcPr>
          <w:p w14:paraId="6E6EC1E0">
            <w:pPr>
              <w:widowControl/>
              <w:jc w:val="center"/>
              <w:rPr>
                <w:rFonts w:eastAsia="仿宋"/>
                <w:sz w:val="21"/>
                <w:szCs w:val="21"/>
              </w:rPr>
            </w:pPr>
            <w:r>
              <w:rPr>
                <w:rFonts w:hint="eastAsia" w:eastAsia="仿宋"/>
                <w:sz w:val="21"/>
                <w:szCs w:val="21"/>
              </w:rPr>
              <w:t>青岩镇龙井村水源</w:t>
            </w:r>
          </w:p>
        </w:tc>
        <w:tc>
          <w:tcPr>
            <w:tcW w:w="992" w:type="dxa"/>
            <w:shd w:val="clear" w:color="auto" w:fill="auto"/>
            <w:vAlign w:val="center"/>
          </w:tcPr>
          <w:p w14:paraId="385EE1DB">
            <w:pPr>
              <w:widowControl/>
              <w:jc w:val="center"/>
              <w:rPr>
                <w:rFonts w:eastAsia="仿宋"/>
                <w:kern w:val="0"/>
                <w:sz w:val="21"/>
                <w:szCs w:val="21"/>
              </w:rPr>
            </w:pPr>
            <w:r>
              <w:rPr>
                <w:rFonts w:hint="eastAsia" w:eastAsia="仿宋"/>
                <w:kern w:val="0"/>
                <w:sz w:val="21"/>
                <w:szCs w:val="21"/>
              </w:rPr>
              <w:t>地下水型</w:t>
            </w:r>
          </w:p>
        </w:tc>
        <w:tc>
          <w:tcPr>
            <w:tcW w:w="1559" w:type="dxa"/>
            <w:shd w:val="clear" w:color="auto" w:fill="auto"/>
            <w:vAlign w:val="center"/>
          </w:tcPr>
          <w:p w14:paraId="2AC8799B">
            <w:pPr>
              <w:widowControl/>
              <w:jc w:val="center"/>
              <w:rPr>
                <w:rFonts w:eastAsia="仿宋_GB2312"/>
                <w:spacing w:val="-8"/>
                <w:sz w:val="21"/>
                <w:szCs w:val="21"/>
              </w:rPr>
            </w:pPr>
            <w:r>
              <w:rPr>
                <w:rFonts w:eastAsia="仿宋"/>
                <w:sz w:val="21"/>
                <w:szCs w:val="21"/>
              </w:rPr>
              <w:t>E</w:t>
            </w:r>
            <w:r>
              <w:rPr>
                <w:rFonts w:eastAsia="仿宋_GB2312"/>
                <w:spacing w:val="-8"/>
                <w:sz w:val="21"/>
                <w:szCs w:val="21"/>
              </w:rPr>
              <w:t xml:space="preserve"> 106°40'1.36"</w:t>
            </w:r>
            <w:r>
              <w:rPr>
                <w:rFonts w:hint="eastAsia" w:eastAsia="仿宋_GB2312"/>
                <w:spacing w:val="-8"/>
                <w:sz w:val="21"/>
                <w:szCs w:val="21"/>
              </w:rPr>
              <w:t>，</w:t>
            </w:r>
          </w:p>
          <w:p w14:paraId="6EE94C9C">
            <w:pPr>
              <w:widowControl/>
              <w:jc w:val="center"/>
              <w:rPr>
                <w:rFonts w:eastAsia="仿宋"/>
                <w:sz w:val="21"/>
                <w:szCs w:val="21"/>
              </w:rPr>
            </w:pPr>
            <w:r>
              <w:rPr>
                <w:rFonts w:eastAsia="仿宋"/>
                <w:sz w:val="21"/>
                <w:szCs w:val="21"/>
              </w:rPr>
              <w:t>N</w:t>
            </w:r>
            <w:r>
              <w:rPr>
                <w:rFonts w:eastAsia="仿宋_GB2312"/>
                <w:spacing w:val="-8"/>
                <w:sz w:val="21"/>
                <w:szCs w:val="21"/>
              </w:rPr>
              <w:t xml:space="preserve"> 26°20'13.97"</w:t>
            </w:r>
          </w:p>
        </w:tc>
        <w:tc>
          <w:tcPr>
            <w:tcW w:w="709" w:type="dxa"/>
            <w:shd w:val="clear" w:color="auto" w:fill="auto"/>
            <w:vAlign w:val="center"/>
          </w:tcPr>
          <w:p w14:paraId="543B150C">
            <w:pPr>
              <w:widowControl/>
              <w:jc w:val="center"/>
              <w:rPr>
                <w:rFonts w:eastAsia="仿宋"/>
                <w:kern w:val="0"/>
                <w:sz w:val="21"/>
                <w:szCs w:val="21"/>
              </w:rPr>
            </w:pPr>
            <w:r>
              <w:rPr>
                <w:rFonts w:eastAsia="仿宋"/>
                <w:kern w:val="0"/>
                <w:sz w:val="21"/>
                <w:szCs w:val="21"/>
              </w:rPr>
              <w:t>正常</w:t>
            </w:r>
          </w:p>
        </w:tc>
        <w:tc>
          <w:tcPr>
            <w:tcW w:w="1134" w:type="dxa"/>
            <w:shd w:val="clear" w:color="auto" w:fill="auto"/>
            <w:vAlign w:val="center"/>
          </w:tcPr>
          <w:p w14:paraId="1C9EE29F">
            <w:pPr>
              <w:widowControl/>
              <w:jc w:val="center"/>
              <w:rPr>
                <w:rFonts w:eastAsia="仿宋"/>
                <w:kern w:val="0"/>
                <w:sz w:val="21"/>
                <w:szCs w:val="21"/>
              </w:rPr>
            </w:pPr>
            <w:r>
              <w:rPr>
                <w:rFonts w:hint="eastAsia" w:eastAsia="仿宋"/>
                <w:kern w:val="0"/>
                <w:sz w:val="21"/>
                <w:szCs w:val="21"/>
              </w:rPr>
              <w:t>0</w:t>
            </w:r>
            <w:r>
              <w:rPr>
                <w:rFonts w:eastAsia="仿宋"/>
                <w:kern w:val="0"/>
                <w:sz w:val="21"/>
                <w:szCs w:val="21"/>
              </w:rPr>
              <w:t>.0026</w:t>
            </w:r>
          </w:p>
        </w:tc>
        <w:tc>
          <w:tcPr>
            <w:tcW w:w="1276" w:type="dxa"/>
            <w:shd w:val="clear" w:color="auto" w:fill="auto"/>
            <w:vAlign w:val="center"/>
          </w:tcPr>
          <w:p w14:paraId="12006584">
            <w:pPr>
              <w:widowControl/>
              <w:jc w:val="center"/>
              <w:rPr>
                <w:rFonts w:eastAsia="仿宋"/>
                <w:kern w:val="0"/>
                <w:sz w:val="21"/>
                <w:szCs w:val="21"/>
              </w:rPr>
            </w:pPr>
            <w:r>
              <w:rPr>
                <w:rFonts w:hint="eastAsia" w:eastAsia="仿宋"/>
                <w:kern w:val="0"/>
                <w:sz w:val="21"/>
                <w:szCs w:val="21"/>
              </w:rPr>
              <w:t>0</w:t>
            </w:r>
          </w:p>
        </w:tc>
        <w:tc>
          <w:tcPr>
            <w:tcW w:w="1275" w:type="dxa"/>
            <w:shd w:val="clear" w:color="auto" w:fill="auto"/>
            <w:vAlign w:val="center"/>
          </w:tcPr>
          <w:p w14:paraId="3554CE54">
            <w:pPr>
              <w:widowControl/>
              <w:jc w:val="center"/>
              <w:rPr>
                <w:rFonts w:eastAsia="仿宋"/>
                <w:kern w:val="0"/>
                <w:sz w:val="21"/>
                <w:szCs w:val="21"/>
              </w:rPr>
            </w:pPr>
            <w:r>
              <w:rPr>
                <w:rFonts w:hint="eastAsia" w:eastAsia="仿宋"/>
                <w:kern w:val="0"/>
                <w:sz w:val="21"/>
                <w:szCs w:val="21"/>
              </w:rPr>
              <w:t>0</w:t>
            </w:r>
          </w:p>
        </w:tc>
      </w:tr>
      <w:tr w14:paraId="061BD6F2">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953" w:hRule="atLeast"/>
        </w:trPr>
        <w:tc>
          <w:tcPr>
            <w:tcW w:w="603" w:type="dxa"/>
            <w:shd w:val="clear" w:color="auto" w:fill="auto"/>
            <w:vAlign w:val="center"/>
          </w:tcPr>
          <w:p w14:paraId="3DDFDEE4">
            <w:pPr>
              <w:widowControl/>
              <w:jc w:val="center"/>
              <w:rPr>
                <w:rFonts w:eastAsia="仿宋"/>
                <w:kern w:val="0"/>
                <w:sz w:val="21"/>
                <w:szCs w:val="21"/>
              </w:rPr>
            </w:pPr>
            <w:r>
              <w:rPr>
                <w:rFonts w:hint="eastAsia" w:eastAsia="仿宋"/>
                <w:kern w:val="0"/>
                <w:sz w:val="21"/>
                <w:szCs w:val="21"/>
              </w:rPr>
              <w:t>1</w:t>
            </w:r>
            <w:r>
              <w:rPr>
                <w:rFonts w:eastAsia="仿宋"/>
                <w:kern w:val="0"/>
                <w:sz w:val="21"/>
                <w:szCs w:val="21"/>
              </w:rPr>
              <w:t>8</w:t>
            </w:r>
          </w:p>
        </w:tc>
        <w:tc>
          <w:tcPr>
            <w:tcW w:w="967" w:type="dxa"/>
            <w:shd w:val="clear" w:color="auto" w:fill="auto"/>
            <w:vAlign w:val="center"/>
          </w:tcPr>
          <w:p w14:paraId="281331E1">
            <w:pPr>
              <w:widowControl/>
              <w:jc w:val="center"/>
              <w:rPr>
                <w:rFonts w:eastAsia="仿宋"/>
                <w:sz w:val="21"/>
                <w:szCs w:val="21"/>
              </w:rPr>
            </w:pPr>
            <w:r>
              <w:rPr>
                <w:rFonts w:hint="eastAsia" w:eastAsia="仿宋"/>
                <w:sz w:val="21"/>
                <w:szCs w:val="21"/>
              </w:rPr>
              <w:t>青岩镇思潜村赵司河水源</w:t>
            </w:r>
          </w:p>
        </w:tc>
        <w:tc>
          <w:tcPr>
            <w:tcW w:w="992" w:type="dxa"/>
            <w:shd w:val="clear" w:color="auto" w:fill="auto"/>
            <w:vAlign w:val="center"/>
          </w:tcPr>
          <w:p w14:paraId="32735F07">
            <w:pPr>
              <w:widowControl/>
              <w:jc w:val="center"/>
              <w:rPr>
                <w:rFonts w:eastAsia="仿宋"/>
                <w:kern w:val="0"/>
                <w:sz w:val="21"/>
                <w:szCs w:val="21"/>
              </w:rPr>
            </w:pPr>
            <w:r>
              <w:rPr>
                <w:rFonts w:hint="eastAsia" w:eastAsia="仿宋"/>
                <w:kern w:val="0"/>
                <w:sz w:val="21"/>
                <w:szCs w:val="21"/>
              </w:rPr>
              <w:t>地表水（河流）型</w:t>
            </w:r>
          </w:p>
        </w:tc>
        <w:tc>
          <w:tcPr>
            <w:tcW w:w="1559" w:type="dxa"/>
            <w:shd w:val="clear" w:color="auto" w:fill="auto"/>
            <w:vAlign w:val="center"/>
          </w:tcPr>
          <w:p w14:paraId="4144C7BC">
            <w:pPr>
              <w:widowControl/>
              <w:jc w:val="center"/>
              <w:rPr>
                <w:rFonts w:eastAsia="仿宋_GB2312"/>
                <w:spacing w:val="-8"/>
                <w:sz w:val="21"/>
                <w:szCs w:val="21"/>
              </w:rPr>
            </w:pPr>
            <w:r>
              <w:rPr>
                <w:rFonts w:eastAsia="仿宋"/>
                <w:sz w:val="21"/>
                <w:szCs w:val="21"/>
              </w:rPr>
              <w:t>E</w:t>
            </w:r>
            <w:r>
              <w:rPr>
                <w:rFonts w:eastAsia="仿宋_GB2312"/>
                <w:spacing w:val="-8"/>
                <w:sz w:val="21"/>
                <w:szCs w:val="21"/>
              </w:rPr>
              <w:t xml:space="preserve"> 106°43'25.81"</w:t>
            </w:r>
            <w:r>
              <w:rPr>
                <w:rFonts w:hint="eastAsia" w:eastAsia="仿宋_GB2312"/>
                <w:spacing w:val="-8"/>
                <w:sz w:val="21"/>
                <w:szCs w:val="21"/>
              </w:rPr>
              <w:t>，</w:t>
            </w:r>
          </w:p>
          <w:p w14:paraId="4C5DA639">
            <w:pPr>
              <w:widowControl/>
              <w:jc w:val="center"/>
              <w:rPr>
                <w:rFonts w:eastAsia="仿宋"/>
                <w:sz w:val="21"/>
                <w:szCs w:val="21"/>
              </w:rPr>
            </w:pPr>
            <w:r>
              <w:rPr>
                <w:rFonts w:eastAsia="仿宋"/>
                <w:sz w:val="21"/>
                <w:szCs w:val="21"/>
              </w:rPr>
              <w:t>N</w:t>
            </w:r>
            <w:r>
              <w:rPr>
                <w:rFonts w:eastAsia="仿宋_GB2312"/>
                <w:spacing w:val="-8"/>
                <w:sz w:val="21"/>
                <w:szCs w:val="21"/>
              </w:rPr>
              <w:t xml:space="preserve"> 26°18'29.16"</w:t>
            </w:r>
          </w:p>
        </w:tc>
        <w:tc>
          <w:tcPr>
            <w:tcW w:w="709" w:type="dxa"/>
            <w:shd w:val="clear" w:color="auto" w:fill="auto"/>
            <w:vAlign w:val="center"/>
          </w:tcPr>
          <w:p w14:paraId="413FF00B">
            <w:pPr>
              <w:widowControl/>
              <w:jc w:val="center"/>
              <w:rPr>
                <w:rFonts w:eastAsia="仿宋"/>
                <w:kern w:val="0"/>
                <w:sz w:val="21"/>
                <w:szCs w:val="21"/>
              </w:rPr>
            </w:pPr>
            <w:r>
              <w:rPr>
                <w:rFonts w:eastAsia="仿宋"/>
                <w:kern w:val="0"/>
                <w:sz w:val="21"/>
                <w:szCs w:val="21"/>
              </w:rPr>
              <w:t>正常</w:t>
            </w:r>
          </w:p>
        </w:tc>
        <w:tc>
          <w:tcPr>
            <w:tcW w:w="1134" w:type="dxa"/>
            <w:shd w:val="clear" w:color="auto" w:fill="auto"/>
            <w:vAlign w:val="center"/>
          </w:tcPr>
          <w:p w14:paraId="25E258E5">
            <w:pPr>
              <w:widowControl/>
              <w:jc w:val="center"/>
              <w:rPr>
                <w:rFonts w:eastAsia="仿宋"/>
                <w:kern w:val="0"/>
                <w:sz w:val="21"/>
                <w:szCs w:val="21"/>
              </w:rPr>
            </w:pPr>
            <w:r>
              <w:rPr>
                <w:rFonts w:eastAsia="仿宋"/>
                <w:kern w:val="0"/>
                <w:sz w:val="21"/>
                <w:szCs w:val="21"/>
              </w:rPr>
              <w:t>9.05</w:t>
            </w:r>
          </w:p>
        </w:tc>
        <w:tc>
          <w:tcPr>
            <w:tcW w:w="1276" w:type="dxa"/>
            <w:shd w:val="clear" w:color="auto" w:fill="auto"/>
            <w:vAlign w:val="center"/>
          </w:tcPr>
          <w:p w14:paraId="56A17F72">
            <w:pPr>
              <w:widowControl/>
              <w:jc w:val="center"/>
              <w:rPr>
                <w:rFonts w:eastAsia="仿宋"/>
                <w:kern w:val="0"/>
                <w:sz w:val="21"/>
                <w:szCs w:val="21"/>
              </w:rPr>
            </w:pPr>
            <w:r>
              <w:rPr>
                <w:rFonts w:hint="eastAsia" w:eastAsia="仿宋"/>
                <w:kern w:val="0"/>
                <w:sz w:val="21"/>
                <w:szCs w:val="21"/>
              </w:rPr>
              <w:t>0</w:t>
            </w:r>
          </w:p>
        </w:tc>
        <w:tc>
          <w:tcPr>
            <w:tcW w:w="1275" w:type="dxa"/>
            <w:shd w:val="clear" w:color="auto" w:fill="auto"/>
            <w:vAlign w:val="center"/>
          </w:tcPr>
          <w:p w14:paraId="40B18CBA">
            <w:pPr>
              <w:widowControl/>
              <w:jc w:val="center"/>
              <w:rPr>
                <w:rFonts w:eastAsia="仿宋"/>
                <w:kern w:val="0"/>
                <w:sz w:val="21"/>
                <w:szCs w:val="21"/>
              </w:rPr>
            </w:pPr>
            <w:r>
              <w:rPr>
                <w:rFonts w:hint="eastAsia" w:eastAsia="仿宋"/>
                <w:kern w:val="0"/>
                <w:sz w:val="21"/>
                <w:szCs w:val="21"/>
              </w:rPr>
              <w:t>0</w:t>
            </w:r>
          </w:p>
        </w:tc>
      </w:tr>
      <w:tr w14:paraId="5191649E">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953" w:hRule="atLeast"/>
        </w:trPr>
        <w:tc>
          <w:tcPr>
            <w:tcW w:w="603" w:type="dxa"/>
            <w:shd w:val="clear" w:color="auto" w:fill="auto"/>
            <w:vAlign w:val="center"/>
          </w:tcPr>
          <w:p w14:paraId="08D9B8E9">
            <w:pPr>
              <w:widowControl/>
              <w:jc w:val="center"/>
              <w:rPr>
                <w:rFonts w:eastAsia="仿宋"/>
                <w:kern w:val="0"/>
                <w:sz w:val="21"/>
                <w:szCs w:val="21"/>
              </w:rPr>
            </w:pPr>
            <w:r>
              <w:rPr>
                <w:rFonts w:hint="eastAsia" w:eastAsia="仿宋"/>
                <w:kern w:val="0"/>
                <w:sz w:val="21"/>
                <w:szCs w:val="21"/>
              </w:rPr>
              <w:t>1</w:t>
            </w:r>
            <w:r>
              <w:rPr>
                <w:rFonts w:eastAsia="仿宋"/>
                <w:kern w:val="0"/>
                <w:sz w:val="21"/>
                <w:szCs w:val="21"/>
              </w:rPr>
              <w:t>9</w:t>
            </w:r>
          </w:p>
        </w:tc>
        <w:tc>
          <w:tcPr>
            <w:tcW w:w="967" w:type="dxa"/>
            <w:shd w:val="clear" w:color="auto" w:fill="auto"/>
            <w:vAlign w:val="center"/>
          </w:tcPr>
          <w:p w14:paraId="6FC59688">
            <w:pPr>
              <w:widowControl/>
              <w:jc w:val="center"/>
              <w:rPr>
                <w:rFonts w:eastAsia="仿宋"/>
                <w:sz w:val="21"/>
                <w:szCs w:val="21"/>
              </w:rPr>
            </w:pPr>
            <w:r>
              <w:rPr>
                <w:rFonts w:hint="eastAsia" w:eastAsia="仿宋"/>
                <w:sz w:val="21"/>
                <w:szCs w:val="21"/>
              </w:rPr>
              <w:t>青岩镇西门河水源</w:t>
            </w:r>
          </w:p>
        </w:tc>
        <w:tc>
          <w:tcPr>
            <w:tcW w:w="992" w:type="dxa"/>
            <w:shd w:val="clear" w:color="auto" w:fill="auto"/>
            <w:vAlign w:val="center"/>
          </w:tcPr>
          <w:p w14:paraId="43053CC3">
            <w:pPr>
              <w:widowControl/>
              <w:jc w:val="center"/>
              <w:rPr>
                <w:rFonts w:eastAsia="仿宋"/>
                <w:kern w:val="0"/>
                <w:sz w:val="21"/>
                <w:szCs w:val="21"/>
              </w:rPr>
            </w:pPr>
            <w:r>
              <w:rPr>
                <w:rFonts w:hint="eastAsia" w:eastAsia="仿宋"/>
                <w:kern w:val="0"/>
                <w:sz w:val="21"/>
                <w:szCs w:val="21"/>
              </w:rPr>
              <w:t>地表水（河流）型</w:t>
            </w:r>
          </w:p>
        </w:tc>
        <w:tc>
          <w:tcPr>
            <w:tcW w:w="1559" w:type="dxa"/>
            <w:shd w:val="clear" w:color="auto" w:fill="auto"/>
            <w:vAlign w:val="center"/>
          </w:tcPr>
          <w:p w14:paraId="60B97A13">
            <w:pPr>
              <w:widowControl/>
              <w:jc w:val="center"/>
              <w:rPr>
                <w:rFonts w:eastAsia="仿宋_GB2312"/>
                <w:spacing w:val="-8"/>
                <w:sz w:val="21"/>
                <w:szCs w:val="21"/>
              </w:rPr>
            </w:pPr>
            <w:r>
              <w:rPr>
                <w:rFonts w:eastAsia="仿宋"/>
                <w:sz w:val="21"/>
                <w:szCs w:val="21"/>
              </w:rPr>
              <w:t>E</w:t>
            </w:r>
            <w:r>
              <w:rPr>
                <w:rFonts w:eastAsia="仿宋_GB2312"/>
                <w:spacing w:val="-8"/>
                <w:sz w:val="21"/>
                <w:szCs w:val="21"/>
              </w:rPr>
              <w:t xml:space="preserve"> 106°40'42.51"</w:t>
            </w:r>
            <w:r>
              <w:rPr>
                <w:rFonts w:hint="eastAsia" w:eastAsia="仿宋_GB2312"/>
                <w:spacing w:val="-8"/>
                <w:sz w:val="21"/>
                <w:szCs w:val="21"/>
              </w:rPr>
              <w:t>，</w:t>
            </w:r>
          </w:p>
          <w:p w14:paraId="062EC93C">
            <w:pPr>
              <w:widowControl/>
              <w:jc w:val="center"/>
              <w:rPr>
                <w:rFonts w:eastAsia="仿宋"/>
                <w:sz w:val="21"/>
                <w:szCs w:val="21"/>
              </w:rPr>
            </w:pPr>
            <w:r>
              <w:rPr>
                <w:rFonts w:eastAsia="仿宋"/>
                <w:sz w:val="21"/>
                <w:szCs w:val="21"/>
              </w:rPr>
              <w:t>N</w:t>
            </w:r>
            <w:r>
              <w:rPr>
                <w:rFonts w:eastAsia="仿宋_GB2312"/>
                <w:spacing w:val="-8"/>
                <w:sz w:val="21"/>
                <w:szCs w:val="21"/>
              </w:rPr>
              <w:t xml:space="preserve"> 26°20'12.81"</w:t>
            </w:r>
          </w:p>
        </w:tc>
        <w:tc>
          <w:tcPr>
            <w:tcW w:w="709" w:type="dxa"/>
            <w:shd w:val="clear" w:color="auto" w:fill="auto"/>
            <w:vAlign w:val="center"/>
          </w:tcPr>
          <w:p w14:paraId="270A147B">
            <w:pPr>
              <w:widowControl/>
              <w:jc w:val="center"/>
              <w:rPr>
                <w:rFonts w:eastAsia="仿宋"/>
                <w:kern w:val="0"/>
                <w:sz w:val="21"/>
                <w:szCs w:val="21"/>
              </w:rPr>
            </w:pPr>
            <w:r>
              <w:rPr>
                <w:rFonts w:eastAsia="仿宋"/>
                <w:kern w:val="0"/>
                <w:sz w:val="21"/>
                <w:szCs w:val="21"/>
              </w:rPr>
              <w:t>正常</w:t>
            </w:r>
          </w:p>
        </w:tc>
        <w:tc>
          <w:tcPr>
            <w:tcW w:w="1134" w:type="dxa"/>
            <w:shd w:val="clear" w:color="auto" w:fill="auto"/>
            <w:vAlign w:val="center"/>
          </w:tcPr>
          <w:p w14:paraId="2D564E28">
            <w:pPr>
              <w:widowControl/>
              <w:jc w:val="center"/>
              <w:rPr>
                <w:rFonts w:eastAsia="仿宋"/>
                <w:kern w:val="0"/>
                <w:sz w:val="21"/>
                <w:szCs w:val="21"/>
              </w:rPr>
            </w:pPr>
            <w:r>
              <w:rPr>
                <w:rFonts w:eastAsia="仿宋"/>
                <w:kern w:val="0"/>
                <w:sz w:val="21"/>
                <w:szCs w:val="21"/>
              </w:rPr>
              <w:t>3.28</w:t>
            </w:r>
          </w:p>
        </w:tc>
        <w:tc>
          <w:tcPr>
            <w:tcW w:w="1276" w:type="dxa"/>
            <w:shd w:val="clear" w:color="auto" w:fill="auto"/>
            <w:vAlign w:val="center"/>
          </w:tcPr>
          <w:p w14:paraId="5BBABE65">
            <w:pPr>
              <w:widowControl/>
              <w:jc w:val="center"/>
              <w:rPr>
                <w:rFonts w:eastAsia="仿宋"/>
                <w:kern w:val="0"/>
                <w:sz w:val="21"/>
                <w:szCs w:val="21"/>
              </w:rPr>
            </w:pPr>
            <w:r>
              <w:rPr>
                <w:rFonts w:hint="eastAsia" w:eastAsia="仿宋"/>
                <w:kern w:val="0"/>
                <w:sz w:val="21"/>
                <w:szCs w:val="21"/>
              </w:rPr>
              <w:t>0</w:t>
            </w:r>
          </w:p>
        </w:tc>
        <w:tc>
          <w:tcPr>
            <w:tcW w:w="1275" w:type="dxa"/>
            <w:shd w:val="clear" w:color="auto" w:fill="auto"/>
            <w:vAlign w:val="center"/>
          </w:tcPr>
          <w:p w14:paraId="5F0F4739">
            <w:pPr>
              <w:widowControl/>
              <w:jc w:val="center"/>
              <w:rPr>
                <w:rFonts w:eastAsia="仿宋"/>
                <w:kern w:val="0"/>
                <w:sz w:val="21"/>
                <w:szCs w:val="21"/>
              </w:rPr>
            </w:pPr>
            <w:r>
              <w:rPr>
                <w:rFonts w:hint="eastAsia" w:eastAsia="仿宋"/>
                <w:kern w:val="0"/>
                <w:sz w:val="21"/>
                <w:szCs w:val="21"/>
              </w:rPr>
              <w:t>0</w:t>
            </w:r>
          </w:p>
        </w:tc>
      </w:tr>
      <w:tr w14:paraId="0406C956">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953" w:hRule="atLeast"/>
        </w:trPr>
        <w:tc>
          <w:tcPr>
            <w:tcW w:w="603" w:type="dxa"/>
            <w:shd w:val="clear" w:color="auto" w:fill="auto"/>
            <w:vAlign w:val="center"/>
          </w:tcPr>
          <w:p w14:paraId="4FA8F424">
            <w:pPr>
              <w:widowControl/>
              <w:jc w:val="center"/>
              <w:rPr>
                <w:rFonts w:eastAsia="仿宋"/>
                <w:kern w:val="0"/>
                <w:sz w:val="21"/>
                <w:szCs w:val="21"/>
              </w:rPr>
            </w:pPr>
            <w:r>
              <w:rPr>
                <w:rFonts w:hint="eastAsia" w:eastAsia="仿宋"/>
                <w:kern w:val="0"/>
                <w:sz w:val="21"/>
                <w:szCs w:val="21"/>
              </w:rPr>
              <w:t>2</w:t>
            </w:r>
            <w:r>
              <w:rPr>
                <w:rFonts w:eastAsia="仿宋"/>
                <w:kern w:val="0"/>
                <w:sz w:val="21"/>
                <w:szCs w:val="21"/>
              </w:rPr>
              <w:t>0</w:t>
            </w:r>
          </w:p>
        </w:tc>
        <w:tc>
          <w:tcPr>
            <w:tcW w:w="967" w:type="dxa"/>
            <w:shd w:val="clear" w:color="auto" w:fill="auto"/>
            <w:vAlign w:val="center"/>
          </w:tcPr>
          <w:p w14:paraId="44D538E8">
            <w:pPr>
              <w:widowControl/>
              <w:jc w:val="center"/>
              <w:rPr>
                <w:rFonts w:eastAsia="仿宋"/>
                <w:sz w:val="21"/>
                <w:szCs w:val="21"/>
              </w:rPr>
            </w:pPr>
            <w:r>
              <w:rPr>
                <w:rFonts w:hint="eastAsia" w:eastAsia="仿宋"/>
                <w:sz w:val="21"/>
                <w:szCs w:val="21"/>
              </w:rPr>
              <w:t>青岩镇新楼村水源</w:t>
            </w:r>
          </w:p>
        </w:tc>
        <w:tc>
          <w:tcPr>
            <w:tcW w:w="992" w:type="dxa"/>
            <w:shd w:val="clear" w:color="auto" w:fill="auto"/>
            <w:vAlign w:val="center"/>
          </w:tcPr>
          <w:p w14:paraId="33677849">
            <w:pPr>
              <w:widowControl/>
              <w:jc w:val="center"/>
              <w:rPr>
                <w:rFonts w:eastAsia="仿宋"/>
                <w:kern w:val="0"/>
                <w:sz w:val="21"/>
                <w:szCs w:val="21"/>
              </w:rPr>
            </w:pPr>
            <w:r>
              <w:rPr>
                <w:rFonts w:hint="eastAsia" w:eastAsia="仿宋"/>
                <w:kern w:val="0"/>
                <w:sz w:val="21"/>
                <w:szCs w:val="21"/>
              </w:rPr>
              <w:t>地下水型</w:t>
            </w:r>
          </w:p>
        </w:tc>
        <w:tc>
          <w:tcPr>
            <w:tcW w:w="1559" w:type="dxa"/>
            <w:shd w:val="clear" w:color="auto" w:fill="auto"/>
            <w:vAlign w:val="center"/>
          </w:tcPr>
          <w:p w14:paraId="5D69A4E0">
            <w:pPr>
              <w:widowControl/>
              <w:jc w:val="center"/>
              <w:rPr>
                <w:rFonts w:eastAsia="仿宋_GB2312"/>
                <w:spacing w:val="-8"/>
                <w:sz w:val="21"/>
                <w:szCs w:val="21"/>
              </w:rPr>
            </w:pPr>
            <w:r>
              <w:rPr>
                <w:rFonts w:eastAsia="仿宋"/>
                <w:sz w:val="21"/>
                <w:szCs w:val="21"/>
              </w:rPr>
              <w:t>E</w:t>
            </w:r>
            <w:r>
              <w:rPr>
                <w:rFonts w:eastAsia="仿宋_GB2312"/>
                <w:spacing w:val="-8"/>
                <w:sz w:val="21"/>
                <w:szCs w:val="21"/>
              </w:rPr>
              <w:t xml:space="preserve"> 106°38'12.21"</w:t>
            </w:r>
            <w:r>
              <w:rPr>
                <w:rFonts w:hint="eastAsia" w:eastAsia="仿宋_GB2312"/>
                <w:spacing w:val="-8"/>
                <w:sz w:val="21"/>
                <w:szCs w:val="21"/>
              </w:rPr>
              <w:t>，</w:t>
            </w:r>
          </w:p>
          <w:p w14:paraId="741D808B">
            <w:pPr>
              <w:widowControl/>
              <w:jc w:val="center"/>
              <w:rPr>
                <w:rFonts w:eastAsia="仿宋"/>
                <w:sz w:val="21"/>
                <w:szCs w:val="21"/>
              </w:rPr>
            </w:pPr>
            <w:r>
              <w:rPr>
                <w:rFonts w:eastAsia="仿宋"/>
                <w:sz w:val="21"/>
                <w:szCs w:val="21"/>
              </w:rPr>
              <w:t>N</w:t>
            </w:r>
            <w:r>
              <w:rPr>
                <w:rFonts w:eastAsia="仿宋_GB2312"/>
                <w:spacing w:val="-8"/>
                <w:sz w:val="21"/>
                <w:szCs w:val="21"/>
              </w:rPr>
              <w:t xml:space="preserve"> 26°16'48.33"</w:t>
            </w:r>
          </w:p>
        </w:tc>
        <w:tc>
          <w:tcPr>
            <w:tcW w:w="709" w:type="dxa"/>
            <w:shd w:val="clear" w:color="auto" w:fill="auto"/>
            <w:vAlign w:val="center"/>
          </w:tcPr>
          <w:p w14:paraId="045D07F2">
            <w:pPr>
              <w:widowControl/>
              <w:jc w:val="center"/>
              <w:rPr>
                <w:rFonts w:eastAsia="仿宋"/>
                <w:kern w:val="0"/>
                <w:sz w:val="21"/>
                <w:szCs w:val="21"/>
              </w:rPr>
            </w:pPr>
            <w:r>
              <w:rPr>
                <w:rFonts w:eastAsia="仿宋"/>
                <w:kern w:val="0"/>
                <w:sz w:val="21"/>
                <w:szCs w:val="21"/>
              </w:rPr>
              <w:t>正常</w:t>
            </w:r>
          </w:p>
        </w:tc>
        <w:tc>
          <w:tcPr>
            <w:tcW w:w="1134" w:type="dxa"/>
            <w:shd w:val="clear" w:color="auto" w:fill="auto"/>
            <w:vAlign w:val="center"/>
          </w:tcPr>
          <w:p w14:paraId="58959A07">
            <w:pPr>
              <w:widowControl/>
              <w:jc w:val="center"/>
              <w:rPr>
                <w:rFonts w:eastAsia="仿宋"/>
                <w:kern w:val="0"/>
                <w:sz w:val="21"/>
                <w:szCs w:val="21"/>
              </w:rPr>
            </w:pPr>
            <w:r>
              <w:rPr>
                <w:rFonts w:eastAsia="仿宋"/>
                <w:kern w:val="0"/>
                <w:sz w:val="21"/>
                <w:szCs w:val="21"/>
              </w:rPr>
              <w:t>0.01</w:t>
            </w:r>
          </w:p>
        </w:tc>
        <w:tc>
          <w:tcPr>
            <w:tcW w:w="1276" w:type="dxa"/>
            <w:shd w:val="clear" w:color="auto" w:fill="auto"/>
            <w:vAlign w:val="center"/>
          </w:tcPr>
          <w:p w14:paraId="22653461">
            <w:pPr>
              <w:widowControl/>
              <w:jc w:val="center"/>
              <w:rPr>
                <w:rFonts w:eastAsia="仿宋"/>
                <w:kern w:val="0"/>
                <w:sz w:val="21"/>
                <w:szCs w:val="21"/>
              </w:rPr>
            </w:pPr>
            <w:r>
              <w:rPr>
                <w:rFonts w:hint="eastAsia" w:eastAsia="仿宋"/>
                <w:kern w:val="0"/>
                <w:sz w:val="21"/>
                <w:szCs w:val="21"/>
              </w:rPr>
              <w:t>0</w:t>
            </w:r>
          </w:p>
        </w:tc>
        <w:tc>
          <w:tcPr>
            <w:tcW w:w="1275" w:type="dxa"/>
            <w:shd w:val="clear" w:color="auto" w:fill="auto"/>
            <w:vAlign w:val="center"/>
          </w:tcPr>
          <w:p w14:paraId="25C08C1F">
            <w:pPr>
              <w:widowControl/>
              <w:jc w:val="center"/>
              <w:rPr>
                <w:rFonts w:eastAsia="仿宋"/>
                <w:kern w:val="0"/>
                <w:sz w:val="21"/>
                <w:szCs w:val="21"/>
              </w:rPr>
            </w:pPr>
            <w:r>
              <w:rPr>
                <w:rFonts w:hint="eastAsia" w:eastAsia="仿宋"/>
                <w:kern w:val="0"/>
                <w:sz w:val="21"/>
                <w:szCs w:val="21"/>
              </w:rPr>
              <w:t>0</w:t>
            </w:r>
          </w:p>
        </w:tc>
      </w:tr>
      <w:tr w14:paraId="67DDA1A8">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953" w:hRule="atLeast"/>
        </w:trPr>
        <w:tc>
          <w:tcPr>
            <w:tcW w:w="603" w:type="dxa"/>
            <w:shd w:val="clear" w:color="auto" w:fill="auto"/>
            <w:vAlign w:val="center"/>
          </w:tcPr>
          <w:p w14:paraId="151D04B8">
            <w:pPr>
              <w:widowControl/>
              <w:jc w:val="center"/>
              <w:rPr>
                <w:rFonts w:eastAsia="仿宋"/>
                <w:kern w:val="0"/>
                <w:sz w:val="21"/>
                <w:szCs w:val="21"/>
              </w:rPr>
            </w:pPr>
            <w:r>
              <w:rPr>
                <w:rFonts w:hint="eastAsia" w:eastAsia="仿宋"/>
                <w:kern w:val="0"/>
                <w:sz w:val="21"/>
                <w:szCs w:val="21"/>
              </w:rPr>
              <w:t>2</w:t>
            </w:r>
            <w:r>
              <w:rPr>
                <w:rFonts w:eastAsia="仿宋"/>
                <w:kern w:val="0"/>
                <w:sz w:val="21"/>
                <w:szCs w:val="21"/>
              </w:rPr>
              <w:t>1</w:t>
            </w:r>
          </w:p>
        </w:tc>
        <w:tc>
          <w:tcPr>
            <w:tcW w:w="967" w:type="dxa"/>
            <w:shd w:val="clear" w:color="auto" w:fill="auto"/>
            <w:vAlign w:val="center"/>
          </w:tcPr>
          <w:p w14:paraId="71EB82BB">
            <w:pPr>
              <w:widowControl/>
              <w:jc w:val="center"/>
              <w:rPr>
                <w:rFonts w:eastAsia="仿宋"/>
                <w:sz w:val="21"/>
                <w:szCs w:val="21"/>
              </w:rPr>
            </w:pPr>
            <w:r>
              <w:rPr>
                <w:rFonts w:hint="eastAsia" w:eastAsia="仿宋"/>
                <w:sz w:val="21"/>
                <w:szCs w:val="21"/>
              </w:rPr>
              <w:t>清溪街道9</w:t>
            </w:r>
            <w:r>
              <w:rPr>
                <w:rFonts w:eastAsia="仿宋"/>
                <w:sz w:val="21"/>
                <w:szCs w:val="21"/>
              </w:rPr>
              <w:t>855</w:t>
            </w:r>
            <w:r>
              <w:rPr>
                <w:rFonts w:hint="eastAsia" w:eastAsia="仿宋"/>
                <w:sz w:val="21"/>
                <w:szCs w:val="21"/>
              </w:rPr>
              <w:t>厂水源</w:t>
            </w:r>
          </w:p>
        </w:tc>
        <w:tc>
          <w:tcPr>
            <w:tcW w:w="992" w:type="dxa"/>
            <w:shd w:val="clear" w:color="auto" w:fill="auto"/>
            <w:vAlign w:val="center"/>
          </w:tcPr>
          <w:p w14:paraId="12CB2A67">
            <w:pPr>
              <w:widowControl/>
              <w:jc w:val="center"/>
              <w:rPr>
                <w:rFonts w:eastAsia="仿宋"/>
                <w:kern w:val="0"/>
                <w:sz w:val="21"/>
                <w:szCs w:val="21"/>
              </w:rPr>
            </w:pPr>
            <w:r>
              <w:rPr>
                <w:rFonts w:hint="eastAsia" w:eastAsia="仿宋"/>
                <w:kern w:val="0"/>
                <w:sz w:val="21"/>
                <w:szCs w:val="21"/>
              </w:rPr>
              <w:t>地表水（河流）型</w:t>
            </w:r>
          </w:p>
        </w:tc>
        <w:tc>
          <w:tcPr>
            <w:tcW w:w="1559" w:type="dxa"/>
            <w:shd w:val="clear" w:color="auto" w:fill="auto"/>
            <w:vAlign w:val="center"/>
          </w:tcPr>
          <w:p w14:paraId="313FFBD1">
            <w:pPr>
              <w:widowControl/>
              <w:jc w:val="center"/>
              <w:rPr>
                <w:rFonts w:eastAsia="仿宋_GB2312"/>
                <w:spacing w:val="-8"/>
                <w:sz w:val="21"/>
                <w:szCs w:val="21"/>
              </w:rPr>
            </w:pPr>
            <w:r>
              <w:rPr>
                <w:rFonts w:eastAsia="仿宋"/>
                <w:sz w:val="21"/>
                <w:szCs w:val="21"/>
              </w:rPr>
              <w:t>E</w:t>
            </w:r>
            <w:r>
              <w:rPr>
                <w:rFonts w:eastAsia="仿宋_GB2312"/>
                <w:spacing w:val="-8"/>
                <w:sz w:val="21"/>
                <w:szCs w:val="21"/>
              </w:rPr>
              <w:t xml:space="preserve"> 106°40'24.87"</w:t>
            </w:r>
            <w:r>
              <w:rPr>
                <w:rFonts w:hint="eastAsia" w:eastAsia="仿宋_GB2312"/>
                <w:spacing w:val="-8"/>
                <w:sz w:val="21"/>
                <w:szCs w:val="21"/>
              </w:rPr>
              <w:t>，</w:t>
            </w:r>
          </w:p>
          <w:p w14:paraId="39E9870C">
            <w:pPr>
              <w:widowControl/>
              <w:jc w:val="center"/>
              <w:rPr>
                <w:rFonts w:eastAsia="仿宋"/>
                <w:sz w:val="21"/>
                <w:szCs w:val="21"/>
              </w:rPr>
            </w:pPr>
            <w:r>
              <w:rPr>
                <w:rFonts w:eastAsia="仿宋"/>
                <w:sz w:val="21"/>
                <w:szCs w:val="21"/>
              </w:rPr>
              <w:t>N</w:t>
            </w:r>
            <w:r>
              <w:rPr>
                <w:rFonts w:eastAsia="仿宋_GB2312"/>
                <w:spacing w:val="-8"/>
                <w:sz w:val="21"/>
                <w:szCs w:val="21"/>
              </w:rPr>
              <w:t xml:space="preserve"> 26°21'58.50"</w:t>
            </w:r>
          </w:p>
        </w:tc>
        <w:tc>
          <w:tcPr>
            <w:tcW w:w="709" w:type="dxa"/>
            <w:shd w:val="clear" w:color="auto" w:fill="auto"/>
            <w:vAlign w:val="center"/>
          </w:tcPr>
          <w:p w14:paraId="00C601BE">
            <w:pPr>
              <w:widowControl/>
              <w:jc w:val="center"/>
              <w:rPr>
                <w:rFonts w:eastAsia="仿宋"/>
                <w:kern w:val="0"/>
                <w:sz w:val="21"/>
                <w:szCs w:val="21"/>
              </w:rPr>
            </w:pPr>
            <w:r>
              <w:rPr>
                <w:rFonts w:eastAsia="仿宋"/>
                <w:kern w:val="0"/>
                <w:sz w:val="21"/>
                <w:szCs w:val="21"/>
              </w:rPr>
              <w:t>正常</w:t>
            </w:r>
          </w:p>
        </w:tc>
        <w:tc>
          <w:tcPr>
            <w:tcW w:w="1134" w:type="dxa"/>
            <w:shd w:val="clear" w:color="auto" w:fill="auto"/>
            <w:vAlign w:val="center"/>
          </w:tcPr>
          <w:p w14:paraId="2C70C1B7">
            <w:pPr>
              <w:widowControl/>
              <w:jc w:val="center"/>
              <w:rPr>
                <w:rFonts w:eastAsia="仿宋"/>
                <w:kern w:val="0"/>
                <w:sz w:val="21"/>
                <w:szCs w:val="21"/>
              </w:rPr>
            </w:pPr>
            <w:r>
              <w:rPr>
                <w:rFonts w:eastAsia="仿宋"/>
                <w:kern w:val="0"/>
                <w:sz w:val="21"/>
                <w:szCs w:val="21"/>
              </w:rPr>
              <w:t>3.03</w:t>
            </w:r>
          </w:p>
        </w:tc>
        <w:tc>
          <w:tcPr>
            <w:tcW w:w="1276" w:type="dxa"/>
            <w:shd w:val="clear" w:color="auto" w:fill="auto"/>
            <w:vAlign w:val="center"/>
          </w:tcPr>
          <w:p w14:paraId="6723829F">
            <w:pPr>
              <w:widowControl/>
              <w:jc w:val="center"/>
              <w:rPr>
                <w:rFonts w:eastAsia="仿宋"/>
                <w:kern w:val="0"/>
                <w:sz w:val="21"/>
                <w:szCs w:val="21"/>
              </w:rPr>
            </w:pPr>
            <w:r>
              <w:rPr>
                <w:rFonts w:hint="eastAsia" w:eastAsia="仿宋"/>
                <w:kern w:val="0"/>
                <w:sz w:val="21"/>
                <w:szCs w:val="21"/>
              </w:rPr>
              <w:t>0</w:t>
            </w:r>
          </w:p>
        </w:tc>
        <w:tc>
          <w:tcPr>
            <w:tcW w:w="1275" w:type="dxa"/>
            <w:shd w:val="clear" w:color="auto" w:fill="auto"/>
            <w:vAlign w:val="center"/>
          </w:tcPr>
          <w:p w14:paraId="662F77E8">
            <w:pPr>
              <w:widowControl/>
              <w:jc w:val="center"/>
              <w:rPr>
                <w:rFonts w:eastAsia="仿宋"/>
                <w:kern w:val="0"/>
                <w:sz w:val="21"/>
                <w:szCs w:val="21"/>
              </w:rPr>
            </w:pPr>
            <w:r>
              <w:rPr>
                <w:rFonts w:hint="eastAsia" w:eastAsia="仿宋"/>
                <w:kern w:val="0"/>
                <w:sz w:val="21"/>
                <w:szCs w:val="21"/>
              </w:rPr>
              <w:t>0</w:t>
            </w:r>
          </w:p>
        </w:tc>
      </w:tr>
      <w:tr w14:paraId="13531D9F">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953" w:hRule="atLeast"/>
        </w:trPr>
        <w:tc>
          <w:tcPr>
            <w:tcW w:w="603" w:type="dxa"/>
            <w:shd w:val="clear" w:color="auto" w:fill="auto"/>
            <w:vAlign w:val="center"/>
          </w:tcPr>
          <w:p w14:paraId="2754A95F">
            <w:pPr>
              <w:widowControl/>
              <w:jc w:val="center"/>
              <w:rPr>
                <w:rFonts w:eastAsia="仿宋"/>
                <w:kern w:val="0"/>
                <w:sz w:val="21"/>
                <w:szCs w:val="21"/>
              </w:rPr>
            </w:pPr>
            <w:r>
              <w:rPr>
                <w:rFonts w:hint="eastAsia" w:eastAsia="仿宋"/>
                <w:kern w:val="0"/>
                <w:sz w:val="21"/>
                <w:szCs w:val="21"/>
              </w:rPr>
              <w:t>2</w:t>
            </w:r>
            <w:r>
              <w:rPr>
                <w:rFonts w:eastAsia="仿宋"/>
                <w:kern w:val="0"/>
                <w:sz w:val="21"/>
                <w:szCs w:val="21"/>
              </w:rPr>
              <w:t>2</w:t>
            </w:r>
          </w:p>
        </w:tc>
        <w:tc>
          <w:tcPr>
            <w:tcW w:w="967" w:type="dxa"/>
            <w:shd w:val="clear" w:color="auto" w:fill="auto"/>
            <w:vAlign w:val="center"/>
          </w:tcPr>
          <w:p w14:paraId="28BEC5F2">
            <w:pPr>
              <w:widowControl/>
              <w:jc w:val="center"/>
              <w:rPr>
                <w:rFonts w:eastAsia="仿宋"/>
                <w:sz w:val="21"/>
                <w:szCs w:val="21"/>
              </w:rPr>
            </w:pPr>
            <w:r>
              <w:rPr>
                <w:rFonts w:hint="eastAsia" w:eastAsia="仿宋"/>
                <w:sz w:val="21"/>
                <w:szCs w:val="21"/>
              </w:rPr>
              <w:t>清溪街道机械厂水源</w:t>
            </w:r>
          </w:p>
        </w:tc>
        <w:tc>
          <w:tcPr>
            <w:tcW w:w="992" w:type="dxa"/>
            <w:shd w:val="clear" w:color="auto" w:fill="auto"/>
            <w:vAlign w:val="center"/>
          </w:tcPr>
          <w:p w14:paraId="03291E80">
            <w:pPr>
              <w:widowControl/>
              <w:jc w:val="center"/>
              <w:rPr>
                <w:rFonts w:eastAsia="仿宋"/>
                <w:kern w:val="0"/>
                <w:sz w:val="21"/>
                <w:szCs w:val="21"/>
              </w:rPr>
            </w:pPr>
            <w:r>
              <w:rPr>
                <w:rFonts w:hint="eastAsia" w:eastAsia="仿宋"/>
                <w:kern w:val="0"/>
                <w:sz w:val="21"/>
                <w:szCs w:val="21"/>
              </w:rPr>
              <w:t>地下水型</w:t>
            </w:r>
          </w:p>
        </w:tc>
        <w:tc>
          <w:tcPr>
            <w:tcW w:w="1559" w:type="dxa"/>
            <w:shd w:val="clear" w:color="auto" w:fill="auto"/>
            <w:vAlign w:val="center"/>
          </w:tcPr>
          <w:p w14:paraId="39E0B894">
            <w:pPr>
              <w:widowControl/>
              <w:jc w:val="center"/>
              <w:rPr>
                <w:rFonts w:eastAsia="仿宋_GB2312"/>
                <w:spacing w:val="-8"/>
                <w:sz w:val="21"/>
                <w:szCs w:val="21"/>
              </w:rPr>
            </w:pPr>
            <w:r>
              <w:rPr>
                <w:rFonts w:eastAsia="仿宋"/>
                <w:sz w:val="21"/>
                <w:szCs w:val="21"/>
              </w:rPr>
              <w:t>E</w:t>
            </w:r>
            <w:r>
              <w:rPr>
                <w:rFonts w:eastAsia="仿宋_GB2312"/>
                <w:spacing w:val="-8"/>
                <w:sz w:val="21"/>
                <w:szCs w:val="21"/>
              </w:rPr>
              <w:t xml:space="preserve"> 106°40'14.99"</w:t>
            </w:r>
            <w:r>
              <w:rPr>
                <w:rFonts w:hint="eastAsia" w:eastAsia="仿宋_GB2312"/>
                <w:spacing w:val="-8"/>
                <w:sz w:val="21"/>
                <w:szCs w:val="21"/>
              </w:rPr>
              <w:t>，</w:t>
            </w:r>
          </w:p>
          <w:p w14:paraId="1FC7114E">
            <w:pPr>
              <w:widowControl/>
              <w:jc w:val="center"/>
              <w:rPr>
                <w:rFonts w:eastAsia="仿宋"/>
                <w:sz w:val="21"/>
                <w:szCs w:val="21"/>
              </w:rPr>
            </w:pPr>
            <w:r>
              <w:rPr>
                <w:rFonts w:eastAsia="仿宋"/>
                <w:sz w:val="21"/>
                <w:szCs w:val="21"/>
              </w:rPr>
              <w:t>N</w:t>
            </w:r>
            <w:r>
              <w:rPr>
                <w:rFonts w:eastAsia="仿宋_GB2312"/>
                <w:spacing w:val="-8"/>
                <w:sz w:val="21"/>
                <w:szCs w:val="21"/>
              </w:rPr>
              <w:t xml:space="preserve"> 26°21'46.71"</w:t>
            </w:r>
          </w:p>
        </w:tc>
        <w:tc>
          <w:tcPr>
            <w:tcW w:w="709" w:type="dxa"/>
            <w:shd w:val="clear" w:color="auto" w:fill="auto"/>
            <w:vAlign w:val="center"/>
          </w:tcPr>
          <w:p w14:paraId="0C900702">
            <w:pPr>
              <w:widowControl/>
              <w:jc w:val="center"/>
              <w:rPr>
                <w:rFonts w:eastAsia="仿宋"/>
                <w:kern w:val="0"/>
                <w:sz w:val="21"/>
                <w:szCs w:val="21"/>
              </w:rPr>
            </w:pPr>
            <w:r>
              <w:rPr>
                <w:rFonts w:eastAsia="仿宋"/>
                <w:kern w:val="0"/>
                <w:sz w:val="21"/>
                <w:szCs w:val="21"/>
              </w:rPr>
              <w:t>正常</w:t>
            </w:r>
          </w:p>
        </w:tc>
        <w:tc>
          <w:tcPr>
            <w:tcW w:w="1134" w:type="dxa"/>
            <w:shd w:val="clear" w:color="auto" w:fill="auto"/>
            <w:vAlign w:val="center"/>
          </w:tcPr>
          <w:p w14:paraId="339460DA">
            <w:pPr>
              <w:widowControl/>
              <w:jc w:val="center"/>
              <w:rPr>
                <w:rFonts w:eastAsia="仿宋"/>
                <w:kern w:val="0"/>
                <w:sz w:val="21"/>
                <w:szCs w:val="21"/>
              </w:rPr>
            </w:pPr>
            <w:r>
              <w:rPr>
                <w:rFonts w:eastAsia="仿宋"/>
                <w:kern w:val="0"/>
                <w:sz w:val="21"/>
                <w:szCs w:val="21"/>
              </w:rPr>
              <w:t>0.04</w:t>
            </w:r>
          </w:p>
        </w:tc>
        <w:tc>
          <w:tcPr>
            <w:tcW w:w="1276" w:type="dxa"/>
            <w:shd w:val="clear" w:color="auto" w:fill="auto"/>
            <w:vAlign w:val="center"/>
          </w:tcPr>
          <w:p w14:paraId="550FF07C">
            <w:pPr>
              <w:widowControl/>
              <w:jc w:val="center"/>
              <w:rPr>
                <w:rFonts w:eastAsia="仿宋"/>
                <w:kern w:val="0"/>
                <w:sz w:val="21"/>
                <w:szCs w:val="21"/>
              </w:rPr>
            </w:pPr>
            <w:r>
              <w:rPr>
                <w:rFonts w:hint="eastAsia" w:eastAsia="仿宋"/>
                <w:kern w:val="0"/>
                <w:sz w:val="21"/>
                <w:szCs w:val="21"/>
              </w:rPr>
              <w:t>0</w:t>
            </w:r>
          </w:p>
        </w:tc>
        <w:tc>
          <w:tcPr>
            <w:tcW w:w="1275" w:type="dxa"/>
            <w:shd w:val="clear" w:color="auto" w:fill="auto"/>
            <w:vAlign w:val="center"/>
          </w:tcPr>
          <w:p w14:paraId="7BDE28AA">
            <w:pPr>
              <w:widowControl/>
              <w:jc w:val="center"/>
              <w:rPr>
                <w:rFonts w:eastAsia="仿宋"/>
                <w:kern w:val="0"/>
                <w:sz w:val="21"/>
                <w:szCs w:val="21"/>
              </w:rPr>
            </w:pPr>
            <w:r>
              <w:rPr>
                <w:rFonts w:hint="eastAsia" w:eastAsia="仿宋"/>
                <w:kern w:val="0"/>
                <w:sz w:val="21"/>
                <w:szCs w:val="21"/>
              </w:rPr>
              <w:t>0</w:t>
            </w:r>
          </w:p>
        </w:tc>
      </w:tr>
      <w:tr w14:paraId="32B69E60">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953" w:hRule="atLeast"/>
        </w:trPr>
        <w:tc>
          <w:tcPr>
            <w:tcW w:w="603" w:type="dxa"/>
            <w:shd w:val="clear" w:color="auto" w:fill="auto"/>
            <w:vAlign w:val="center"/>
          </w:tcPr>
          <w:p w14:paraId="7B30D01C">
            <w:pPr>
              <w:widowControl/>
              <w:jc w:val="center"/>
              <w:rPr>
                <w:rFonts w:eastAsia="仿宋"/>
                <w:kern w:val="0"/>
                <w:sz w:val="21"/>
                <w:szCs w:val="21"/>
              </w:rPr>
            </w:pPr>
            <w:r>
              <w:rPr>
                <w:rFonts w:hint="eastAsia" w:eastAsia="仿宋"/>
                <w:kern w:val="0"/>
                <w:sz w:val="21"/>
                <w:szCs w:val="21"/>
              </w:rPr>
              <w:t>2</w:t>
            </w:r>
            <w:r>
              <w:rPr>
                <w:rFonts w:eastAsia="仿宋"/>
                <w:kern w:val="0"/>
                <w:sz w:val="21"/>
                <w:szCs w:val="21"/>
              </w:rPr>
              <w:t>3</w:t>
            </w:r>
          </w:p>
        </w:tc>
        <w:tc>
          <w:tcPr>
            <w:tcW w:w="967" w:type="dxa"/>
            <w:shd w:val="clear" w:color="auto" w:fill="auto"/>
            <w:vAlign w:val="center"/>
          </w:tcPr>
          <w:p w14:paraId="6F482419">
            <w:pPr>
              <w:widowControl/>
              <w:jc w:val="center"/>
              <w:rPr>
                <w:rFonts w:eastAsia="仿宋"/>
                <w:sz w:val="21"/>
                <w:szCs w:val="21"/>
              </w:rPr>
            </w:pPr>
            <w:r>
              <w:rPr>
                <w:rFonts w:hint="eastAsia" w:eastAsia="仿宋"/>
                <w:sz w:val="21"/>
                <w:szCs w:val="21"/>
              </w:rPr>
              <w:t>石板镇盖冗村水源</w:t>
            </w:r>
          </w:p>
        </w:tc>
        <w:tc>
          <w:tcPr>
            <w:tcW w:w="992" w:type="dxa"/>
            <w:shd w:val="clear" w:color="auto" w:fill="auto"/>
            <w:vAlign w:val="center"/>
          </w:tcPr>
          <w:p w14:paraId="02468968">
            <w:pPr>
              <w:widowControl/>
              <w:jc w:val="center"/>
              <w:rPr>
                <w:rFonts w:eastAsia="仿宋"/>
                <w:kern w:val="0"/>
                <w:sz w:val="21"/>
                <w:szCs w:val="21"/>
              </w:rPr>
            </w:pPr>
            <w:r>
              <w:rPr>
                <w:rFonts w:hint="eastAsia" w:eastAsia="仿宋"/>
                <w:kern w:val="0"/>
                <w:sz w:val="21"/>
                <w:szCs w:val="21"/>
              </w:rPr>
              <w:t>地表水（河流）型</w:t>
            </w:r>
          </w:p>
        </w:tc>
        <w:tc>
          <w:tcPr>
            <w:tcW w:w="1559" w:type="dxa"/>
            <w:shd w:val="clear" w:color="auto" w:fill="auto"/>
            <w:vAlign w:val="center"/>
          </w:tcPr>
          <w:p w14:paraId="24E0EFAB">
            <w:pPr>
              <w:widowControl/>
              <w:jc w:val="center"/>
              <w:rPr>
                <w:rFonts w:eastAsia="仿宋_GB2312"/>
                <w:spacing w:val="-8"/>
                <w:sz w:val="21"/>
                <w:szCs w:val="21"/>
              </w:rPr>
            </w:pPr>
            <w:r>
              <w:rPr>
                <w:rFonts w:eastAsia="仿宋"/>
                <w:sz w:val="21"/>
                <w:szCs w:val="21"/>
              </w:rPr>
              <w:t>E</w:t>
            </w:r>
            <w:r>
              <w:rPr>
                <w:rFonts w:eastAsia="仿宋_GB2312"/>
                <w:spacing w:val="-8"/>
                <w:sz w:val="21"/>
                <w:szCs w:val="21"/>
              </w:rPr>
              <w:t xml:space="preserve"> 106°34'34.73"</w:t>
            </w:r>
            <w:r>
              <w:rPr>
                <w:rFonts w:hint="eastAsia" w:eastAsia="仿宋_GB2312"/>
                <w:spacing w:val="-8"/>
                <w:sz w:val="21"/>
                <w:szCs w:val="21"/>
              </w:rPr>
              <w:t>，</w:t>
            </w:r>
          </w:p>
          <w:p w14:paraId="28BD9151">
            <w:pPr>
              <w:widowControl/>
              <w:jc w:val="center"/>
              <w:rPr>
                <w:rFonts w:eastAsia="仿宋"/>
                <w:sz w:val="21"/>
                <w:szCs w:val="21"/>
              </w:rPr>
            </w:pPr>
            <w:r>
              <w:rPr>
                <w:rFonts w:eastAsia="仿宋"/>
                <w:sz w:val="21"/>
                <w:szCs w:val="21"/>
              </w:rPr>
              <w:t>N</w:t>
            </w:r>
            <w:r>
              <w:rPr>
                <w:rFonts w:eastAsia="仿宋_GB2312"/>
                <w:spacing w:val="-8"/>
                <w:sz w:val="21"/>
                <w:szCs w:val="21"/>
              </w:rPr>
              <w:t xml:space="preserve"> 26°25'3.62"</w:t>
            </w:r>
          </w:p>
        </w:tc>
        <w:tc>
          <w:tcPr>
            <w:tcW w:w="709" w:type="dxa"/>
            <w:shd w:val="clear" w:color="auto" w:fill="auto"/>
            <w:vAlign w:val="center"/>
          </w:tcPr>
          <w:p w14:paraId="335FC2CE">
            <w:pPr>
              <w:widowControl/>
              <w:jc w:val="center"/>
              <w:rPr>
                <w:rFonts w:eastAsia="仿宋"/>
                <w:kern w:val="0"/>
                <w:sz w:val="21"/>
                <w:szCs w:val="21"/>
              </w:rPr>
            </w:pPr>
            <w:r>
              <w:rPr>
                <w:rFonts w:eastAsia="仿宋"/>
                <w:kern w:val="0"/>
                <w:sz w:val="21"/>
                <w:szCs w:val="21"/>
              </w:rPr>
              <w:t>正常</w:t>
            </w:r>
          </w:p>
        </w:tc>
        <w:tc>
          <w:tcPr>
            <w:tcW w:w="1134" w:type="dxa"/>
            <w:shd w:val="clear" w:color="auto" w:fill="auto"/>
            <w:vAlign w:val="center"/>
          </w:tcPr>
          <w:p w14:paraId="18D5B153">
            <w:pPr>
              <w:widowControl/>
              <w:jc w:val="center"/>
              <w:rPr>
                <w:rFonts w:eastAsia="仿宋"/>
                <w:kern w:val="0"/>
                <w:sz w:val="21"/>
                <w:szCs w:val="21"/>
              </w:rPr>
            </w:pPr>
            <w:r>
              <w:rPr>
                <w:rFonts w:eastAsia="仿宋"/>
                <w:kern w:val="0"/>
                <w:sz w:val="21"/>
                <w:szCs w:val="21"/>
              </w:rPr>
              <w:t>16.35</w:t>
            </w:r>
          </w:p>
        </w:tc>
        <w:tc>
          <w:tcPr>
            <w:tcW w:w="1276" w:type="dxa"/>
            <w:shd w:val="clear" w:color="auto" w:fill="auto"/>
            <w:vAlign w:val="center"/>
          </w:tcPr>
          <w:p w14:paraId="23BA1E4F">
            <w:pPr>
              <w:widowControl/>
              <w:jc w:val="center"/>
              <w:rPr>
                <w:rFonts w:eastAsia="仿宋"/>
                <w:kern w:val="0"/>
                <w:sz w:val="21"/>
                <w:szCs w:val="21"/>
              </w:rPr>
            </w:pPr>
            <w:r>
              <w:rPr>
                <w:rFonts w:hint="eastAsia" w:eastAsia="仿宋"/>
                <w:kern w:val="0"/>
                <w:sz w:val="21"/>
                <w:szCs w:val="21"/>
              </w:rPr>
              <w:t>0</w:t>
            </w:r>
          </w:p>
        </w:tc>
        <w:tc>
          <w:tcPr>
            <w:tcW w:w="1275" w:type="dxa"/>
            <w:shd w:val="clear" w:color="auto" w:fill="auto"/>
            <w:vAlign w:val="center"/>
          </w:tcPr>
          <w:p w14:paraId="67ED2104">
            <w:pPr>
              <w:widowControl/>
              <w:jc w:val="center"/>
              <w:rPr>
                <w:rFonts w:eastAsia="仿宋"/>
                <w:kern w:val="0"/>
                <w:sz w:val="21"/>
                <w:szCs w:val="21"/>
              </w:rPr>
            </w:pPr>
            <w:r>
              <w:rPr>
                <w:rFonts w:hint="eastAsia" w:eastAsia="仿宋"/>
                <w:kern w:val="0"/>
                <w:sz w:val="21"/>
                <w:szCs w:val="21"/>
              </w:rPr>
              <w:t>0</w:t>
            </w:r>
          </w:p>
        </w:tc>
      </w:tr>
      <w:tr w14:paraId="5C7D5599">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953" w:hRule="atLeast"/>
        </w:trPr>
        <w:tc>
          <w:tcPr>
            <w:tcW w:w="603" w:type="dxa"/>
            <w:shd w:val="clear" w:color="auto" w:fill="auto"/>
            <w:vAlign w:val="center"/>
          </w:tcPr>
          <w:p w14:paraId="26010EB7">
            <w:pPr>
              <w:widowControl/>
              <w:jc w:val="center"/>
              <w:rPr>
                <w:rFonts w:eastAsia="仿宋"/>
                <w:kern w:val="0"/>
                <w:sz w:val="21"/>
                <w:szCs w:val="21"/>
              </w:rPr>
            </w:pPr>
            <w:r>
              <w:rPr>
                <w:rFonts w:hint="eastAsia" w:eastAsia="仿宋"/>
                <w:kern w:val="0"/>
                <w:sz w:val="21"/>
                <w:szCs w:val="21"/>
              </w:rPr>
              <w:t>2</w:t>
            </w:r>
            <w:r>
              <w:rPr>
                <w:rFonts w:eastAsia="仿宋"/>
                <w:kern w:val="0"/>
                <w:sz w:val="21"/>
                <w:szCs w:val="21"/>
              </w:rPr>
              <w:t>4</w:t>
            </w:r>
          </w:p>
        </w:tc>
        <w:tc>
          <w:tcPr>
            <w:tcW w:w="967" w:type="dxa"/>
            <w:shd w:val="clear" w:color="auto" w:fill="auto"/>
            <w:vAlign w:val="center"/>
          </w:tcPr>
          <w:p w14:paraId="29EBB993">
            <w:pPr>
              <w:widowControl/>
              <w:jc w:val="center"/>
              <w:rPr>
                <w:rFonts w:eastAsia="仿宋"/>
                <w:sz w:val="21"/>
                <w:szCs w:val="21"/>
              </w:rPr>
            </w:pPr>
            <w:r>
              <w:rPr>
                <w:rFonts w:hint="eastAsia" w:eastAsia="仿宋"/>
                <w:sz w:val="21"/>
                <w:szCs w:val="21"/>
              </w:rPr>
              <w:t>燕楼镇坝楼村水源</w:t>
            </w:r>
          </w:p>
        </w:tc>
        <w:tc>
          <w:tcPr>
            <w:tcW w:w="992" w:type="dxa"/>
            <w:shd w:val="clear" w:color="auto" w:fill="auto"/>
            <w:vAlign w:val="center"/>
          </w:tcPr>
          <w:p w14:paraId="619323C3">
            <w:pPr>
              <w:widowControl/>
              <w:jc w:val="center"/>
              <w:rPr>
                <w:rFonts w:eastAsia="仿宋"/>
                <w:kern w:val="0"/>
                <w:sz w:val="21"/>
                <w:szCs w:val="21"/>
              </w:rPr>
            </w:pPr>
            <w:r>
              <w:rPr>
                <w:rFonts w:hint="eastAsia" w:eastAsia="仿宋"/>
                <w:kern w:val="0"/>
                <w:sz w:val="21"/>
                <w:szCs w:val="21"/>
              </w:rPr>
              <w:t>地下水型</w:t>
            </w:r>
          </w:p>
        </w:tc>
        <w:tc>
          <w:tcPr>
            <w:tcW w:w="1559" w:type="dxa"/>
            <w:shd w:val="clear" w:color="auto" w:fill="auto"/>
            <w:vAlign w:val="center"/>
          </w:tcPr>
          <w:p w14:paraId="51E2F3C3">
            <w:pPr>
              <w:widowControl/>
              <w:jc w:val="center"/>
              <w:rPr>
                <w:rFonts w:eastAsia="仿宋_GB2312"/>
                <w:spacing w:val="-8"/>
                <w:sz w:val="21"/>
                <w:szCs w:val="21"/>
              </w:rPr>
            </w:pPr>
            <w:r>
              <w:rPr>
                <w:rFonts w:eastAsia="仿宋"/>
                <w:sz w:val="21"/>
                <w:szCs w:val="21"/>
              </w:rPr>
              <w:t>E</w:t>
            </w:r>
            <w:r>
              <w:rPr>
                <w:rFonts w:eastAsia="仿宋_GB2312"/>
                <w:spacing w:val="-8"/>
                <w:sz w:val="21"/>
                <w:szCs w:val="21"/>
              </w:rPr>
              <w:t xml:space="preserve"> 106°37'42.72"</w:t>
            </w:r>
            <w:r>
              <w:rPr>
                <w:rFonts w:hint="eastAsia" w:eastAsia="仿宋_GB2312"/>
                <w:spacing w:val="-8"/>
                <w:sz w:val="21"/>
                <w:szCs w:val="21"/>
              </w:rPr>
              <w:t>，</w:t>
            </w:r>
          </w:p>
          <w:p w14:paraId="46A5A2B1">
            <w:pPr>
              <w:widowControl/>
              <w:jc w:val="center"/>
              <w:rPr>
                <w:rFonts w:eastAsia="仿宋"/>
                <w:sz w:val="21"/>
                <w:szCs w:val="21"/>
              </w:rPr>
            </w:pPr>
            <w:r>
              <w:rPr>
                <w:rFonts w:eastAsia="仿宋"/>
                <w:sz w:val="21"/>
                <w:szCs w:val="21"/>
              </w:rPr>
              <w:t>N</w:t>
            </w:r>
            <w:r>
              <w:rPr>
                <w:rFonts w:eastAsia="仿宋_GB2312"/>
                <w:spacing w:val="-8"/>
                <w:sz w:val="21"/>
                <w:szCs w:val="21"/>
              </w:rPr>
              <w:t xml:space="preserve"> 26°19'8.83"</w:t>
            </w:r>
          </w:p>
        </w:tc>
        <w:tc>
          <w:tcPr>
            <w:tcW w:w="709" w:type="dxa"/>
            <w:shd w:val="clear" w:color="auto" w:fill="auto"/>
            <w:vAlign w:val="center"/>
          </w:tcPr>
          <w:p w14:paraId="1B97AEA4">
            <w:pPr>
              <w:widowControl/>
              <w:jc w:val="center"/>
              <w:rPr>
                <w:rFonts w:eastAsia="仿宋"/>
                <w:kern w:val="0"/>
                <w:sz w:val="21"/>
                <w:szCs w:val="21"/>
              </w:rPr>
            </w:pPr>
            <w:r>
              <w:rPr>
                <w:rFonts w:eastAsia="仿宋"/>
                <w:kern w:val="0"/>
                <w:sz w:val="21"/>
                <w:szCs w:val="21"/>
              </w:rPr>
              <w:t>正常</w:t>
            </w:r>
          </w:p>
        </w:tc>
        <w:tc>
          <w:tcPr>
            <w:tcW w:w="1134" w:type="dxa"/>
            <w:shd w:val="clear" w:color="auto" w:fill="auto"/>
            <w:vAlign w:val="center"/>
          </w:tcPr>
          <w:p w14:paraId="13E2EE4A">
            <w:pPr>
              <w:widowControl/>
              <w:jc w:val="center"/>
              <w:rPr>
                <w:rFonts w:eastAsia="仿宋"/>
                <w:kern w:val="0"/>
                <w:sz w:val="21"/>
                <w:szCs w:val="21"/>
              </w:rPr>
            </w:pPr>
            <w:r>
              <w:rPr>
                <w:rFonts w:eastAsia="仿宋"/>
                <w:kern w:val="0"/>
                <w:sz w:val="21"/>
                <w:szCs w:val="21"/>
              </w:rPr>
              <w:t>0.03</w:t>
            </w:r>
          </w:p>
        </w:tc>
        <w:tc>
          <w:tcPr>
            <w:tcW w:w="1276" w:type="dxa"/>
            <w:shd w:val="clear" w:color="auto" w:fill="auto"/>
            <w:vAlign w:val="center"/>
          </w:tcPr>
          <w:p w14:paraId="404A9BDA">
            <w:pPr>
              <w:widowControl/>
              <w:jc w:val="center"/>
              <w:rPr>
                <w:rFonts w:eastAsia="仿宋"/>
                <w:kern w:val="0"/>
                <w:sz w:val="21"/>
                <w:szCs w:val="21"/>
              </w:rPr>
            </w:pPr>
            <w:r>
              <w:rPr>
                <w:rFonts w:hint="eastAsia" w:eastAsia="仿宋"/>
                <w:kern w:val="0"/>
                <w:sz w:val="21"/>
                <w:szCs w:val="21"/>
              </w:rPr>
              <w:t>0</w:t>
            </w:r>
          </w:p>
        </w:tc>
        <w:tc>
          <w:tcPr>
            <w:tcW w:w="1275" w:type="dxa"/>
            <w:shd w:val="clear" w:color="auto" w:fill="auto"/>
            <w:vAlign w:val="center"/>
          </w:tcPr>
          <w:p w14:paraId="25725058">
            <w:pPr>
              <w:widowControl/>
              <w:jc w:val="center"/>
              <w:rPr>
                <w:rFonts w:eastAsia="仿宋"/>
                <w:kern w:val="0"/>
                <w:sz w:val="21"/>
                <w:szCs w:val="21"/>
              </w:rPr>
            </w:pPr>
            <w:r>
              <w:rPr>
                <w:rFonts w:hint="eastAsia" w:eastAsia="仿宋"/>
                <w:kern w:val="0"/>
                <w:sz w:val="21"/>
                <w:szCs w:val="21"/>
              </w:rPr>
              <w:t>0</w:t>
            </w:r>
          </w:p>
        </w:tc>
      </w:tr>
      <w:tr w14:paraId="49A3BC3D">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953" w:hRule="atLeast"/>
        </w:trPr>
        <w:tc>
          <w:tcPr>
            <w:tcW w:w="603" w:type="dxa"/>
            <w:shd w:val="clear" w:color="auto" w:fill="auto"/>
            <w:vAlign w:val="center"/>
          </w:tcPr>
          <w:p w14:paraId="00AA91DD">
            <w:pPr>
              <w:widowControl/>
              <w:jc w:val="center"/>
              <w:rPr>
                <w:rFonts w:eastAsia="仿宋"/>
                <w:kern w:val="0"/>
                <w:sz w:val="21"/>
                <w:szCs w:val="21"/>
              </w:rPr>
            </w:pPr>
            <w:r>
              <w:rPr>
                <w:rFonts w:hint="eastAsia" w:eastAsia="仿宋"/>
                <w:kern w:val="0"/>
                <w:sz w:val="21"/>
                <w:szCs w:val="21"/>
              </w:rPr>
              <w:t>2</w:t>
            </w:r>
            <w:r>
              <w:rPr>
                <w:rFonts w:eastAsia="仿宋"/>
                <w:kern w:val="0"/>
                <w:sz w:val="21"/>
                <w:szCs w:val="21"/>
              </w:rPr>
              <w:t>5</w:t>
            </w:r>
          </w:p>
        </w:tc>
        <w:tc>
          <w:tcPr>
            <w:tcW w:w="967" w:type="dxa"/>
            <w:shd w:val="clear" w:color="auto" w:fill="auto"/>
            <w:vAlign w:val="center"/>
          </w:tcPr>
          <w:p w14:paraId="5F5CC936">
            <w:pPr>
              <w:widowControl/>
              <w:jc w:val="center"/>
              <w:rPr>
                <w:rFonts w:eastAsia="仿宋"/>
                <w:sz w:val="21"/>
                <w:szCs w:val="21"/>
              </w:rPr>
            </w:pPr>
            <w:r>
              <w:rPr>
                <w:rFonts w:hint="eastAsia" w:eastAsia="仿宋"/>
                <w:sz w:val="21"/>
                <w:szCs w:val="21"/>
              </w:rPr>
              <w:t>燕楼镇槐舟村水源</w:t>
            </w:r>
          </w:p>
        </w:tc>
        <w:tc>
          <w:tcPr>
            <w:tcW w:w="992" w:type="dxa"/>
            <w:shd w:val="clear" w:color="auto" w:fill="auto"/>
            <w:vAlign w:val="center"/>
          </w:tcPr>
          <w:p w14:paraId="480F878A">
            <w:pPr>
              <w:widowControl/>
              <w:jc w:val="center"/>
              <w:rPr>
                <w:rFonts w:eastAsia="仿宋"/>
                <w:kern w:val="0"/>
                <w:sz w:val="21"/>
                <w:szCs w:val="21"/>
              </w:rPr>
            </w:pPr>
            <w:r>
              <w:rPr>
                <w:rFonts w:hint="eastAsia" w:eastAsia="仿宋"/>
                <w:kern w:val="0"/>
                <w:sz w:val="21"/>
                <w:szCs w:val="21"/>
              </w:rPr>
              <w:t>地下水型</w:t>
            </w:r>
          </w:p>
        </w:tc>
        <w:tc>
          <w:tcPr>
            <w:tcW w:w="1559" w:type="dxa"/>
            <w:shd w:val="clear" w:color="auto" w:fill="auto"/>
            <w:vAlign w:val="center"/>
          </w:tcPr>
          <w:p w14:paraId="0111FBE7">
            <w:pPr>
              <w:widowControl/>
              <w:jc w:val="center"/>
              <w:rPr>
                <w:rFonts w:eastAsia="仿宋_GB2312"/>
                <w:spacing w:val="-8"/>
                <w:sz w:val="18"/>
                <w:szCs w:val="18"/>
              </w:rPr>
            </w:pPr>
            <w:r>
              <w:rPr>
                <w:rFonts w:eastAsia="仿宋"/>
                <w:sz w:val="18"/>
                <w:szCs w:val="18"/>
              </w:rPr>
              <w:t>H1: E</w:t>
            </w:r>
            <w:r>
              <w:rPr>
                <w:rFonts w:eastAsia="仿宋_GB2312"/>
                <w:spacing w:val="-8"/>
                <w:sz w:val="18"/>
                <w:szCs w:val="18"/>
              </w:rPr>
              <w:t xml:space="preserve"> 106°34'19.00"</w:t>
            </w:r>
            <w:r>
              <w:rPr>
                <w:rFonts w:hint="eastAsia" w:eastAsia="仿宋_GB2312"/>
                <w:spacing w:val="-8"/>
                <w:sz w:val="18"/>
                <w:szCs w:val="18"/>
              </w:rPr>
              <w:t>，</w:t>
            </w:r>
          </w:p>
          <w:p w14:paraId="5A675869">
            <w:pPr>
              <w:widowControl/>
              <w:jc w:val="center"/>
              <w:rPr>
                <w:rFonts w:eastAsia="仿宋"/>
                <w:sz w:val="18"/>
                <w:szCs w:val="18"/>
              </w:rPr>
            </w:pPr>
            <w:r>
              <w:rPr>
                <w:rFonts w:eastAsia="仿宋"/>
                <w:sz w:val="18"/>
                <w:szCs w:val="18"/>
              </w:rPr>
              <w:t>N</w:t>
            </w:r>
            <w:r>
              <w:rPr>
                <w:rFonts w:eastAsia="仿宋_GB2312"/>
                <w:spacing w:val="-8"/>
                <w:sz w:val="18"/>
                <w:szCs w:val="18"/>
              </w:rPr>
              <w:t xml:space="preserve"> 26°18'7.65"</w:t>
            </w:r>
            <w:r>
              <w:rPr>
                <w:rFonts w:hint="eastAsia" w:eastAsia="仿宋_GB2312"/>
                <w:spacing w:val="-8"/>
                <w:sz w:val="18"/>
                <w:szCs w:val="18"/>
              </w:rPr>
              <w:t>和H</w:t>
            </w:r>
            <w:r>
              <w:rPr>
                <w:rFonts w:eastAsia="仿宋_GB2312"/>
                <w:spacing w:val="-8"/>
                <w:sz w:val="18"/>
                <w:szCs w:val="18"/>
              </w:rPr>
              <w:t>2:</w:t>
            </w:r>
            <w:r>
              <w:rPr>
                <w:rFonts w:eastAsia="仿宋"/>
                <w:sz w:val="18"/>
                <w:szCs w:val="18"/>
              </w:rPr>
              <w:t xml:space="preserve"> </w:t>
            </w:r>
          </w:p>
          <w:p w14:paraId="0BF9C82B">
            <w:pPr>
              <w:widowControl/>
              <w:jc w:val="center"/>
              <w:rPr>
                <w:rFonts w:eastAsia="仿宋_GB2312"/>
                <w:spacing w:val="-8"/>
                <w:sz w:val="18"/>
                <w:szCs w:val="18"/>
              </w:rPr>
            </w:pPr>
            <w:r>
              <w:rPr>
                <w:rFonts w:eastAsia="仿宋"/>
                <w:sz w:val="18"/>
                <w:szCs w:val="18"/>
              </w:rPr>
              <w:t>E</w:t>
            </w:r>
            <w:r>
              <w:rPr>
                <w:rFonts w:eastAsia="仿宋_GB2312"/>
                <w:spacing w:val="-8"/>
                <w:sz w:val="18"/>
                <w:szCs w:val="18"/>
              </w:rPr>
              <w:t xml:space="preserve"> 106°34'14.82"</w:t>
            </w:r>
            <w:r>
              <w:rPr>
                <w:rFonts w:hint="eastAsia" w:eastAsia="仿宋_GB2312"/>
                <w:spacing w:val="-8"/>
                <w:sz w:val="18"/>
                <w:szCs w:val="18"/>
              </w:rPr>
              <w:t>，</w:t>
            </w:r>
          </w:p>
          <w:p w14:paraId="0737AA0D">
            <w:pPr>
              <w:widowControl/>
              <w:jc w:val="center"/>
              <w:rPr>
                <w:rFonts w:eastAsia="仿宋"/>
                <w:sz w:val="21"/>
                <w:szCs w:val="21"/>
              </w:rPr>
            </w:pPr>
            <w:r>
              <w:rPr>
                <w:rFonts w:eastAsia="仿宋"/>
                <w:sz w:val="18"/>
                <w:szCs w:val="18"/>
              </w:rPr>
              <w:t>N</w:t>
            </w:r>
            <w:r>
              <w:rPr>
                <w:rFonts w:eastAsia="仿宋_GB2312"/>
                <w:spacing w:val="-8"/>
                <w:sz w:val="18"/>
                <w:szCs w:val="18"/>
              </w:rPr>
              <w:t xml:space="preserve"> 26°18'3.13" </w:t>
            </w:r>
          </w:p>
        </w:tc>
        <w:tc>
          <w:tcPr>
            <w:tcW w:w="709" w:type="dxa"/>
            <w:shd w:val="clear" w:color="auto" w:fill="auto"/>
            <w:vAlign w:val="center"/>
          </w:tcPr>
          <w:p w14:paraId="2C659D0E">
            <w:pPr>
              <w:widowControl/>
              <w:jc w:val="center"/>
              <w:rPr>
                <w:rFonts w:eastAsia="仿宋"/>
                <w:kern w:val="0"/>
                <w:sz w:val="21"/>
                <w:szCs w:val="21"/>
              </w:rPr>
            </w:pPr>
            <w:r>
              <w:rPr>
                <w:rFonts w:eastAsia="仿宋"/>
                <w:kern w:val="0"/>
                <w:sz w:val="21"/>
                <w:szCs w:val="21"/>
              </w:rPr>
              <w:t>正常</w:t>
            </w:r>
          </w:p>
        </w:tc>
        <w:tc>
          <w:tcPr>
            <w:tcW w:w="1134" w:type="dxa"/>
            <w:shd w:val="clear" w:color="auto" w:fill="auto"/>
            <w:vAlign w:val="center"/>
          </w:tcPr>
          <w:p w14:paraId="587B68AB">
            <w:pPr>
              <w:widowControl/>
              <w:jc w:val="center"/>
              <w:rPr>
                <w:rFonts w:eastAsia="仿宋"/>
                <w:kern w:val="0"/>
                <w:sz w:val="21"/>
                <w:szCs w:val="21"/>
              </w:rPr>
            </w:pPr>
            <w:r>
              <w:rPr>
                <w:rFonts w:eastAsia="仿宋"/>
                <w:kern w:val="0"/>
                <w:sz w:val="21"/>
                <w:szCs w:val="21"/>
              </w:rPr>
              <w:t>0.07</w:t>
            </w:r>
          </w:p>
        </w:tc>
        <w:tc>
          <w:tcPr>
            <w:tcW w:w="1276" w:type="dxa"/>
            <w:shd w:val="clear" w:color="auto" w:fill="auto"/>
            <w:vAlign w:val="center"/>
          </w:tcPr>
          <w:p w14:paraId="115DF9E5">
            <w:pPr>
              <w:widowControl/>
              <w:jc w:val="center"/>
              <w:rPr>
                <w:rFonts w:eastAsia="仿宋"/>
                <w:kern w:val="0"/>
                <w:sz w:val="21"/>
                <w:szCs w:val="21"/>
              </w:rPr>
            </w:pPr>
            <w:r>
              <w:rPr>
                <w:rFonts w:hint="eastAsia" w:eastAsia="仿宋"/>
                <w:kern w:val="0"/>
                <w:sz w:val="21"/>
                <w:szCs w:val="21"/>
              </w:rPr>
              <w:t>0</w:t>
            </w:r>
          </w:p>
        </w:tc>
        <w:tc>
          <w:tcPr>
            <w:tcW w:w="1275" w:type="dxa"/>
            <w:shd w:val="clear" w:color="auto" w:fill="auto"/>
            <w:vAlign w:val="center"/>
          </w:tcPr>
          <w:p w14:paraId="030D2A80">
            <w:pPr>
              <w:widowControl/>
              <w:jc w:val="center"/>
              <w:rPr>
                <w:rFonts w:eastAsia="仿宋"/>
                <w:kern w:val="0"/>
                <w:sz w:val="21"/>
                <w:szCs w:val="21"/>
              </w:rPr>
            </w:pPr>
            <w:r>
              <w:rPr>
                <w:rFonts w:hint="eastAsia" w:eastAsia="仿宋"/>
                <w:kern w:val="0"/>
                <w:sz w:val="21"/>
                <w:szCs w:val="21"/>
              </w:rPr>
              <w:t>0</w:t>
            </w:r>
          </w:p>
        </w:tc>
      </w:tr>
      <w:tr w14:paraId="054DFF8F">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953" w:hRule="atLeast"/>
        </w:trPr>
        <w:tc>
          <w:tcPr>
            <w:tcW w:w="603" w:type="dxa"/>
            <w:shd w:val="clear" w:color="auto" w:fill="auto"/>
            <w:vAlign w:val="center"/>
          </w:tcPr>
          <w:p w14:paraId="3DBA7981">
            <w:pPr>
              <w:widowControl/>
              <w:jc w:val="center"/>
              <w:rPr>
                <w:rFonts w:eastAsia="仿宋"/>
                <w:kern w:val="0"/>
                <w:sz w:val="21"/>
                <w:szCs w:val="21"/>
              </w:rPr>
            </w:pPr>
            <w:r>
              <w:rPr>
                <w:rFonts w:hint="eastAsia" w:eastAsia="仿宋"/>
                <w:kern w:val="0"/>
                <w:sz w:val="21"/>
                <w:szCs w:val="21"/>
              </w:rPr>
              <w:t>2</w:t>
            </w:r>
            <w:r>
              <w:rPr>
                <w:rFonts w:eastAsia="仿宋"/>
                <w:kern w:val="0"/>
                <w:sz w:val="21"/>
                <w:szCs w:val="21"/>
              </w:rPr>
              <w:t>6</w:t>
            </w:r>
          </w:p>
        </w:tc>
        <w:tc>
          <w:tcPr>
            <w:tcW w:w="967" w:type="dxa"/>
            <w:shd w:val="clear" w:color="auto" w:fill="auto"/>
            <w:vAlign w:val="center"/>
          </w:tcPr>
          <w:p w14:paraId="59077D2F">
            <w:pPr>
              <w:widowControl/>
              <w:jc w:val="center"/>
              <w:rPr>
                <w:rFonts w:eastAsia="仿宋"/>
                <w:sz w:val="21"/>
                <w:szCs w:val="21"/>
              </w:rPr>
            </w:pPr>
            <w:r>
              <w:rPr>
                <w:rFonts w:hint="eastAsia" w:eastAsia="仿宋"/>
                <w:sz w:val="21"/>
                <w:szCs w:val="21"/>
              </w:rPr>
              <w:t>燕楼镇新井村水源</w:t>
            </w:r>
          </w:p>
        </w:tc>
        <w:tc>
          <w:tcPr>
            <w:tcW w:w="992" w:type="dxa"/>
            <w:shd w:val="clear" w:color="auto" w:fill="auto"/>
            <w:vAlign w:val="center"/>
          </w:tcPr>
          <w:p w14:paraId="0F0D9C91">
            <w:pPr>
              <w:widowControl/>
              <w:jc w:val="center"/>
              <w:rPr>
                <w:rFonts w:eastAsia="仿宋"/>
                <w:kern w:val="0"/>
                <w:sz w:val="21"/>
                <w:szCs w:val="21"/>
              </w:rPr>
            </w:pPr>
            <w:r>
              <w:rPr>
                <w:rFonts w:hint="eastAsia" w:eastAsia="仿宋"/>
                <w:kern w:val="0"/>
                <w:sz w:val="21"/>
                <w:szCs w:val="21"/>
              </w:rPr>
              <w:t>地下水型</w:t>
            </w:r>
          </w:p>
        </w:tc>
        <w:tc>
          <w:tcPr>
            <w:tcW w:w="1559" w:type="dxa"/>
            <w:shd w:val="clear" w:color="auto" w:fill="auto"/>
            <w:vAlign w:val="center"/>
          </w:tcPr>
          <w:p w14:paraId="7B022376">
            <w:pPr>
              <w:widowControl/>
              <w:jc w:val="center"/>
              <w:rPr>
                <w:rFonts w:eastAsia="仿宋_GB2312"/>
                <w:spacing w:val="-8"/>
                <w:sz w:val="21"/>
                <w:szCs w:val="21"/>
              </w:rPr>
            </w:pPr>
            <w:r>
              <w:rPr>
                <w:rFonts w:eastAsia="仿宋"/>
                <w:sz w:val="21"/>
                <w:szCs w:val="21"/>
              </w:rPr>
              <w:t>E</w:t>
            </w:r>
            <w:r>
              <w:rPr>
                <w:rFonts w:eastAsia="仿宋_GB2312"/>
                <w:spacing w:val="-8"/>
                <w:sz w:val="21"/>
                <w:szCs w:val="21"/>
              </w:rPr>
              <w:t xml:space="preserve"> 106°33'51.21"</w:t>
            </w:r>
            <w:r>
              <w:rPr>
                <w:rFonts w:hint="eastAsia" w:eastAsia="仿宋_GB2312"/>
                <w:spacing w:val="-8"/>
                <w:sz w:val="21"/>
                <w:szCs w:val="21"/>
              </w:rPr>
              <w:t>，</w:t>
            </w:r>
          </w:p>
          <w:p w14:paraId="1EF24A01">
            <w:pPr>
              <w:widowControl/>
              <w:jc w:val="center"/>
              <w:rPr>
                <w:rFonts w:eastAsia="仿宋"/>
                <w:sz w:val="21"/>
                <w:szCs w:val="21"/>
              </w:rPr>
            </w:pPr>
            <w:r>
              <w:rPr>
                <w:rFonts w:eastAsia="仿宋"/>
                <w:sz w:val="21"/>
                <w:szCs w:val="21"/>
              </w:rPr>
              <w:t>N</w:t>
            </w:r>
            <w:r>
              <w:rPr>
                <w:rFonts w:eastAsia="仿宋_GB2312"/>
                <w:spacing w:val="-8"/>
                <w:sz w:val="21"/>
                <w:szCs w:val="21"/>
              </w:rPr>
              <w:t xml:space="preserve"> 26°19'12.11"</w:t>
            </w:r>
          </w:p>
        </w:tc>
        <w:tc>
          <w:tcPr>
            <w:tcW w:w="709" w:type="dxa"/>
            <w:shd w:val="clear" w:color="auto" w:fill="auto"/>
            <w:vAlign w:val="center"/>
          </w:tcPr>
          <w:p w14:paraId="53700DAC">
            <w:pPr>
              <w:widowControl/>
              <w:jc w:val="center"/>
              <w:rPr>
                <w:rFonts w:eastAsia="仿宋"/>
                <w:kern w:val="0"/>
                <w:sz w:val="21"/>
                <w:szCs w:val="21"/>
              </w:rPr>
            </w:pPr>
            <w:r>
              <w:rPr>
                <w:rFonts w:eastAsia="仿宋"/>
                <w:kern w:val="0"/>
                <w:sz w:val="21"/>
                <w:szCs w:val="21"/>
              </w:rPr>
              <w:t>正常</w:t>
            </w:r>
          </w:p>
        </w:tc>
        <w:tc>
          <w:tcPr>
            <w:tcW w:w="1134" w:type="dxa"/>
            <w:shd w:val="clear" w:color="auto" w:fill="auto"/>
            <w:vAlign w:val="center"/>
          </w:tcPr>
          <w:p w14:paraId="7897C24B">
            <w:pPr>
              <w:widowControl/>
              <w:jc w:val="center"/>
              <w:rPr>
                <w:rFonts w:eastAsia="仿宋"/>
                <w:kern w:val="0"/>
                <w:sz w:val="21"/>
                <w:szCs w:val="21"/>
              </w:rPr>
            </w:pPr>
            <w:r>
              <w:rPr>
                <w:rFonts w:eastAsia="仿宋"/>
                <w:kern w:val="0"/>
                <w:sz w:val="21"/>
                <w:szCs w:val="21"/>
              </w:rPr>
              <w:t>0.14</w:t>
            </w:r>
          </w:p>
        </w:tc>
        <w:tc>
          <w:tcPr>
            <w:tcW w:w="1276" w:type="dxa"/>
            <w:shd w:val="clear" w:color="auto" w:fill="auto"/>
            <w:vAlign w:val="center"/>
          </w:tcPr>
          <w:p w14:paraId="69F715E3">
            <w:pPr>
              <w:widowControl/>
              <w:jc w:val="center"/>
              <w:rPr>
                <w:rFonts w:eastAsia="仿宋"/>
                <w:kern w:val="0"/>
                <w:sz w:val="21"/>
                <w:szCs w:val="21"/>
              </w:rPr>
            </w:pPr>
            <w:r>
              <w:rPr>
                <w:rFonts w:hint="eastAsia" w:eastAsia="仿宋"/>
                <w:kern w:val="0"/>
                <w:sz w:val="21"/>
                <w:szCs w:val="21"/>
              </w:rPr>
              <w:t>0</w:t>
            </w:r>
          </w:p>
        </w:tc>
        <w:tc>
          <w:tcPr>
            <w:tcW w:w="1275" w:type="dxa"/>
            <w:shd w:val="clear" w:color="auto" w:fill="auto"/>
            <w:vAlign w:val="center"/>
          </w:tcPr>
          <w:p w14:paraId="6C7D5766">
            <w:pPr>
              <w:widowControl/>
              <w:jc w:val="center"/>
              <w:rPr>
                <w:rFonts w:eastAsia="仿宋"/>
                <w:kern w:val="0"/>
                <w:sz w:val="21"/>
                <w:szCs w:val="21"/>
              </w:rPr>
            </w:pPr>
            <w:r>
              <w:rPr>
                <w:rFonts w:hint="eastAsia" w:eastAsia="仿宋"/>
                <w:kern w:val="0"/>
                <w:sz w:val="21"/>
                <w:szCs w:val="21"/>
              </w:rPr>
              <w:t>0</w:t>
            </w:r>
          </w:p>
        </w:tc>
      </w:tr>
      <w:tr w14:paraId="7EDCB934">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476" w:hRule="atLeast"/>
        </w:trPr>
        <w:tc>
          <w:tcPr>
            <w:tcW w:w="4830" w:type="dxa"/>
            <w:gridSpan w:val="5"/>
            <w:shd w:val="clear" w:color="auto" w:fill="auto"/>
            <w:vAlign w:val="center"/>
          </w:tcPr>
          <w:p w14:paraId="01E25E04">
            <w:pPr>
              <w:widowControl/>
              <w:jc w:val="center"/>
              <w:rPr>
                <w:rFonts w:eastAsia="仿宋"/>
                <w:kern w:val="0"/>
                <w:sz w:val="21"/>
                <w:szCs w:val="21"/>
              </w:rPr>
            </w:pPr>
            <w:r>
              <w:rPr>
                <w:rFonts w:hint="eastAsia" w:eastAsia="仿宋"/>
                <w:kern w:val="0"/>
                <w:sz w:val="21"/>
                <w:szCs w:val="21"/>
              </w:rPr>
              <w:t>合</w:t>
            </w:r>
            <w:r>
              <w:rPr>
                <w:rFonts w:eastAsia="仿宋"/>
                <w:kern w:val="0"/>
                <w:sz w:val="21"/>
                <w:szCs w:val="21"/>
              </w:rPr>
              <w:t>计(hm</w:t>
            </w:r>
            <w:r>
              <w:rPr>
                <w:rFonts w:eastAsia="仿宋"/>
                <w:kern w:val="0"/>
                <w:sz w:val="21"/>
                <w:szCs w:val="21"/>
                <w:vertAlign w:val="superscript"/>
              </w:rPr>
              <w:t>2</w:t>
            </w:r>
            <w:r>
              <w:rPr>
                <w:rFonts w:eastAsia="仿宋"/>
                <w:kern w:val="0"/>
                <w:sz w:val="21"/>
                <w:szCs w:val="21"/>
              </w:rPr>
              <w:t>)</w:t>
            </w:r>
          </w:p>
        </w:tc>
        <w:tc>
          <w:tcPr>
            <w:tcW w:w="1134" w:type="dxa"/>
            <w:shd w:val="clear" w:color="auto" w:fill="auto"/>
            <w:vAlign w:val="center"/>
          </w:tcPr>
          <w:p w14:paraId="58954AC2">
            <w:pPr>
              <w:widowControl/>
              <w:jc w:val="center"/>
              <w:rPr>
                <w:rFonts w:eastAsia="仿宋"/>
                <w:kern w:val="0"/>
                <w:sz w:val="21"/>
                <w:szCs w:val="21"/>
              </w:rPr>
            </w:pPr>
            <w:r>
              <w:rPr>
                <w:rFonts w:eastAsia="仿宋"/>
                <w:kern w:val="0"/>
                <w:sz w:val="21"/>
                <w:szCs w:val="21"/>
              </w:rPr>
              <w:t>175.0646</w:t>
            </w:r>
          </w:p>
        </w:tc>
        <w:tc>
          <w:tcPr>
            <w:tcW w:w="1276" w:type="dxa"/>
            <w:shd w:val="clear" w:color="auto" w:fill="auto"/>
            <w:vAlign w:val="center"/>
          </w:tcPr>
          <w:p w14:paraId="47BA4D5E">
            <w:pPr>
              <w:widowControl/>
              <w:jc w:val="center"/>
              <w:rPr>
                <w:rFonts w:eastAsia="仿宋"/>
                <w:kern w:val="0"/>
                <w:sz w:val="21"/>
                <w:szCs w:val="21"/>
              </w:rPr>
            </w:pPr>
            <w:r>
              <w:rPr>
                <w:rFonts w:eastAsia="仿宋"/>
                <w:kern w:val="0"/>
                <w:sz w:val="21"/>
                <w:szCs w:val="21"/>
              </w:rPr>
              <w:t>1772</w:t>
            </w:r>
            <w:r>
              <w:rPr>
                <w:rFonts w:hint="eastAsia" w:eastAsia="仿宋"/>
                <w:kern w:val="0"/>
                <w:sz w:val="21"/>
                <w:szCs w:val="21"/>
              </w:rPr>
              <w:t>.</w:t>
            </w:r>
            <w:r>
              <w:rPr>
                <w:rFonts w:eastAsia="仿宋"/>
                <w:kern w:val="0"/>
                <w:sz w:val="21"/>
                <w:szCs w:val="21"/>
              </w:rPr>
              <w:t>1</w:t>
            </w:r>
          </w:p>
        </w:tc>
        <w:tc>
          <w:tcPr>
            <w:tcW w:w="1275" w:type="dxa"/>
            <w:shd w:val="clear" w:color="auto" w:fill="auto"/>
            <w:vAlign w:val="center"/>
          </w:tcPr>
          <w:p w14:paraId="2C00D53B">
            <w:pPr>
              <w:widowControl/>
              <w:jc w:val="center"/>
              <w:rPr>
                <w:rFonts w:eastAsia="仿宋"/>
                <w:kern w:val="0"/>
                <w:sz w:val="21"/>
                <w:szCs w:val="21"/>
              </w:rPr>
            </w:pPr>
            <w:r>
              <w:rPr>
                <w:rFonts w:eastAsia="仿宋"/>
                <w:kern w:val="0"/>
                <w:sz w:val="21"/>
                <w:szCs w:val="21"/>
              </w:rPr>
              <w:t>834.6</w:t>
            </w:r>
          </w:p>
        </w:tc>
      </w:tr>
    </w:tbl>
    <w:p w14:paraId="0EEC568B">
      <w:pPr>
        <w:rPr>
          <w:rFonts w:eastAsia="仿宋"/>
        </w:rPr>
      </w:pPr>
    </w:p>
    <w:p w14:paraId="4D5A8A81">
      <w:pPr>
        <w:pStyle w:val="3"/>
        <w:rPr>
          <w:rFonts w:eastAsia="仿宋"/>
          <w:sz w:val="32"/>
        </w:rPr>
      </w:pPr>
      <w:bookmarkStart w:id="25" w:name="_Toc60930764"/>
      <w:r>
        <w:rPr>
          <w:rFonts w:eastAsia="仿宋"/>
          <w:sz w:val="32"/>
        </w:rPr>
        <w:t>2.1</w:t>
      </w:r>
      <w:r>
        <w:rPr>
          <w:rFonts w:hint="eastAsia" w:eastAsia="仿宋"/>
          <w:sz w:val="32"/>
        </w:rPr>
        <w:t>高坡乡阴河洞水源</w:t>
      </w:r>
      <w:bookmarkEnd w:id="25"/>
    </w:p>
    <w:p w14:paraId="222749CB">
      <w:pPr>
        <w:pStyle w:val="4"/>
        <w:spacing w:before="120" w:after="120"/>
        <w:rPr>
          <w:rFonts w:eastAsia="仿宋"/>
          <w:sz w:val="28"/>
        </w:rPr>
      </w:pPr>
      <w:r>
        <w:rPr>
          <w:rFonts w:eastAsia="仿宋"/>
          <w:sz w:val="28"/>
        </w:rPr>
        <w:t>2.1.1水源地基本情况</w:t>
      </w:r>
    </w:p>
    <w:p w14:paraId="6D97EE28">
      <w:pPr>
        <w:spacing w:line="600" w:lineRule="exact"/>
        <w:ind w:firstLine="528" w:firstLineChars="200"/>
        <w:rPr>
          <w:rFonts w:eastAsia="仿宋"/>
          <w:spacing w:val="-8"/>
          <w:sz w:val="28"/>
          <w:szCs w:val="28"/>
        </w:rPr>
      </w:pPr>
      <w:r>
        <w:rPr>
          <w:rFonts w:hint="eastAsia" w:eastAsia="仿宋"/>
          <w:spacing w:val="-8"/>
          <w:sz w:val="28"/>
          <w:szCs w:val="28"/>
        </w:rPr>
        <w:t>花溪区</w:t>
      </w:r>
      <w:r>
        <w:rPr>
          <w:rFonts w:eastAsia="仿宋"/>
          <w:spacing w:val="-8"/>
          <w:sz w:val="28"/>
          <w:szCs w:val="28"/>
        </w:rPr>
        <w:t>高坡乡阴河洞</w:t>
      </w:r>
      <w:r>
        <w:rPr>
          <w:rFonts w:hint="eastAsia" w:eastAsia="仿宋"/>
          <w:spacing w:val="-8"/>
          <w:sz w:val="28"/>
          <w:szCs w:val="28"/>
        </w:rPr>
        <w:t>饮用水源</w:t>
      </w:r>
      <w:r>
        <w:rPr>
          <w:rFonts w:hint="eastAsia" w:ascii="仿宋" w:hAnsi="仿宋" w:eastAsia="仿宋"/>
          <w:sz w:val="28"/>
        </w:rPr>
        <w:t>位于花溪区高坡乡，距市中心17公里，</w:t>
      </w:r>
      <w:r>
        <w:rPr>
          <w:rFonts w:hint="eastAsia" w:eastAsia="仿宋"/>
          <w:spacing w:val="-8"/>
          <w:sz w:val="28"/>
          <w:szCs w:val="28"/>
        </w:rPr>
        <w:t>属于地下水型水源，取水口坐标E106.853053，N26.211988。水源地有水泵1台，扬程为182米，储水池一座，100m</w:t>
      </w:r>
      <w:r>
        <w:rPr>
          <w:rFonts w:ascii="Calibri" w:hAnsi="Calibri" w:eastAsia="仿宋" w:cs="Calibri"/>
          <w:spacing w:val="-8"/>
          <w:sz w:val="28"/>
          <w:szCs w:val="28"/>
        </w:rPr>
        <w:t>³</w:t>
      </w:r>
      <w:r>
        <w:rPr>
          <w:rFonts w:hint="eastAsia" w:ascii="仿宋" w:hAnsi="仿宋" w:eastAsia="仿宋" w:cs="仿宋"/>
          <w:spacing w:val="-8"/>
          <w:sz w:val="28"/>
          <w:szCs w:val="28"/>
        </w:rPr>
        <w:t>高位水池一座，</w:t>
      </w:r>
      <w:r>
        <w:rPr>
          <w:rFonts w:hint="eastAsia" w:eastAsia="仿宋"/>
          <w:spacing w:val="-8"/>
          <w:sz w:val="28"/>
          <w:szCs w:val="28"/>
        </w:rPr>
        <w:t>日供水量为212.88t/d，该水源服务人口2922人。供水区域为甲定村、高寨村、克里村、硐口村一个组。</w:t>
      </w:r>
      <w:r>
        <w:rPr>
          <w:rFonts w:eastAsia="仿宋"/>
          <w:spacing w:val="-8"/>
          <w:sz w:val="28"/>
          <w:szCs w:val="28"/>
        </w:rPr>
        <w:t>高坡乡阴河洞水源取水口照片见图2-1。</w:t>
      </w:r>
    </w:p>
    <w:p w14:paraId="61107328">
      <w:pPr>
        <w:rPr>
          <w:rFonts w:eastAsia="仿宋"/>
          <w:spacing w:val="-8"/>
          <w:szCs w:val="28"/>
        </w:rPr>
      </w:pPr>
      <w:r>
        <w:rPr>
          <w:szCs w:val="24"/>
        </w:rPr>
        <w:drawing>
          <wp:inline distT="0" distB="0" distL="0" distR="0">
            <wp:extent cx="2647315" cy="2639060"/>
            <wp:effectExtent l="0" t="0" r="0" b="0"/>
            <wp:docPr id="7" name="图片 7" descr="水源点近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水源点近照"/>
                    <pic:cNvPicPr>
                      <a:picLocks noChangeAspect="1" noChangeArrowheads="1"/>
                    </pic:cNvPicPr>
                  </pic:nvPicPr>
                  <pic:blipFill>
                    <a:blip r:embed="rId13" cstate="print"/>
                    <a:srcRect/>
                    <a:stretch>
                      <a:fillRect/>
                    </a:stretch>
                  </pic:blipFill>
                  <pic:spPr>
                    <a:xfrm>
                      <a:off x="0" y="0"/>
                      <a:ext cx="2668231" cy="2659680"/>
                    </a:xfrm>
                    <a:prstGeom prst="rect">
                      <a:avLst/>
                    </a:prstGeom>
                    <a:noFill/>
                    <a:ln w="9525">
                      <a:noFill/>
                      <a:miter lim="800000"/>
                      <a:headEnd/>
                      <a:tailEnd/>
                    </a:ln>
                  </pic:spPr>
                </pic:pic>
              </a:graphicData>
            </a:graphic>
          </wp:inline>
        </w:drawing>
      </w:r>
      <w:r>
        <w:rPr>
          <w:szCs w:val="24"/>
        </w:rPr>
        <w:drawing>
          <wp:inline distT="0" distB="0" distL="0" distR="0">
            <wp:extent cx="2762885" cy="2636520"/>
            <wp:effectExtent l="0" t="0" r="0" b="0"/>
            <wp:docPr id="11" name="图片 11" descr="泵房及远处蓄水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泵房及远处蓄水池"/>
                    <pic:cNvPicPr>
                      <a:picLocks noChangeAspect="1" noChangeArrowheads="1"/>
                    </pic:cNvPicPr>
                  </pic:nvPicPr>
                  <pic:blipFill>
                    <a:blip r:embed="rId14" cstate="print"/>
                    <a:srcRect r="6887"/>
                    <a:stretch>
                      <a:fillRect/>
                    </a:stretch>
                  </pic:blipFill>
                  <pic:spPr>
                    <a:xfrm>
                      <a:off x="0" y="0"/>
                      <a:ext cx="2775469" cy="2648526"/>
                    </a:xfrm>
                    <a:prstGeom prst="rect">
                      <a:avLst/>
                    </a:prstGeom>
                    <a:noFill/>
                    <a:ln>
                      <a:noFill/>
                    </a:ln>
                  </pic:spPr>
                </pic:pic>
              </a:graphicData>
            </a:graphic>
          </wp:inline>
        </w:drawing>
      </w:r>
    </w:p>
    <w:p w14:paraId="226E8513">
      <w:pPr>
        <w:jc w:val="center"/>
        <w:rPr>
          <w:rFonts w:eastAsia="仿宋"/>
          <w:b/>
          <w:spacing w:val="-8"/>
          <w:sz w:val="21"/>
          <w:szCs w:val="21"/>
        </w:rPr>
      </w:pPr>
      <w:r>
        <w:rPr>
          <w:rFonts w:eastAsia="仿宋"/>
          <w:b/>
          <w:spacing w:val="-8"/>
          <w:sz w:val="21"/>
          <w:szCs w:val="21"/>
        </w:rPr>
        <w:t>图2-2  高坡乡阴河洞水源取水口现场照片</w:t>
      </w:r>
    </w:p>
    <w:p w14:paraId="5FC55455">
      <w:pPr>
        <w:autoSpaceDE w:val="0"/>
        <w:autoSpaceDN w:val="0"/>
        <w:adjustRightInd w:val="0"/>
        <w:ind w:firstLine="528" w:firstLineChars="200"/>
        <w:jc w:val="left"/>
        <w:rPr>
          <w:rFonts w:eastAsia="仿宋"/>
          <w:spacing w:val="-8"/>
          <w:sz w:val="28"/>
          <w:szCs w:val="28"/>
        </w:rPr>
      </w:pPr>
      <w:r>
        <w:rPr>
          <w:rFonts w:eastAsia="仿宋"/>
          <w:spacing w:val="-8"/>
          <w:sz w:val="28"/>
          <w:szCs w:val="28"/>
        </w:rPr>
        <w:t>根据</w:t>
      </w:r>
      <w:r>
        <w:rPr>
          <w:rFonts w:hint="eastAsia" w:eastAsia="仿宋"/>
          <w:spacing w:val="-8"/>
          <w:sz w:val="28"/>
          <w:szCs w:val="28"/>
        </w:rPr>
        <w:t>2</w:t>
      </w:r>
      <w:r>
        <w:rPr>
          <w:rFonts w:eastAsia="仿宋"/>
          <w:spacing w:val="-8"/>
          <w:sz w:val="28"/>
          <w:szCs w:val="28"/>
        </w:rPr>
        <w:t>018</w:t>
      </w:r>
      <w:r>
        <w:rPr>
          <w:rFonts w:hint="eastAsia" w:eastAsia="仿宋"/>
          <w:spacing w:val="-8"/>
          <w:sz w:val="28"/>
          <w:szCs w:val="28"/>
        </w:rPr>
        <w:t>年1</w:t>
      </w:r>
      <w:r>
        <w:rPr>
          <w:rFonts w:eastAsia="仿宋"/>
          <w:spacing w:val="-8"/>
          <w:sz w:val="28"/>
          <w:szCs w:val="28"/>
        </w:rPr>
        <w:t>2</w:t>
      </w:r>
      <w:r>
        <w:rPr>
          <w:rFonts w:hint="eastAsia" w:eastAsia="仿宋"/>
          <w:spacing w:val="-8"/>
          <w:sz w:val="28"/>
          <w:szCs w:val="28"/>
        </w:rPr>
        <w:t>月7日采样监测结果显示，评价范围内的地下水环境质量总体状况为较好（Ⅲ类）。阴河洞水源地水质pH呈弱碱偏中性，主要是该处自然地质结构状况造成的。监测点位地下水无超标因子，综合评价水源地水质满足《地下水质量标准》（GB/T 14848-</w:t>
      </w:r>
      <w:r>
        <w:rPr>
          <w:rFonts w:eastAsia="仿宋"/>
          <w:spacing w:val="-8"/>
          <w:sz w:val="28"/>
          <w:szCs w:val="28"/>
        </w:rPr>
        <w:t>2017</w:t>
      </w:r>
      <w:r>
        <w:rPr>
          <w:rFonts w:hint="eastAsia" w:eastAsia="仿宋"/>
          <w:spacing w:val="-8"/>
          <w:sz w:val="28"/>
          <w:szCs w:val="28"/>
        </w:rPr>
        <w:t>）中的Ⅲ类标准要求。</w:t>
      </w:r>
    </w:p>
    <w:p w14:paraId="528DA969">
      <w:pPr>
        <w:ind w:firstLine="528" w:firstLineChars="200"/>
        <w:rPr>
          <w:rFonts w:eastAsia="仿宋"/>
          <w:sz w:val="28"/>
          <w:szCs w:val="28"/>
        </w:rPr>
      </w:pPr>
      <w:r>
        <w:rPr>
          <w:rFonts w:eastAsia="仿宋"/>
          <w:spacing w:val="-8"/>
          <w:sz w:val="28"/>
          <w:szCs w:val="28"/>
        </w:rPr>
        <w:t>根据《花溪区高坡乡阴河洞集中式饮用水水源</w:t>
      </w:r>
      <w:r>
        <w:rPr>
          <w:rFonts w:hint="eastAsia" w:eastAsia="仿宋"/>
          <w:spacing w:val="-8"/>
          <w:sz w:val="28"/>
          <w:szCs w:val="28"/>
        </w:rPr>
        <w:t>保护区调整方案</w:t>
      </w:r>
      <w:r>
        <w:rPr>
          <w:rFonts w:eastAsia="仿宋"/>
          <w:spacing w:val="-8"/>
          <w:sz w:val="28"/>
          <w:szCs w:val="28"/>
        </w:rPr>
        <w:t>》，高坡乡阴河洞水源保护区面积0.7892 km</w:t>
      </w:r>
      <w:r>
        <w:rPr>
          <w:rFonts w:eastAsia="仿宋"/>
          <w:spacing w:val="-8"/>
          <w:sz w:val="28"/>
          <w:szCs w:val="28"/>
          <w:vertAlign w:val="superscript"/>
        </w:rPr>
        <w:t>2</w:t>
      </w:r>
      <w:r>
        <w:rPr>
          <w:rFonts w:eastAsia="仿宋"/>
          <w:spacing w:val="-8"/>
          <w:sz w:val="28"/>
          <w:szCs w:val="28"/>
        </w:rPr>
        <w:t>，其中一级保护区面积0.0101 km</w:t>
      </w:r>
      <w:r>
        <w:rPr>
          <w:rFonts w:eastAsia="仿宋"/>
          <w:spacing w:val="-8"/>
          <w:sz w:val="28"/>
          <w:szCs w:val="28"/>
          <w:vertAlign w:val="superscript"/>
        </w:rPr>
        <w:t>2</w:t>
      </w:r>
      <w:r>
        <w:rPr>
          <w:rFonts w:eastAsia="仿宋"/>
          <w:spacing w:val="-8"/>
          <w:sz w:val="28"/>
          <w:szCs w:val="28"/>
        </w:rPr>
        <w:t>，二级保护区面积0.7791 km</w:t>
      </w:r>
      <w:r>
        <w:rPr>
          <w:rFonts w:eastAsia="仿宋"/>
          <w:spacing w:val="-8"/>
          <w:sz w:val="28"/>
          <w:szCs w:val="28"/>
          <w:vertAlign w:val="superscript"/>
        </w:rPr>
        <w:t>2</w:t>
      </w:r>
      <w:r>
        <w:rPr>
          <w:rFonts w:hint="eastAsia" w:eastAsia="仿宋"/>
          <w:spacing w:val="-8"/>
          <w:sz w:val="28"/>
          <w:szCs w:val="28"/>
        </w:rPr>
        <w:t>，</w:t>
      </w:r>
      <w:r>
        <w:rPr>
          <w:rFonts w:eastAsia="仿宋"/>
          <w:sz w:val="28"/>
          <w:szCs w:val="28"/>
        </w:rPr>
        <w:t>保护区划分见附图1</w:t>
      </w:r>
      <w:r>
        <w:rPr>
          <w:rFonts w:hint="eastAsia" w:eastAsia="仿宋"/>
          <w:sz w:val="28"/>
          <w:szCs w:val="28"/>
        </w:rPr>
        <w:t>和</w:t>
      </w:r>
      <w:r>
        <w:rPr>
          <w:rFonts w:eastAsia="仿宋"/>
          <w:sz w:val="28"/>
          <w:szCs w:val="28"/>
        </w:rPr>
        <w:t>附图</w:t>
      </w:r>
      <w:r>
        <w:rPr>
          <w:rFonts w:hint="eastAsia" w:eastAsia="仿宋"/>
          <w:sz w:val="28"/>
          <w:szCs w:val="28"/>
        </w:rPr>
        <w:t>2</w:t>
      </w:r>
      <w:r>
        <w:rPr>
          <w:rFonts w:eastAsia="仿宋"/>
          <w:sz w:val="28"/>
          <w:szCs w:val="28"/>
        </w:rPr>
        <w:t>。</w:t>
      </w:r>
    </w:p>
    <w:p w14:paraId="1CBD6888">
      <w:pPr>
        <w:pStyle w:val="4"/>
        <w:spacing w:before="120" w:after="120"/>
        <w:rPr>
          <w:rFonts w:eastAsia="仿宋"/>
          <w:sz w:val="28"/>
        </w:rPr>
      </w:pPr>
      <w:r>
        <w:rPr>
          <w:rFonts w:eastAsia="仿宋"/>
          <w:sz w:val="28"/>
        </w:rPr>
        <w:t>2.1.2水源地风险分析</w:t>
      </w:r>
    </w:p>
    <w:p w14:paraId="135126B3">
      <w:pPr>
        <w:autoSpaceDE w:val="0"/>
        <w:autoSpaceDN w:val="0"/>
        <w:adjustRightInd w:val="0"/>
        <w:ind w:firstLine="560" w:firstLineChars="200"/>
        <w:rPr>
          <w:rFonts w:eastAsia="仿宋"/>
          <w:sz w:val="28"/>
          <w:szCs w:val="28"/>
        </w:rPr>
      </w:pPr>
      <w:r>
        <w:rPr>
          <w:rFonts w:eastAsia="仿宋"/>
          <w:sz w:val="28"/>
          <w:szCs w:val="28"/>
        </w:rPr>
        <w:t>（1）固定源环境风险</w:t>
      </w:r>
    </w:p>
    <w:p w14:paraId="15F8F541">
      <w:pPr>
        <w:ind w:firstLine="560" w:firstLineChars="200"/>
        <w:rPr>
          <w:rFonts w:eastAsia="仿宋"/>
          <w:sz w:val="28"/>
          <w:szCs w:val="28"/>
        </w:rPr>
      </w:pPr>
      <w:r>
        <w:rPr>
          <w:rFonts w:hint="eastAsia" w:eastAsia="仿宋"/>
          <w:kern w:val="0"/>
          <w:sz w:val="28"/>
          <w:szCs w:val="28"/>
        </w:rPr>
        <w:t>根据实地调查，高坡乡阴河洞水源保护区及其上游汇水区内未有煤矿、石化、砂石、养殖场、污水处理厂等工矿企业及垃圾场、排污口、尾矿库等环境卫生设施，因此不存在固定源污染情况。</w:t>
      </w:r>
    </w:p>
    <w:p w14:paraId="1479970F">
      <w:pPr>
        <w:autoSpaceDE w:val="0"/>
        <w:autoSpaceDN w:val="0"/>
        <w:adjustRightInd w:val="0"/>
        <w:ind w:firstLine="560" w:firstLineChars="200"/>
        <w:rPr>
          <w:rFonts w:eastAsia="仿宋"/>
          <w:sz w:val="28"/>
          <w:szCs w:val="28"/>
        </w:rPr>
      </w:pPr>
      <w:r>
        <w:rPr>
          <w:rFonts w:eastAsia="仿宋"/>
          <w:sz w:val="28"/>
          <w:szCs w:val="28"/>
        </w:rPr>
        <w:t>（2）流动源环境风险</w:t>
      </w:r>
    </w:p>
    <w:p w14:paraId="1436D641">
      <w:pPr>
        <w:ind w:firstLine="560"/>
        <w:rPr>
          <w:rFonts w:eastAsia="仿宋"/>
          <w:kern w:val="0"/>
          <w:sz w:val="28"/>
          <w:szCs w:val="28"/>
        </w:rPr>
      </w:pPr>
      <w:r>
        <w:rPr>
          <w:rFonts w:hint="eastAsia" w:eastAsia="仿宋"/>
          <w:kern w:val="0"/>
          <w:sz w:val="28"/>
          <w:szCs w:val="28"/>
        </w:rPr>
        <w:t>据现场调查，高坡乡阴河洞水源保护区内存在一条机耕道，村民通常使用农用车、摩托车作为交通工具运送农用化肥、农药等，安全防范措施差，发生意外事故时，存在污染高坡乡阴河洞水源的情况，给高坡乡村镇生活供水造成影响。</w:t>
      </w:r>
    </w:p>
    <w:p w14:paraId="1296CEA6">
      <w:pPr>
        <w:autoSpaceDE w:val="0"/>
        <w:autoSpaceDN w:val="0"/>
        <w:adjustRightInd w:val="0"/>
        <w:ind w:firstLine="560" w:firstLineChars="200"/>
        <w:rPr>
          <w:rFonts w:eastAsia="仿宋"/>
          <w:sz w:val="28"/>
          <w:szCs w:val="28"/>
        </w:rPr>
      </w:pPr>
      <w:r>
        <w:rPr>
          <w:rFonts w:eastAsia="仿宋"/>
          <w:sz w:val="28"/>
          <w:szCs w:val="28"/>
        </w:rPr>
        <w:t>（3）面源环境风险</w:t>
      </w:r>
    </w:p>
    <w:p w14:paraId="07B25801">
      <w:pPr>
        <w:adjustRightInd w:val="0"/>
        <w:snapToGrid w:val="0"/>
        <w:ind w:firstLine="560" w:firstLineChars="200"/>
        <w:rPr>
          <w:rFonts w:eastAsia="仿宋"/>
          <w:kern w:val="0"/>
          <w:sz w:val="28"/>
          <w:szCs w:val="28"/>
        </w:rPr>
      </w:pPr>
      <w:r>
        <w:rPr>
          <w:rFonts w:eastAsia="仿宋"/>
          <w:kern w:val="0"/>
          <w:sz w:val="28"/>
          <w:szCs w:val="28"/>
        </w:rPr>
        <w:t>水源地一级保护区有5户居民，20人，二级保护区范围有人口分布303户，1213人。产污系数估算结果表明，生活污水排放总量为98.64t/d，生活COD 产生量为7.38吨/年，NH</w:t>
      </w:r>
      <w:r>
        <w:rPr>
          <w:rFonts w:eastAsia="仿宋"/>
          <w:kern w:val="0"/>
          <w:sz w:val="28"/>
          <w:szCs w:val="28"/>
          <w:vertAlign w:val="subscript"/>
        </w:rPr>
        <w:t>3</w:t>
      </w:r>
      <w:r>
        <w:rPr>
          <w:rFonts w:eastAsia="仿宋"/>
          <w:kern w:val="0"/>
          <w:sz w:val="28"/>
          <w:szCs w:val="28"/>
        </w:rPr>
        <w:t>-N 产生量1.8吨/年。调查范围内生活源主要为分散农户，生活废水主要用于农田灌溉，对水源地水质影响较小。农村生活垃圾按每人每天0.8kg/(人·d)计算，生活污染物排放量360.4吨/年</w:t>
      </w:r>
      <w:r>
        <w:rPr>
          <w:rFonts w:hint="eastAsia" w:eastAsia="仿宋"/>
          <w:sz w:val="28"/>
          <w:szCs w:val="28"/>
        </w:rPr>
        <w:t>。因此，存在一定的</w:t>
      </w:r>
      <w:r>
        <w:rPr>
          <w:rFonts w:hint="eastAsia" w:eastAsia="仿宋"/>
          <w:kern w:val="0"/>
          <w:sz w:val="28"/>
          <w:szCs w:val="28"/>
        </w:rPr>
        <w:t>农村生活面源污染。</w:t>
      </w:r>
    </w:p>
    <w:p w14:paraId="7F7E058B">
      <w:pPr>
        <w:adjustRightInd w:val="0"/>
        <w:snapToGrid w:val="0"/>
        <w:ind w:firstLine="560" w:firstLineChars="200"/>
        <w:rPr>
          <w:rFonts w:eastAsia="仿宋"/>
          <w:kern w:val="0"/>
          <w:sz w:val="28"/>
          <w:szCs w:val="28"/>
        </w:rPr>
      </w:pPr>
      <w:r>
        <w:rPr>
          <w:rFonts w:hint="eastAsia" w:eastAsia="仿宋"/>
          <w:sz w:val="28"/>
          <w:szCs w:val="28"/>
        </w:rPr>
        <w:t>水源地保护区内存在一定的耕地，种植有玉米、马铃薯、大豆、油菜等农作物。</w:t>
      </w:r>
      <w:r>
        <w:rPr>
          <w:rFonts w:eastAsia="仿宋"/>
          <w:sz w:val="28"/>
          <w:szCs w:val="28"/>
        </w:rPr>
        <w:t>在农业生产活动中，由于施肥、施药等生产行为造成氮和磷等营养物质、农药、重金属及其他有机和无机污染物质、土壤颗粒等沉积物通过农田地表径流和地下渗漏方式将进入水体，从而对水质产生不</w:t>
      </w:r>
      <w:r>
        <w:rPr>
          <w:rFonts w:eastAsia="仿宋"/>
          <w:kern w:val="0"/>
          <w:sz w:val="28"/>
          <w:szCs w:val="28"/>
        </w:rPr>
        <w:t>利影响。</w:t>
      </w:r>
    </w:p>
    <w:p w14:paraId="63A72C9A">
      <w:pPr>
        <w:adjustRightInd w:val="0"/>
        <w:snapToGrid w:val="0"/>
        <w:ind w:firstLine="560" w:firstLineChars="200"/>
        <w:rPr>
          <w:rFonts w:eastAsia="仿宋"/>
          <w:kern w:val="0"/>
          <w:sz w:val="28"/>
          <w:szCs w:val="28"/>
        </w:rPr>
      </w:pPr>
      <w:r>
        <w:rPr>
          <w:rFonts w:hint="eastAsia" w:eastAsia="仿宋"/>
          <w:kern w:val="0"/>
          <w:sz w:val="28"/>
          <w:szCs w:val="28"/>
        </w:rPr>
        <w:t>该水源地环境风险主要来自上游地区农村生活污染、农业面源污染</w:t>
      </w:r>
      <w:r>
        <w:rPr>
          <w:rFonts w:hint="eastAsia" w:eastAsia="仿宋"/>
          <w:sz w:val="28"/>
          <w:szCs w:val="28"/>
        </w:rPr>
        <w:t>和</w:t>
      </w:r>
      <w:r>
        <w:rPr>
          <w:rFonts w:eastAsia="仿宋"/>
          <w:sz w:val="28"/>
          <w:szCs w:val="28"/>
        </w:rPr>
        <w:t>流动源环境风险</w:t>
      </w:r>
      <w:r>
        <w:rPr>
          <w:rFonts w:hint="eastAsia" w:eastAsia="仿宋"/>
          <w:sz w:val="28"/>
          <w:szCs w:val="28"/>
        </w:rPr>
        <w:t>等，需加以防范。</w:t>
      </w:r>
    </w:p>
    <w:p w14:paraId="0DF4E752">
      <w:pPr>
        <w:pStyle w:val="3"/>
        <w:rPr>
          <w:rFonts w:eastAsia="仿宋"/>
          <w:sz w:val="32"/>
        </w:rPr>
      </w:pPr>
      <w:bookmarkStart w:id="26" w:name="_Toc60930765"/>
      <w:r>
        <w:rPr>
          <w:rFonts w:eastAsia="仿宋"/>
          <w:sz w:val="32"/>
        </w:rPr>
        <w:t>2.2</w:t>
      </w:r>
      <w:r>
        <w:rPr>
          <w:rFonts w:hint="eastAsia" w:eastAsia="仿宋"/>
          <w:sz w:val="32"/>
        </w:rPr>
        <w:t>高坡乡苦蒿冲水源</w:t>
      </w:r>
      <w:bookmarkEnd w:id="26"/>
    </w:p>
    <w:p w14:paraId="065EF153">
      <w:pPr>
        <w:pStyle w:val="4"/>
        <w:spacing w:before="120" w:after="120"/>
        <w:rPr>
          <w:rFonts w:eastAsia="仿宋"/>
          <w:sz w:val="28"/>
        </w:rPr>
      </w:pPr>
      <w:r>
        <w:rPr>
          <w:rFonts w:eastAsia="仿宋"/>
          <w:sz w:val="28"/>
        </w:rPr>
        <w:t>2.2.1水源地基本情况</w:t>
      </w:r>
    </w:p>
    <w:p w14:paraId="6A24F0E0">
      <w:pPr>
        <w:ind w:firstLine="560" w:firstLineChars="200"/>
        <w:rPr>
          <w:rFonts w:eastAsia="仿宋"/>
          <w:kern w:val="0"/>
          <w:sz w:val="28"/>
          <w:szCs w:val="28"/>
        </w:rPr>
      </w:pPr>
      <w:r>
        <w:rPr>
          <w:rFonts w:hint="eastAsia" w:eastAsia="仿宋"/>
          <w:kern w:val="0"/>
          <w:sz w:val="28"/>
          <w:szCs w:val="28"/>
        </w:rPr>
        <w:t>高坡乡苦蒿冲饮用水源位于花溪区高坡乡，距花溪区政府所在地31公里，属于地下水型水源，取水口坐标E106.864765，N26.292153。水源地有水泵1台，扬程为100米，储水池一座，30m</w:t>
      </w:r>
      <w:r>
        <w:rPr>
          <w:rFonts w:ascii="Calibri" w:hAnsi="Calibri" w:eastAsia="仿宋" w:cs="Calibri"/>
          <w:kern w:val="0"/>
          <w:sz w:val="28"/>
          <w:szCs w:val="28"/>
        </w:rPr>
        <w:t>³</w:t>
      </w:r>
      <w:r>
        <w:rPr>
          <w:rFonts w:hint="eastAsia" w:ascii="仿宋" w:hAnsi="仿宋" w:eastAsia="仿宋" w:cs="仿宋"/>
          <w:kern w:val="0"/>
          <w:sz w:val="28"/>
          <w:szCs w:val="28"/>
        </w:rPr>
        <w:t>高位水池一座，该水源服务人口</w:t>
      </w:r>
      <w:r>
        <w:rPr>
          <w:rFonts w:hint="eastAsia" w:eastAsia="仿宋"/>
          <w:kern w:val="0"/>
          <w:sz w:val="28"/>
          <w:szCs w:val="28"/>
        </w:rPr>
        <w:t>1500人。供水区域为石门村、街上村、五寨村石板组、竹林、高坡村翁西、大井组、大洪村。高坡乡苦蒿冲饮用水源</w:t>
      </w:r>
      <w:r>
        <w:rPr>
          <w:rFonts w:eastAsia="仿宋"/>
          <w:kern w:val="0"/>
          <w:sz w:val="28"/>
          <w:szCs w:val="28"/>
        </w:rPr>
        <w:t>取水口现场照片如图2-2。</w:t>
      </w:r>
    </w:p>
    <w:p w14:paraId="3B650174">
      <w:pPr>
        <w:rPr>
          <w:rFonts w:eastAsia="仿宋"/>
          <w:spacing w:val="-8"/>
          <w:sz w:val="28"/>
          <w:szCs w:val="28"/>
        </w:rPr>
      </w:pPr>
      <w:r>
        <w:rPr>
          <w:rFonts w:hint="eastAsia"/>
          <w:sz w:val="44"/>
          <w:szCs w:val="44"/>
        </w:rPr>
        <w:drawing>
          <wp:inline distT="0" distB="0" distL="114300" distR="114300">
            <wp:extent cx="2703195" cy="2026920"/>
            <wp:effectExtent l="0" t="0" r="0" b="0"/>
            <wp:docPr id="13" name="图片 1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图片1"/>
                    <pic:cNvPicPr>
                      <a:picLocks noChangeAspect="1"/>
                    </pic:cNvPicPr>
                  </pic:nvPicPr>
                  <pic:blipFill>
                    <a:blip r:embed="rId15"/>
                    <a:stretch>
                      <a:fillRect/>
                    </a:stretch>
                  </pic:blipFill>
                  <pic:spPr>
                    <a:xfrm>
                      <a:off x="0" y="0"/>
                      <a:ext cx="2723526" cy="2042481"/>
                    </a:xfrm>
                    <a:prstGeom prst="rect">
                      <a:avLst/>
                    </a:prstGeom>
                  </pic:spPr>
                </pic:pic>
              </a:graphicData>
            </a:graphic>
          </wp:inline>
        </w:drawing>
      </w:r>
      <w:r>
        <w:rPr>
          <w:rFonts w:hint="eastAsia"/>
          <w:sz w:val="44"/>
          <w:szCs w:val="44"/>
        </w:rPr>
        <w:drawing>
          <wp:inline distT="0" distB="0" distL="114300" distR="114300">
            <wp:extent cx="2698750" cy="2023745"/>
            <wp:effectExtent l="0" t="0" r="0" b="0"/>
            <wp:docPr id="21" name="图片 21" descr="微信图片_20180925112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微信图片_20180925112524"/>
                    <pic:cNvPicPr>
                      <a:picLocks noChangeAspect="1"/>
                    </pic:cNvPicPr>
                  </pic:nvPicPr>
                  <pic:blipFill>
                    <a:blip r:embed="rId16"/>
                    <a:stretch>
                      <a:fillRect/>
                    </a:stretch>
                  </pic:blipFill>
                  <pic:spPr>
                    <a:xfrm>
                      <a:off x="0" y="0"/>
                      <a:ext cx="2702032" cy="2026604"/>
                    </a:xfrm>
                    <a:prstGeom prst="rect">
                      <a:avLst/>
                    </a:prstGeom>
                  </pic:spPr>
                </pic:pic>
              </a:graphicData>
            </a:graphic>
          </wp:inline>
        </w:drawing>
      </w:r>
    </w:p>
    <w:p w14:paraId="49DA8AE0">
      <w:pPr>
        <w:jc w:val="center"/>
        <w:rPr>
          <w:rFonts w:eastAsia="仿宋"/>
          <w:b/>
          <w:spacing w:val="-8"/>
          <w:sz w:val="21"/>
          <w:szCs w:val="21"/>
        </w:rPr>
      </w:pPr>
      <w:r>
        <w:rPr>
          <w:rFonts w:eastAsia="仿宋"/>
          <w:b/>
          <w:spacing w:val="-8"/>
          <w:sz w:val="21"/>
          <w:szCs w:val="21"/>
        </w:rPr>
        <w:t xml:space="preserve">图2-3  </w:t>
      </w:r>
      <w:r>
        <w:rPr>
          <w:rFonts w:hint="eastAsia" w:eastAsia="仿宋"/>
          <w:b/>
          <w:spacing w:val="-8"/>
          <w:sz w:val="21"/>
          <w:szCs w:val="21"/>
        </w:rPr>
        <w:t>高坡乡苦蒿冲水源点及</w:t>
      </w:r>
      <w:r>
        <w:rPr>
          <w:rFonts w:eastAsia="仿宋"/>
          <w:b/>
          <w:spacing w:val="-8"/>
          <w:sz w:val="21"/>
          <w:szCs w:val="21"/>
        </w:rPr>
        <w:t>取水</w:t>
      </w:r>
      <w:r>
        <w:rPr>
          <w:rFonts w:hint="eastAsia" w:eastAsia="仿宋"/>
          <w:b/>
          <w:spacing w:val="-8"/>
          <w:sz w:val="21"/>
          <w:szCs w:val="21"/>
        </w:rPr>
        <w:t>泵房</w:t>
      </w:r>
      <w:r>
        <w:rPr>
          <w:rFonts w:eastAsia="仿宋"/>
          <w:b/>
          <w:spacing w:val="-8"/>
          <w:sz w:val="21"/>
          <w:szCs w:val="21"/>
        </w:rPr>
        <w:t>现场照片</w:t>
      </w:r>
    </w:p>
    <w:p w14:paraId="38C83FF8">
      <w:pPr>
        <w:autoSpaceDE w:val="0"/>
        <w:autoSpaceDN w:val="0"/>
        <w:adjustRightInd w:val="0"/>
        <w:ind w:firstLine="528" w:firstLineChars="200"/>
        <w:jc w:val="left"/>
        <w:rPr>
          <w:rFonts w:eastAsia="仿宋"/>
          <w:spacing w:val="-8"/>
          <w:sz w:val="28"/>
          <w:szCs w:val="28"/>
        </w:rPr>
      </w:pPr>
      <w:r>
        <w:rPr>
          <w:rFonts w:eastAsia="仿宋"/>
          <w:spacing w:val="-8"/>
          <w:sz w:val="28"/>
          <w:szCs w:val="28"/>
        </w:rPr>
        <w:t>根据</w:t>
      </w:r>
      <w:r>
        <w:rPr>
          <w:rFonts w:hint="eastAsia" w:eastAsia="仿宋"/>
          <w:spacing w:val="-8"/>
          <w:sz w:val="28"/>
          <w:szCs w:val="28"/>
        </w:rPr>
        <w:t>2</w:t>
      </w:r>
      <w:r>
        <w:rPr>
          <w:rFonts w:eastAsia="仿宋"/>
          <w:spacing w:val="-8"/>
          <w:sz w:val="28"/>
          <w:szCs w:val="28"/>
        </w:rPr>
        <w:t>019</w:t>
      </w:r>
      <w:r>
        <w:rPr>
          <w:rFonts w:hint="eastAsia" w:eastAsia="仿宋"/>
          <w:spacing w:val="-8"/>
          <w:sz w:val="28"/>
          <w:szCs w:val="28"/>
        </w:rPr>
        <w:t>年</w:t>
      </w:r>
      <w:r>
        <w:rPr>
          <w:rFonts w:eastAsia="仿宋"/>
          <w:spacing w:val="-8"/>
          <w:sz w:val="28"/>
          <w:szCs w:val="28"/>
        </w:rPr>
        <w:t>4</w:t>
      </w:r>
      <w:r>
        <w:rPr>
          <w:rFonts w:hint="eastAsia" w:eastAsia="仿宋"/>
          <w:spacing w:val="-8"/>
          <w:sz w:val="28"/>
          <w:szCs w:val="28"/>
        </w:rPr>
        <w:t>月</w:t>
      </w:r>
      <w:r>
        <w:rPr>
          <w:rFonts w:eastAsia="仿宋"/>
          <w:spacing w:val="-8"/>
          <w:sz w:val="28"/>
          <w:szCs w:val="28"/>
        </w:rPr>
        <w:t>10</w:t>
      </w:r>
      <w:r>
        <w:rPr>
          <w:rFonts w:hint="eastAsia" w:eastAsia="仿宋"/>
          <w:spacing w:val="-8"/>
          <w:sz w:val="28"/>
          <w:szCs w:val="28"/>
        </w:rPr>
        <w:t>日采样监测结果显示，</w:t>
      </w:r>
      <w:r>
        <w:rPr>
          <w:rFonts w:hint="eastAsia" w:eastAsia="仿宋"/>
          <w:kern w:val="0"/>
          <w:sz w:val="28"/>
          <w:szCs w:val="28"/>
        </w:rPr>
        <w:t>高坡乡苦蒿冲水源</w:t>
      </w:r>
      <w:r>
        <w:rPr>
          <w:rFonts w:hint="eastAsia" w:eastAsia="仿宋"/>
          <w:spacing w:val="-8"/>
          <w:sz w:val="28"/>
          <w:szCs w:val="28"/>
        </w:rPr>
        <w:t>评价范围内的地下水环境质量总体状况为较好（Ⅲ类）。水源地水质pH呈弱碱偏中性，主要是该处自然地质结构状况造成的。监测点位地下水无超标因子，综合评价水源地水质满足《地下水质量标准》（GB/T 14848-</w:t>
      </w:r>
      <w:r>
        <w:rPr>
          <w:rFonts w:eastAsia="仿宋"/>
          <w:spacing w:val="-8"/>
          <w:sz w:val="28"/>
          <w:szCs w:val="28"/>
        </w:rPr>
        <w:t>2017</w:t>
      </w:r>
      <w:r>
        <w:rPr>
          <w:rFonts w:hint="eastAsia" w:eastAsia="仿宋"/>
          <w:spacing w:val="-8"/>
          <w:sz w:val="28"/>
          <w:szCs w:val="28"/>
        </w:rPr>
        <w:t>）中的Ⅲ类标准要求。</w:t>
      </w:r>
    </w:p>
    <w:p w14:paraId="1A983C98">
      <w:pPr>
        <w:ind w:firstLine="528" w:firstLineChars="200"/>
        <w:rPr>
          <w:rFonts w:eastAsia="仿宋"/>
          <w:sz w:val="28"/>
          <w:szCs w:val="28"/>
        </w:rPr>
      </w:pPr>
      <w:r>
        <w:rPr>
          <w:rFonts w:eastAsia="仿宋"/>
          <w:spacing w:val="-8"/>
          <w:sz w:val="28"/>
          <w:szCs w:val="28"/>
        </w:rPr>
        <w:t>根据《花溪区</w:t>
      </w:r>
      <w:r>
        <w:rPr>
          <w:rFonts w:hint="eastAsia" w:eastAsia="仿宋"/>
          <w:kern w:val="0"/>
          <w:sz w:val="28"/>
          <w:szCs w:val="28"/>
        </w:rPr>
        <w:t>高坡乡苦蒿冲</w:t>
      </w:r>
      <w:r>
        <w:rPr>
          <w:rFonts w:eastAsia="仿宋"/>
          <w:spacing w:val="-8"/>
          <w:sz w:val="28"/>
          <w:szCs w:val="28"/>
        </w:rPr>
        <w:t>集中式饮用水水源</w:t>
      </w:r>
      <w:r>
        <w:rPr>
          <w:rFonts w:hint="eastAsia" w:eastAsia="仿宋"/>
          <w:spacing w:val="-8"/>
          <w:sz w:val="28"/>
          <w:szCs w:val="28"/>
        </w:rPr>
        <w:t>保护区调整方案</w:t>
      </w:r>
      <w:r>
        <w:rPr>
          <w:rFonts w:eastAsia="仿宋"/>
          <w:spacing w:val="-8"/>
          <w:sz w:val="28"/>
          <w:szCs w:val="28"/>
        </w:rPr>
        <w:t>》，高坡乡阴河洞水源保护区面积5.805 km</w:t>
      </w:r>
      <w:r>
        <w:rPr>
          <w:rFonts w:eastAsia="仿宋"/>
          <w:spacing w:val="-8"/>
          <w:sz w:val="28"/>
          <w:szCs w:val="28"/>
          <w:vertAlign w:val="superscript"/>
        </w:rPr>
        <w:t>2</w:t>
      </w:r>
      <w:r>
        <w:rPr>
          <w:rFonts w:eastAsia="仿宋"/>
          <w:spacing w:val="-8"/>
          <w:sz w:val="28"/>
          <w:szCs w:val="28"/>
        </w:rPr>
        <w:t>，其中一级保护区面积0.7914 km</w:t>
      </w:r>
      <w:r>
        <w:rPr>
          <w:rFonts w:eastAsia="仿宋"/>
          <w:spacing w:val="-8"/>
          <w:sz w:val="28"/>
          <w:szCs w:val="28"/>
          <w:vertAlign w:val="superscript"/>
        </w:rPr>
        <w:t>2</w:t>
      </w:r>
      <w:r>
        <w:rPr>
          <w:rFonts w:eastAsia="仿宋"/>
          <w:spacing w:val="-8"/>
          <w:sz w:val="28"/>
          <w:szCs w:val="28"/>
        </w:rPr>
        <w:t>，二级保护区面积5.0136 km</w:t>
      </w:r>
      <w:r>
        <w:rPr>
          <w:rFonts w:eastAsia="仿宋"/>
          <w:spacing w:val="-8"/>
          <w:sz w:val="28"/>
          <w:szCs w:val="28"/>
          <w:vertAlign w:val="superscript"/>
        </w:rPr>
        <w:t>2</w:t>
      </w:r>
      <w:r>
        <w:rPr>
          <w:rFonts w:hint="eastAsia" w:eastAsia="仿宋"/>
          <w:spacing w:val="-8"/>
          <w:sz w:val="28"/>
          <w:szCs w:val="28"/>
        </w:rPr>
        <w:t>，</w:t>
      </w:r>
      <w:r>
        <w:rPr>
          <w:rFonts w:eastAsia="仿宋"/>
          <w:sz w:val="28"/>
          <w:szCs w:val="28"/>
        </w:rPr>
        <w:t>保护区划分见附图3</w:t>
      </w:r>
      <w:r>
        <w:rPr>
          <w:rFonts w:hint="eastAsia" w:eastAsia="仿宋"/>
          <w:sz w:val="28"/>
          <w:szCs w:val="28"/>
        </w:rPr>
        <w:t>和</w:t>
      </w:r>
      <w:r>
        <w:rPr>
          <w:rFonts w:eastAsia="仿宋"/>
          <w:sz w:val="28"/>
          <w:szCs w:val="28"/>
        </w:rPr>
        <w:t>附图</w:t>
      </w:r>
      <w:r>
        <w:rPr>
          <w:rFonts w:hint="eastAsia" w:eastAsia="仿宋"/>
          <w:sz w:val="28"/>
          <w:szCs w:val="28"/>
        </w:rPr>
        <w:t>4</w:t>
      </w:r>
      <w:r>
        <w:rPr>
          <w:rFonts w:eastAsia="仿宋"/>
          <w:sz w:val="28"/>
          <w:szCs w:val="28"/>
        </w:rPr>
        <w:t>。</w:t>
      </w:r>
    </w:p>
    <w:p w14:paraId="1017A9AF">
      <w:pPr>
        <w:pStyle w:val="4"/>
        <w:spacing w:before="120" w:after="120"/>
        <w:rPr>
          <w:rFonts w:eastAsia="仿宋"/>
          <w:sz w:val="28"/>
        </w:rPr>
      </w:pPr>
      <w:r>
        <w:rPr>
          <w:rFonts w:eastAsia="仿宋"/>
          <w:sz w:val="28"/>
        </w:rPr>
        <w:t>2.2.2水源地风险分析</w:t>
      </w:r>
    </w:p>
    <w:p w14:paraId="7974B6E4">
      <w:pPr>
        <w:autoSpaceDE w:val="0"/>
        <w:autoSpaceDN w:val="0"/>
        <w:adjustRightInd w:val="0"/>
        <w:ind w:firstLine="560" w:firstLineChars="200"/>
        <w:rPr>
          <w:rFonts w:eastAsia="仿宋"/>
          <w:sz w:val="28"/>
          <w:szCs w:val="28"/>
        </w:rPr>
      </w:pPr>
      <w:r>
        <w:rPr>
          <w:rFonts w:eastAsia="仿宋"/>
          <w:sz w:val="28"/>
          <w:szCs w:val="28"/>
        </w:rPr>
        <w:t>（1）固定源环境风险</w:t>
      </w:r>
    </w:p>
    <w:p w14:paraId="28CE2804">
      <w:pPr>
        <w:ind w:firstLine="560" w:firstLineChars="200"/>
        <w:rPr>
          <w:rFonts w:eastAsia="仿宋"/>
          <w:sz w:val="28"/>
          <w:szCs w:val="28"/>
        </w:rPr>
      </w:pPr>
      <w:r>
        <w:rPr>
          <w:rFonts w:hint="eastAsia" w:eastAsia="仿宋"/>
          <w:kern w:val="0"/>
          <w:sz w:val="28"/>
          <w:szCs w:val="28"/>
        </w:rPr>
        <w:t>根据实地调查，高坡乡苦蒿冲水源保护区内未有煤矿、石化、砂石、养殖场、污水处理厂等工矿企业及垃圾场、排污口、尾矿库等环境卫生设施，因此不存在固定源污染情况。</w:t>
      </w:r>
    </w:p>
    <w:p w14:paraId="413403FA">
      <w:pPr>
        <w:autoSpaceDE w:val="0"/>
        <w:autoSpaceDN w:val="0"/>
        <w:adjustRightInd w:val="0"/>
        <w:ind w:firstLine="560" w:firstLineChars="200"/>
        <w:rPr>
          <w:rFonts w:eastAsia="仿宋"/>
          <w:sz w:val="28"/>
          <w:szCs w:val="28"/>
        </w:rPr>
      </w:pPr>
      <w:r>
        <w:rPr>
          <w:rFonts w:eastAsia="仿宋"/>
          <w:sz w:val="28"/>
          <w:szCs w:val="28"/>
        </w:rPr>
        <w:t>（2）流动源环境风险</w:t>
      </w:r>
    </w:p>
    <w:p w14:paraId="7AFFA957">
      <w:pPr>
        <w:ind w:firstLine="560"/>
        <w:rPr>
          <w:rFonts w:eastAsia="仿宋"/>
          <w:kern w:val="0"/>
          <w:sz w:val="28"/>
          <w:szCs w:val="28"/>
        </w:rPr>
      </w:pPr>
      <w:r>
        <w:rPr>
          <w:rFonts w:hint="eastAsia" w:eastAsia="仿宋"/>
          <w:kern w:val="0"/>
          <w:sz w:val="28"/>
          <w:szCs w:val="28"/>
        </w:rPr>
        <w:t>据现场调查，高坡乡苦蒿冲水源一级和二级保护区内均有农村道路经果，村民通常使用农用车、摩托车作为交通工具运送农用化肥、农药等，安全防范措施差，发生意外事故时，存在污染高坡乡苦蒿冲水源的情况，给高坡乡村镇生活供水造成影响。</w:t>
      </w:r>
    </w:p>
    <w:p w14:paraId="557AC503">
      <w:pPr>
        <w:autoSpaceDE w:val="0"/>
        <w:autoSpaceDN w:val="0"/>
        <w:adjustRightInd w:val="0"/>
        <w:ind w:firstLine="560" w:firstLineChars="200"/>
        <w:rPr>
          <w:rFonts w:eastAsia="仿宋"/>
          <w:sz w:val="28"/>
          <w:szCs w:val="28"/>
        </w:rPr>
      </w:pPr>
      <w:r>
        <w:rPr>
          <w:rFonts w:eastAsia="仿宋"/>
          <w:sz w:val="28"/>
          <w:szCs w:val="28"/>
        </w:rPr>
        <w:t>（3）面源环境风险</w:t>
      </w:r>
    </w:p>
    <w:p w14:paraId="405583C0">
      <w:pPr>
        <w:adjustRightInd w:val="0"/>
        <w:snapToGrid w:val="0"/>
        <w:ind w:firstLine="560" w:firstLineChars="200"/>
        <w:rPr>
          <w:rFonts w:eastAsia="仿宋"/>
          <w:kern w:val="0"/>
          <w:sz w:val="28"/>
          <w:szCs w:val="28"/>
        </w:rPr>
      </w:pPr>
      <w:r>
        <w:rPr>
          <w:rFonts w:hint="eastAsia" w:eastAsia="仿宋"/>
          <w:sz w:val="28"/>
          <w:szCs w:val="28"/>
        </w:rPr>
        <w:t>水源地一级保护区无居民，二级保护区范围有人口分布50户，200人。产污系数估算结果表明，生活污水排放总量为16t/d，生活COD 产生量为1.19吨/年，NH3-N 产生量0.292吨/年。调查范围内生活源主要为分散农户，生活废水主要用于农田灌溉，对水源地水质影响较小。农村生活垃圾按每人每天0.8kg/(人·d)计算，生活污染物排放量58.4吨/年。因此，存在一定的</w:t>
      </w:r>
      <w:r>
        <w:rPr>
          <w:rFonts w:hint="eastAsia" w:eastAsia="仿宋"/>
          <w:kern w:val="0"/>
          <w:sz w:val="28"/>
          <w:szCs w:val="28"/>
        </w:rPr>
        <w:t>农村生活面源污染。</w:t>
      </w:r>
    </w:p>
    <w:p w14:paraId="1E2EE681">
      <w:pPr>
        <w:adjustRightInd w:val="0"/>
        <w:snapToGrid w:val="0"/>
        <w:ind w:firstLine="560" w:firstLineChars="200"/>
        <w:rPr>
          <w:rFonts w:eastAsia="仿宋"/>
          <w:sz w:val="28"/>
          <w:szCs w:val="28"/>
        </w:rPr>
      </w:pPr>
      <w:r>
        <w:rPr>
          <w:rFonts w:hint="eastAsia" w:eastAsia="仿宋"/>
          <w:sz w:val="28"/>
          <w:szCs w:val="28"/>
        </w:rPr>
        <w:t>水源地保护区内存在一定的耕地，种植有玉米、马铃薯、大豆、油菜等农作物。</w:t>
      </w:r>
      <w:r>
        <w:rPr>
          <w:rFonts w:eastAsia="仿宋"/>
          <w:sz w:val="28"/>
          <w:szCs w:val="28"/>
        </w:rPr>
        <w:t>在农业生产活动中，由于施肥、施药等生产行为造成氮和磷等营养物质、农药、重金属及其他有机和无机污染物质、土壤颗粒等沉积物通过农田地表径流和地下渗漏方式将进入水体，从而对水质产生不利影响。</w:t>
      </w:r>
    </w:p>
    <w:p w14:paraId="00E98186">
      <w:pPr>
        <w:adjustRightInd w:val="0"/>
        <w:snapToGrid w:val="0"/>
        <w:ind w:firstLine="560" w:firstLineChars="200"/>
        <w:rPr>
          <w:rFonts w:eastAsia="仿宋"/>
          <w:sz w:val="28"/>
          <w:szCs w:val="28"/>
        </w:rPr>
      </w:pPr>
      <w:r>
        <w:rPr>
          <w:rFonts w:hint="eastAsia" w:eastAsia="仿宋"/>
          <w:sz w:val="28"/>
          <w:szCs w:val="28"/>
        </w:rPr>
        <w:t>该水源地环境风险主要来自上游地区农村生活污染、农业面源污染和</w:t>
      </w:r>
      <w:r>
        <w:rPr>
          <w:rFonts w:eastAsia="仿宋"/>
          <w:sz w:val="28"/>
          <w:szCs w:val="28"/>
        </w:rPr>
        <w:t>流动源环境风险</w:t>
      </w:r>
      <w:r>
        <w:rPr>
          <w:rFonts w:hint="eastAsia" w:eastAsia="仿宋"/>
          <w:sz w:val="28"/>
          <w:szCs w:val="28"/>
        </w:rPr>
        <w:t>等，需加以防范。</w:t>
      </w:r>
    </w:p>
    <w:p w14:paraId="5B06DD0F">
      <w:pPr>
        <w:pStyle w:val="3"/>
        <w:rPr>
          <w:rFonts w:eastAsia="仿宋"/>
          <w:sz w:val="32"/>
        </w:rPr>
      </w:pPr>
      <w:bookmarkStart w:id="27" w:name="_Toc60930766"/>
      <w:r>
        <w:rPr>
          <w:rFonts w:eastAsia="仿宋"/>
          <w:sz w:val="32"/>
        </w:rPr>
        <w:t>2.3</w:t>
      </w:r>
      <w:r>
        <w:rPr>
          <w:rFonts w:hint="eastAsia" w:eastAsia="仿宋"/>
          <w:sz w:val="32"/>
        </w:rPr>
        <w:t>马铃乡麻窝坑水源</w:t>
      </w:r>
      <w:bookmarkEnd w:id="27"/>
    </w:p>
    <w:p w14:paraId="5C64FD77">
      <w:pPr>
        <w:pStyle w:val="4"/>
        <w:spacing w:before="120" w:after="120"/>
        <w:rPr>
          <w:rFonts w:eastAsia="仿宋"/>
          <w:sz w:val="28"/>
        </w:rPr>
      </w:pPr>
      <w:r>
        <w:rPr>
          <w:rFonts w:eastAsia="仿宋"/>
          <w:sz w:val="28"/>
        </w:rPr>
        <w:t>2.3.1水源地基本情况</w:t>
      </w:r>
    </w:p>
    <w:p w14:paraId="782699B4">
      <w:pPr>
        <w:ind w:firstLine="560" w:firstLineChars="200"/>
        <w:rPr>
          <w:rFonts w:eastAsia="仿宋"/>
          <w:kern w:val="0"/>
          <w:sz w:val="28"/>
          <w:szCs w:val="28"/>
        </w:rPr>
      </w:pPr>
      <w:r>
        <w:rPr>
          <w:rFonts w:hint="eastAsia" w:eastAsia="仿宋"/>
          <w:kern w:val="0"/>
          <w:sz w:val="28"/>
          <w:szCs w:val="28"/>
        </w:rPr>
        <w:t>马铃乡麻窝坑水源</w:t>
      </w:r>
      <w:r>
        <w:rPr>
          <w:rFonts w:hint="eastAsia" w:ascii="仿宋" w:hAnsi="仿宋" w:eastAsia="仿宋"/>
          <w:sz w:val="28"/>
        </w:rPr>
        <w:t>位于花溪区马铃乡，距市中心17公里，距离花溪区政府21公里。马铃乡麻窝坑饮用水源为属于地下水型水源，取水口坐标N106.577898，E26.273285。日供水量为590.14t/d，水源地有水泵1台，扬程为78米，储水池1座，80m³高位水池一座，该水源服务人口1782人，供水区域为马铃布依族苗族乡马铃村和集镇。</w:t>
      </w:r>
      <w:r>
        <w:rPr>
          <w:rFonts w:hint="eastAsia" w:eastAsia="仿宋"/>
          <w:kern w:val="0"/>
          <w:sz w:val="28"/>
          <w:szCs w:val="28"/>
        </w:rPr>
        <w:t>马铃乡麻窝坑水源</w:t>
      </w:r>
      <w:r>
        <w:rPr>
          <w:rFonts w:eastAsia="仿宋"/>
          <w:kern w:val="0"/>
          <w:sz w:val="28"/>
          <w:szCs w:val="28"/>
        </w:rPr>
        <w:t>取水口现场照片如图2-3。</w:t>
      </w:r>
    </w:p>
    <w:p w14:paraId="5F55FC4E">
      <w:pPr>
        <w:rPr>
          <w:rFonts w:eastAsia="仿宋"/>
          <w:spacing w:val="-8"/>
          <w:sz w:val="28"/>
          <w:szCs w:val="28"/>
        </w:rPr>
      </w:pPr>
      <w:r>
        <w:drawing>
          <wp:inline distT="0" distB="0" distL="114300" distR="114300">
            <wp:extent cx="2669540" cy="2002155"/>
            <wp:effectExtent l="0" t="0" r="0" b="0"/>
            <wp:docPr id="28" name="图片 8" descr="取水泵房及周边农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8" descr="取水泵房及周边农田"/>
                    <pic:cNvPicPr>
                      <a:picLocks noChangeAspect="1"/>
                    </pic:cNvPicPr>
                  </pic:nvPicPr>
                  <pic:blipFill>
                    <a:blip r:embed="rId17"/>
                    <a:stretch>
                      <a:fillRect/>
                    </a:stretch>
                  </pic:blipFill>
                  <pic:spPr>
                    <a:xfrm>
                      <a:off x="0" y="0"/>
                      <a:ext cx="2687479" cy="2015608"/>
                    </a:xfrm>
                    <a:prstGeom prst="rect">
                      <a:avLst/>
                    </a:prstGeom>
                    <a:noFill/>
                    <a:ln w="9525">
                      <a:noFill/>
                    </a:ln>
                  </pic:spPr>
                </pic:pic>
              </a:graphicData>
            </a:graphic>
          </wp:inline>
        </w:drawing>
      </w:r>
      <w:r>
        <w:drawing>
          <wp:inline distT="0" distB="0" distL="114300" distR="114300">
            <wp:extent cx="2684145" cy="1998980"/>
            <wp:effectExtent l="0" t="0" r="0" b="0"/>
            <wp:docPr id="27" name="图片 7" descr="取水泵房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7" descr="取水泵房2"/>
                    <pic:cNvPicPr>
                      <a:picLocks noChangeAspect="1"/>
                    </pic:cNvPicPr>
                  </pic:nvPicPr>
                  <pic:blipFill>
                    <a:blip r:embed="rId18"/>
                    <a:stretch>
                      <a:fillRect/>
                    </a:stretch>
                  </pic:blipFill>
                  <pic:spPr>
                    <a:xfrm>
                      <a:off x="0" y="0"/>
                      <a:ext cx="2694716" cy="2006645"/>
                    </a:xfrm>
                    <a:prstGeom prst="rect">
                      <a:avLst/>
                    </a:prstGeom>
                    <a:noFill/>
                    <a:ln w="9525">
                      <a:noFill/>
                    </a:ln>
                  </pic:spPr>
                </pic:pic>
              </a:graphicData>
            </a:graphic>
          </wp:inline>
        </w:drawing>
      </w:r>
    </w:p>
    <w:p w14:paraId="167902A9">
      <w:pPr>
        <w:jc w:val="center"/>
        <w:rPr>
          <w:rFonts w:eastAsia="仿宋"/>
          <w:b/>
          <w:spacing w:val="-8"/>
          <w:sz w:val="21"/>
          <w:szCs w:val="21"/>
        </w:rPr>
      </w:pPr>
      <w:r>
        <w:rPr>
          <w:rFonts w:eastAsia="仿宋"/>
          <w:b/>
          <w:spacing w:val="-8"/>
          <w:sz w:val="21"/>
          <w:szCs w:val="21"/>
        </w:rPr>
        <w:t xml:space="preserve">图2-4  </w:t>
      </w:r>
      <w:r>
        <w:rPr>
          <w:rFonts w:hint="eastAsia" w:eastAsia="仿宋"/>
          <w:b/>
          <w:spacing w:val="-8"/>
          <w:sz w:val="21"/>
          <w:szCs w:val="21"/>
        </w:rPr>
        <w:t>马铃乡麻窝坑水源点及</w:t>
      </w:r>
      <w:r>
        <w:rPr>
          <w:rFonts w:eastAsia="仿宋"/>
          <w:b/>
          <w:spacing w:val="-8"/>
          <w:sz w:val="21"/>
          <w:szCs w:val="21"/>
        </w:rPr>
        <w:t>取水</w:t>
      </w:r>
      <w:r>
        <w:rPr>
          <w:rFonts w:hint="eastAsia" w:eastAsia="仿宋"/>
          <w:b/>
          <w:spacing w:val="-8"/>
          <w:sz w:val="21"/>
          <w:szCs w:val="21"/>
        </w:rPr>
        <w:t>泵房</w:t>
      </w:r>
      <w:r>
        <w:rPr>
          <w:rFonts w:eastAsia="仿宋"/>
          <w:b/>
          <w:spacing w:val="-8"/>
          <w:sz w:val="21"/>
          <w:szCs w:val="21"/>
        </w:rPr>
        <w:t>现场照片</w:t>
      </w:r>
    </w:p>
    <w:p w14:paraId="2F6DC675">
      <w:pPr>
        <w:autoSpaceDE w:val="0"/>
        <w:autoSpaceDN w:val="0"/>
        <w:adjustRightInd w:val="0"/>
        <w:ind w:firstLine="528" w:firstLineChars="200"/>
        <w:jc w:val="left"/>
        <w:rPr>
          <w:rFonts w:eastAsia="仿宋"/>
          <w:spacing w:val="-8"/>
          <w:sz w:val="28"/>
          <w:szCs w:val="28"/>
        </w:rPr>
      </w:pPr>
      <w:r>
        <w:rPr>
          <w:rFonts w:eastAsia="仿宋"/>
          <w:spacing w:val="-8"/>
          <w:sz w:val="28"/>
          <w:szCs w:val="28"/>
        </w:rPr>
        <w:t>根据</w:t>
      </w:r>
      <w:r>
        <w:rPr>
          <w:rFonts w:hint="eastAsia" w:eastAsia="仿宋"/>
          <w:spacing w:val="-8"/>
          <w:sz w:val="28"/>
          <w:szCs w:val="28"/>
        </w:rPr>
        <w:t>2</w:t>
      </w:r>
      <w:r>
        <w:rPr>
          <w:rFonts w:eastAsia="仿宋"/>
          <w:spacing w:val="-8"/>
          <w:sz w:val="28"/>
          <w:szCs w:val="28"/>
        </w:rPr>
        <w:t>018</w:t>
      </w:r>
      <w:r>
        <w:rPr>
          <w:rFonts w:hint="eastAsia" w:eastAsia="仿宋"/>
          <w:spacing w:val="-8"/>
          <w:sz w:val="28"/>
          <w:szCs w:val="28"/>
        </w:rPr>
        <w:t>年</w:t>
      </w:r>
      <w:r>
        <w:rPr>
          <w:rFonts w:eastAsia="仿宋"/>
          <w:spacing w:val="-8"/>
          <w:sz w:val="28"/>
          <w:szCs w:val="28"/>
        </w:rPr>
        <w:t>12</w:t>
      </w:r>
      <w:r>
        <w:rPr>
          <w:rFonts w:hint="eastAsia" w:eastAsia="仿宋"/>
          <w:spacing w:val="-8"/>
          <w:sz w:val="28"/>
          <w:szCs w:val="28"/>
        </w:rPr>
        <w:t>月</w:t>
      </w:r>
      <w:r>
        <w:rPr>
          <w:rFonts w:eastAsia="仿宋"/>
          <w:spacing w:val="-8"/>
          <w:sz w:val="28"/>
          <w:szCs w:val="28"/>
        </w:rPr>
        <w:t>6</w:t>
      </w:r>
      <w:r>
        <w:rPr>
          <w:rFonts w:hint="eastAsia" w:eastAsia="仿宋"/>
          <w:spacing w:val="-8"/>
          <w:sz w:val="28"/>
          <w:szCs w:val="28"/>
        </w:rPr>
        <w:t>日采样监测结果显示，</w:t>
      </w:r>
      <w:r>
        <w:rPr>
          <w:rFonts w:hint="eastAsia" w:eastAsia="仿宋"/>
          <w:kern w:val="0"/>
          <w:sz w:val="28"/>
          <w:szCs w:val="28"/>
        </w:rPr>
        <w:t>马铃乡麻窝坑水源</w:t>
      </w:r>
      <w:r>
        <w:rPr>
          <w:rFonts w:hint="eastAsia" w:eastAsia="仿宋"/>
          <w:spacing w:val="-8"/>
          <w:sz w:val="28"/>
          <w:szCs w:val="28"/>
        </w:rPr>
        <w:t>评价范围内的地下水环境质量总体状况为较好（Ⅲ类）。水源地水质pH呈弱碱偏中性，主要是该处自然地质结构状况造成的。监测点位地下水无超标因子，综合评价水源地水质满足《地下水质量标准》（GB/T 14848-</w:t>
      </w:r>
      <w:r>
        <w:rPr>
          <w:rFonts w:eastAsia="仿宋"/>
          <w:spacing w:val="-8"/>
          <w:sz w:val="28"/>
          <w:szCs w:val="28"/>
        </w:rPr>
        <w:t>2017</w:t>
      </w:r>
      <w:r>
        <w:rPr>
          <w:rFonts w:hint="eastAsia" w:eastAsia="仿宋"/>
          <w:spacing w:val="-8"/>
          <w:sz w:val="28"/>
          <w:szCs w:val="28"/>
        </w:rPr>
        <w:t>）中的Ⅲ类标准要求。</w:t>
      </w:r>
    </w:p>
    <w:p w14:paraId="7660CB33">
      <w:pPr>
        <w:ind w:firstLine="528" w:firstLineChars="200"/>
        <w:rPr>
          <w:rFonts w:eastAsia="仿宋"/>
          <w:sz w:val="28"/>
          <w:szCs w:val="28"/>
        </w:rPr>
      </w:pPr>
      <w:r>
        <w:rPr>
          <w:rFonts w:eastAsia="仿宋"/>
          <w:spacing w:val="-8"/>
          <w:sz w:val="28"/>
          <w:szCs w:val="28"/>
        </w:rPr>
        <w:t>根据《花溪区</w:t>
      </w:r>
      <w:r>
        <w:rPr>
          <w:rFonts w:hint="eastAsia" w:eastAsia="仿宋"/>
          <w:kern w:val="0"/>
          <w:sz w:val="28"/>
          <w:szCs w:val="28"/>
        </w:rPr>
        <w:t>马铃乡麻窝坑</w:t>
      </w:r>
      <w:r>
        <w:rPr>
          <w:rFonts w:eastAsia="仿宋"/>
          <w:spacing w:val="-8"/>
          <w:sz w:val="28"/>
          <w:szCs w:val="28"/>
        </w:rPr>
        <w:t>集中式饮用水水源</w:t>
      </w:r>
      <w:r>
        <w:rPr>
          <w:rFonts w:hint="eastAsia" w:eastAsia="仿宋"/>
          <w:spacing w:val="-8"/>
          <w:sz w:val="28"/>
          <w:szCs w:val="28"/>
        </w:rPr>
        <w:t>保护区调整方案</w:t>
      </w:r>
      <w:r>
        <w:rPr>
          <w:rFonts w:eastAsia="仿宋"/>
          <w:spacing w:val="-8"/>
          <w:sz w:val="28"/>
          <w:szCs w:val="28"/>
        </w:rPr>
        <w:t>》，</w:t>
      </w:r>
      <w:r>
        <w:rPr>
          <w:rFonts w:hint="eastAsia" w:eastAsia="仿宋"/>
          <w:kern w:val="0"/>
          <w:sz w:val="28"/>
          <w:szCs w:val="28"/>
        </w:rPr>
        <w:t>马铃乡麻窝坑水源</w:t>
      </w:r>
      <w:r>
        <w:rPr>
          <w:rFonts w:eastAsia="仿宋"/>
          <w:spacing w:val="-8"/>
          <w:sz w:val="28"/>
          <w:szCs w:val="28"/>
        </w:rPr>
        <w:t>保护区面积0.0110km</w:t>
      </w:r>
      <w:r>
        <w:rPr>
          <w:rFonts w:eastAsia="仿宋"/>
          <w:spacing w:val="-8"/>
          <w:sz w:val="28"/>
          <w:szCs w:val="28"/>
          <w:vertAlign w:val="superscript"/>
        </w:rPr>
        <w:t>2</w:t>
      </w:r>
      <w:r>
        <w:rPr>
          <w:rFonts w:eastAsia="仿宋"/>
          <w:spacing w:val="-8"/>
          <w:sz w:val="28"/>
          <w:szCs w:val="28"/>
        </w:rPr>
        <w:t>，其中一级保护区面积0.0110 km</w:t>
      </w:r>
      <w:r>
        <w:rPr>
          <w:rFonts w:eastAsia="仿宋"/>
          <w:spacing w:val="-8"/>
          <w:sz w:val="28"/>
          <w:szCs w:val="28"/>
          <w:vertAlign w:val="superscript"/>
        </w:rPr>
        <w:t>2</w:t>
      </w:r>
      <w:r>
        <w:rPr>
          <w:rFonts w:eastAsia="仿宋"/>
          <w:spacing w:val="-8"/>
          <w:sz w:val="28"/>
          <w:szCs w:val="28"/>
        </w:rPr>
        <w:t>，二级保护区面积</w:t>
      </w:r>
      <w:r>
        <w:rPr>
          <w:rFonts w:hint="eastAsia" w:eastAsia="仿宋"/>
          <w:spacing w:val="-8"/>
          <w:sz w:val="28"/>
          <w:szCs w:val="28"/>
        </w:rPr>
        <w:t>0</w:t>
      </w:r>
      <w:r>
        <w:rPr>
          <w:rFonts w:eastAsia="仿宋"/>
          <w:spacing w:val="-8"/>
          <w:sz w:val="28"/>
          <w:szCs w:val="28"/>
        </w:rPr>
        <w:t xml:space="preserve"> km</w:t>
      </w:r>
      <w:r>
        <w:rPr>
          <w:rFonts w:eastAsia="仿宋"/>
          <w:spacing w:val="-8"/>
          <w:sz w:val="28"/>
          <w:szCs w:val="28"/>
          <w:vertAlign w:val="superscript"/>
        </w:rPr>
        <w:t>2</w:t>
      </w:r>
      <w:r>
        <w:rPr>
          <w:rFonts w:hint="eastAsia" w:eastAsia="仿宋"/>
          <w:spacing w:val="-8"/>
          <w:sz w:val="28"/>
          <w:szCs w:val="28"/>
        </w:rPr>
        <w:t>，</w:t>
      </w:r>
      <w:r>
        <w:rPr>
          <w:rFonts w:eastAsia="仿宋"/>
          <w:sz w:val="28"/>
          <w:szCs w:val="28"/>
        </w:rPr>
        <w:t>保护区划分见附图5</w:t>
      </w:r>
      <w:r>
        <w:rPr>
          <w:rFonts w:hint="eastAsia" w:eastAsia="仿宋"/>
          <w:sz w:val="28"/>
          <w:szCs w:val="28"/>
        </w:rPr>
        <w:t>和</w:t>
      </w:r>
      <w:r>
        <w:rPr>
          <w:rFonts w:eastAsia="仿宋"/>
          <w:sz w:val="28"/>
          <w:szCs w:val="28"/>
        </w:rPr>
        <w:t>附图6。</w:t>
      </w:r>
    </w:p>
    <w:p w14:paraId="622F777E">
      <w:pPr>
        <w:pStyle w:val="4"/>
        <w:spacing w:before="120" w:after="120"/>
        <w:rPr>
          <w:rFonts w:eastAsia="仿宋"/>
          <w:sz w:val="28"/>
        </w:rPr>
      </w:pPr>
      <w:r>
        <w:rPr>
          <w:rFonts w:eastAsia="仿宋"/>
          <w:sz w:val="28"/>
        </w:rPr>
        <w:t>2.3.2水源地风险分析</w:t>
      </w:r>
    </w:p>
    <w:p w14:paraId="09BFD30B">
      <w:pPr>
        <w:autoSpaceDE w:val="0"/>
        <w:autoSpaceDN w:val="0"/>
        <w:adjustRightInd w:val="0"/>
        <w:ind w:firstLine="560" w:firstLineChars="200"/>
        <w:rPr>
          <w:rFonts w:eastAsia="仿宋"/>
          <w:sz w:val="28"/>
          <w:szCs w:val="28"/>
        </w:rPr>
      </w:pPr>
      <w:r>
        <w:rPr>
          <w:rFonts w:eastAsia="仿宋"/>
          <w:sz w:val="28"/>
          <w:szCs w:val="28"/>
        </w:rPr>
        <w:t>（1）固定源环境风险</w:t>
      </w:r>
    </w:p>
    <w:p w14:paraId="6D1B0E86">
      <w:pPr>
        <w:ind w:firstLine="560" w:firstLineChars="200"/>
        <w:rPr>
          <w:rFonts w:eastAsia="仿宋"/>
          <w:sz w:val="28"/>
          <w:szCs w:val="28"/>
        </w:rPr>
      </w:pPr>
      <w:r>
        <w:rPr>
          <w:rFonts w:hint="eastAsia" w:eastAsia="仿宋"/>
          <w:kern w:val="0"/>
          <w:sz w:val="28"/>
          <w:szCs w:val="28"/>
        </w:rPr>
        <w:t>根据实地调查，马铃乡麻窝坑水源保护区内未有煤矿、石化、砂石、规模化养殖场、污水处理厂等工矿企业及垃圾场、排污口、尾矿库等环境卫生设施，因此不存在固定源污染情况。</w:t>
      </w:r>
    </w:p>
    <w:p w14:paraId="58169CF9">
      <w:pPr>
        <w:autoSpaceDE w:val="0"/>
        <w:autoSpaceDN w:val="0"/>
        <w:adjustRightInd w:val="0"/>
        <w:ind w:firstLine="560" w:firstLineChars="200"/>
        <w:rPr>
          <w:rFonts w:eastAsia="仿宋"/>
          <w:sz w:val="28"/>
          <w:szCs w:val="28"/>
        </w:rPr>
      </w:pPr>
      <w:r>
        <w:rPr>
          <w:rFonts w:eastAsia="仿宋"/>
          <w:sz w:val="28"/>
          <w:szCs w:val="28"/>
        </w:rPr>
        <w:t>（2）流动源环境风险</w:t>
      </w:r>
    </w:p>
    <w:p w14:paraId="7D0FED5D">
      <w:pPr>
        <w:ind w:firstLine="560"/>
        <w:rPr>
          <w:rFonts w:eastAsia="仿宋"/>
          <w:sz w:val="28"/>
          <w:szCs w:val="28"/>
        </w:rPr>
      </w:pPr>
      <w:r>
        <w:rPr>
          <w:rFonts w:hint="eastAsia" w:eastAsia="仿宋"/>
          <w:sz w:val="28"/>
          <w:szCs w:val="28"/>
        </w:rPr>
        <w:t>据现场调查，X114县道穿越马铃乡麻窝坑水源一级保护区1440米，穿越二级保护区2900米。发生意外事故时，存在污染马铃乡麻窝坑水源的情况，给马铃乡村镇生活供水造成影响，需严加防范。</w:t>
      </w:r>
    </w:p>
    <w:p w14:paraId="17F3BCF6">
      <w:pPr>
        <w:autoSpaceDE w:val="0"/>
        <w:autoSpaceDN w:val="0"/>
        <w:adjustRightInd w:val="0"/>
        <w:ind w:firstLine="560" w:firstLineChars="200"/>
        <w:rPr>
          <w:rFonts w:eastAsia="仿宋"/>
          <w:sz w:val="28"/>
          <w:szCs w:val="28"/>
        </w:rPr>
      </w:pPr>
      <w:r>
        <w:rPr>
          <w:rFonts w:eastAsia="仿宋"/>
          <w:sz w:val="28"/>
          <w:szCs w:val="28"/>
        </w:rPr>
        <w:t>（3）面源环境风险</w:t>
      </w:r>
    </w:p>
    <w:p w14:paraId="0DD32985">
      <w:pPr>
        <w:adjustRightInd w:val="0"/>
        <w:snapToGrid w:val="0"/>
        <w:ind w:firstLine="560" w:firstLineChars="200"/>
        <w:rPr>
          <w:rFonts w:eastAsia="仿宋"/>
          <w:sz w:val="28"/>
          <w:szCs w:val="28"/>
        </w:rPr>
      </w:pPr>
      <w:r>
        <w:rPr>
          <w:rFonts w:hint="eastAsia" w:eastAsia="仿宋"/>
          <w:kern w:val="0"/>
          <w:sz w:val="28"/>
          <w:szCs w:val="28"/>
        </w:rPr>
        <w:t>马铃乡麻窝坑</w:t>
      </w:r>
      <w:r>
        <w:rPr>
          <w:rFonts w:eastAsia="仿宋"/>
          <w:sz w:val="28"/>
          <w:szCs w:val="28"/>
        </w:rPr>
        <w:t>水源地二级保护区范围有人口分布129户，488人。产污系数估算结果表明，生活污水排放总量为46.8t/d，生活COD 产生量为1.07吨/年，NH3-N 产生量0.85吨/年。调查范围内生活源主要为分散农户，生活废水主要用于农田灌溉，对水源地水质影响较小。农村生活垃圾按每人每天0.8kg/(人·d)计算，二级保护区生活</w:t>
      </w:r>
      <w:r>
        <w:rPr>
          <w:rFonts w:hint="eastAsia" w:eastAsia="仿宋"/>
          <w:sz w:val="28"/>
          <w:szCs w:val="28"/>
        </w:rPr>
        <w:t>垃圾</w:t>
      </w:r>
      <w:r>
        <w:rPr>
          <w:rFonts w:eastAsia="仿宋"/>
          <w:sz w:val="28"/>
          <w:szCs w:val="28"/>
        </w:rPr>
        <w:t>排放量为142.5吨/年。</w:t>
      </w:r>
      <w:r>
        <w:rPr>
          <w:rFonts w:hint="eastAsia" w:eastAsia="仿宋"/>
          <w:sz w:val="28"/>
          <w:szCs w:val="28"/>
        </w:rPr>
        <w:t>因此，存在一定的农村生活面源污染。</w:t>
      </w:r>
    </w:p>
    <w:p w14:paraId="37704D9C">
      <w:pPr>
        <w:adjustRightInd w:val="0"/>
        <w:snapToGrid w:val="0"/>
        <w:ind w:firstLine="560" w:firstLineChars="200"/>
        <w:rPr>
          <w:rFonts w:eastAsia="仿宋"/>
          <w:sz w:val="28"/>
          <w:szCs w:val="28"/>
        </w:rPr>
      </w:pPr>
      <w:r>
        <w:rPr>
          <w:rFonts w:hint="eastAsia" w:eastAsia="仿宋"/>
          <w:sz w:val="28"/>
          <w:szCs w:val="28"/>
        </w:rPr>
        <w:t>水源地保护区内存在一定的耕地，种植有玉米、马铃薯、大豆、油菜等农作物。</w:t>
      </w:r>
      <w:r>
        <w:rPr>
          <w:rFonts w:eastAsia="仿宋"/>
          <w:sz w:val="28"/>
          <w:szCs w:val="28"/>
        </w:rPr>
        <w:t>在农业生产活动中，由于施肥、施药等生产行为造成氮和磷等营养物质、农药、重金属及其他有机和无机污染物质、土壤颗粒等沉积物通过农田地表径流和地下渗漏方式将进入水体，从而对水质产生不利影响。</w:t>
      </w:r>
    </w:p>
    <w:p w14:paraId="2CB9E318">
      <w:pPr>
        <w:adjustRightInd w:val="0"/>
        <w:snapToGrid w:val="0"/>
        <w:ind w:firstLine="560" w:firstLineChars="200"/>
        <w:rPr>
          <w:rFonts w:eastAsia="仿宋"/>
          <w:sz w:val="28"/>
          <w:szCs w:val="28"/>
        </w:rPr>
      </w:pPr>
      <w:r>
        <w:rPr>
          <w:rFonts w:hint="eastAsia" w:eastAsia="仿宋"/>
          <w:sz w:val="28"/>
          <w:szCs w:val="28"/>
        </w:rPr>
        <w:t>该水源地环境风险主要来自上游地区农村生活污染、农业面源污染以及</w:t>
      </w:r>
      <w:r>
        <w:rPr>
          <w:rFonts w:eastAsia="仿宋"/>
          <w:sz w:val="28"/>
          <w:szCs w:val="28"/>
        </w:rPr>
        <w:t>流动源环境风险</w:t>
      </w:r>
      <w:r>
        <w:rPr>
          <w:rFonts w:hint="eastAsia" w:eastAsia="仿宋"/>
          <w:sz w:val="28"/>
          <w:szCs w:val="28"/>
        </w:rPr>
        <w:t>等，需加强防范。</w:t>
      </w:r>
    </w:p>
    <w:p w14:paraId="3FC9941D">
      <w:pPr>
        <w:pStyle w:val="3"/>
        <w:rPr>
          <w:rFonts w:eastAsia="仿宋"/>
          <w:sz w:val="32"/>
        </w:rPr>
      </w:pPr>
      <w:bookmarkStart w:id="28" w:name="_Toc60930767"/>
      <w:r>
        <w:rPr>
          <w:rFonts w:eastAsia="仿宋"/>
          <w:sz w:val="32"/>
        </w:rPr>
        <w:t>2.4</w:t>
      </w:r>
      <w:r>
        <w:rPr>
          <w:rFonts w:hint="eastAsia" w:eastAsia="仿宋"/>
          <w:sz w:val="32"/>
        </w:rPr>
        <w:t>青岩镇海爬井水源</w:t>
      </w:r>
      <w:bookmarkEnd w:id="28"/>
    </w:p>
    <w:p w14:paraId="13CA2215">
      <w:pPr>
        <w:pStyle w:val="4"/>
        <w:spacing w:before="120" w:after="120" w:line="600" w:lineRule="exact"/>
        <w:rPr>
          <w:rFonts w:eastAsia="仿宋"/>
          <w:sz w:val="28"/>
        </w:rPr>
      </w:pPr>
      <w:r>
        <w:rPr>
          <w:rFonts w:eastAsia="仿宋"/>
          <w:sz w:val="28"/>
        </w:rPr>
        <w:t>2.4.1水源地基本情况</w:t>
      </w:r>
    </w:p>
    <w:p w14:paraId="3775EB95">
      <w:pPr>
        <w:spacing w:line="600" w:lineRule="exact"/>
        <w:ind w:firstLine="528" w:firstLineChars="200"/>
        <w:rPr>
          <w:rFonts w:eastAsia="仿宋"/>
          <w:spacing w:val="-8"/>
          <w:sz w:val="28"/>
          <w:szCs w:val="28"/>
        </w:rPr>
      </w:pPr>
      <w:r>
        <w:rPr>
          <w:rFonts w:hint="eastAsia" w:eastAsia="仿宋"/>
          <w:spacing w:val="-8"/>
          <w:sz w:val="28"/>
          <w:szCs w:val="28"/>
        </w:rPr>
        <w:t>青岩镇海爬井水源</w:t>
      </w:r>
      <w:r>
        <w:rPr>
          <w:rFonts w:hint="eastAsia" w:ascii="仿宋" w:hAnsi="仿宋" w:eastAsia="仿宋"/>
          <w:sz w:val="28"/>
        </w:rPr>
        <w:t>位于花溪区青岩镇，距离阳市南郊29公里，青岩镇海爬井饮用水源为属于地下水型水源，取水口坐标E106.707283，N26.382208。日供水量为260t/d，水源地有水泵1台，扬程为30米，储水池一座，300m³ 高位水池一座，该水源服务人口2679人，供水区域为杨眉村和军库，</w:t>
      </w:r>
      <w:r>
        <w:rPr>
          <w:rFonts w:hint="eastAsia" w:eastAsia="仿宋"/>
          <w:spacing w:val="-8"/>
          <w:sz w:val="28"/>
          <w:szCs w:val="28"/>
        </w:rPr>
        <w:t>青岩镇海爬井水源取水点照片见图2-</w:t>
      </w:r>
      <w:r>
        <w:rPr>
          <w:rFonts w:eastAsia="仿宋"/>
          <w:spacing w:val="-8"/>
          <w:sz w:val="28"/>
          <w:szCs w:val="28"/>
        </w:rPr>
        <w:t>4</w:t>
      </w:r>
      <w:r>
        <w:rPr>
          <w:rFonts w:hint="eastAsia" w:eastAsia="仿宋"/>
          <w:spacing w:val="-8"/>
          <w:sz w:val="28"/>
          <w:szCs w:val="28"/>
        </w:rPr>
        <w:t>。</w:t>
      </w:r>
    </w:p>
    <w:p w14:paraId="0FA06AC0">
      <w:pPr>
        <w:autoSpaceDN w:val="0"/>
        <w:jc w:val="left"/>
        <w:textAlignment w:val="center"/>
        <w:rPr>
          <w:rFonts w:ascii="宋体" w:hAnsi="宋体" w:cs="宋体"/>
          <w:szCs w:val="24"/>
        </w:rPr>
      </w:pPr>
      <w:r>
        <w:rPr>
          <w:rFonts w:hint="eastAsia" w:ascii="宋体" w:hAnsi="宋体" w:cs="宋体"/>
          <w:szCs w:val="24"/>
        </w:rPr>
        <w:drawing>
          <wp:inline distT="0" distB="0" distL="114300" distR="114300">
            <wp:extent cx="2770505" cy="2081530"/>
            <wp:effectExtent l="0" t="0" r="0" b="0"/>
            <wp:docPr id="3" name="图片 9" descr="取水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9" descr="取水点"/>
                    <pic:cNvPicPr>
                      <a:picLocks noChangeAspect="1"/>
                    </pic:cNvPicPr>
                  </pic:nvPicPr>
                  <pic:blipFill>
                    <a:blip r:embed="rId19"/>
                    <a:stretch>
                      <a:fillRect/>
                    </a:stretch>
                  </pic:blipFill>
                  <pic:spPr>
                    <a:xfrm>
                      <a:off x="0" y="0"/>
                      <a:ext cx="2806389" cy="2108685"/>
                    </a:xfrm>
                    <a:prstGeom prst="rect">
                      <a:avLst/>
                    </a:prstGeom>
                    <a:noFill/>
                    <a:ln w="9525">
                      <a:noFill/>
                    </a:ln>
                  </pic:spPr>
                </pic:pic>
              </a:graphicData>
            </a:graphic>
          </wp:inline>
        </w:drawing>
      </w:r>
      <w:r>
        <w:rPr>
          <w:rFonts w:hint="eastAsia" w:ascii="宋体" w:hAnsi="宋体" w:cs="宋体"/>
          <w:szCs w:val="24"/>
        </w:rPr>
        <w:drawing>
          <wp:inline distT="0" distB="0" distL="114300" distR="114300">
            <wp:extent cx="2654300" cy="2089150"/>
            <wp:effectExtent l="0" t="0" r="0" b="0"/>
            <wp:docPr id="4" name="图片 10" descr="取水泵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0" descr="取水泵房"/>
                    <pic:cNvPicPr>
                      <a:picLocks noChangeAspect="1"/>
                    </pic:cNvPicPr>
                  </pic:nvPicPr>
                  <pic:blipFill>
                    <a:blip r:embed="rId20"/>
                    <a:stretch>
                      <a:fillRect/>
                    </a:stretch>
                  </pic:blipFill>
                  <pic:spPr>
                    <a:xfrm>
                      <a:off x="0" y="0"/>
                      <a:ext cx="2667274" cy="2099134"/>
                    </a:xfrm>
                    <a:prstGeom prst="rect">
                      <a:avLst/>
                    </a:prstGeom>
                    <a:noFill/>
                    <a:ln w="9525">
                      <a:noFill/>
                    </a:ln>
                  </pic:spPr>
                </pic:pic>
              </a:graphicData>
            </a:graphic>
          </wp:inline>
        </w:drawing>
      </w:r>
    </w:p>
    <w:p w14:paraId="58F2AAA7">
      <w:pPr>
        <w:jc w:val="center"/>
        <w:rPr>
          <w:rFonts w:eastAsia="仿宋"/>
          <w:b/>
          <w:spacing w:val="-8"/>
          <w:sz w:val="21"/>
          <w:szCs w:val="21"/>
        </w:rPr>
      </w:pPr>
      <w:r>
        <w:rPr>
          <w:rFonts w:eastAsia="仿宋"/>
          <w:b/>
          <w:spacing w:val="-8"/>
          <w:sz w:val="21"/>
          <w:szCs w:val="21"/>
        </w:rPr>
        <w:t xml:space="preserve">图2-5  </w:t>
      </w:r>
      <w:r>
        <w:rPr>
          <w:rFonts w:hint="eastAsia" w:eastAsia="仿宋"/>
          <w:b/>
          <w:spacing w:val="-8"/>
          <w:sz w:val="21"/>
          <w:szCs w:val="21"/>
        </w:rPr>
        <w:t>青岩镇海爬井水源</w:t>
      </w:r>
      <w:r>
        <w:rPr>
          <w:rFonts w:eastAsia="仿宋"/>
          <w:b/>
          <w:spacing w:val="-8"/>
          <w:sz w:val="21"/>
          <w:szCs w:val="21"/>
        </w:rPr>
        <w:t>取水</w:t>
      </w:r>
      <w:r>
        <w:rPr>
          <w:rFonts w:hint="eastAsia" w:eastAsia="仿宋"/>
          <w:b/>
          <w:spacing w:val="-8"/>
          <w:sz w:val="21"/>
          <w:szCs w:val="21"/>
        </w:rPr>
        <w:t>点</w:t>
      </w:r>
      <w:r>
        <w:rPr>
          <w:rFonts w:eastAsia="仿宋"/>
          <w:b/>
          <w:spacing w:val="-8"/>
          <w:sz w:val="21"/>
          <w:szCs w:val="21"/>
        </w:rPr>
        <w:t>现场照片</w:t>
      </w:r>
    </w:p>
    <w:p w14:paraId="126778ED">
      <w:pPr>
        <w:autoSpaceDE w:val="0"/>
        <w:autoSpaceDN w:val="0"/>
        <w:adjustRightInd w:val="0"/>
        <w:ind w:firstLine="528" w:firstLineChars="200"/>
        <w:jc w:val="left"/>
        <w:rPr>
          <w:rFonts w:eastAsia="仿宋"/>
          <w:spacing w:val="-8"/>
          <w:sz w:val="28"/>
          <w:szCs w:val="28"/>
        </w:rPr>
      </w:pPr>
      <w:r>
        <w:rPr>
          <w:rFonts w:eastAsia="仿宋"/>
          <w:spacing w:val="-8"/>
          <w:sz w:val="28"/>
          <w:szCs w:val="28"/>
        </w:rPr>
        <w:t>根据</w:t>
      </w:r>
      <w:r>
        <w:rPr>
          <w:rFonts w:hint="eastAsia" w:eastAsia="仿宋"/>
          <w:spacing w:val="-8"/>
          <w:sz w:val="28"/>
          <w:szCs w:val="28"/>
        </w:rPr>
        <w:t>2</w:t>
      </w:r>
      <w:r>
        <w:rPr>
          <w:rFonts w:eastAsia="仿宋"/>
          <w:spacing w:val="-8"/>
          <w:sz w:val="28"/>
          <w:szCs w:val="28"/>
        </w:rPr>
        <w:t>018</w:t>
      </w:r>
      <w:r>
        <w:rPr>
          <w:rFonts w:hint="eastAsia" w:eastAsia="仿宋"/>
          <w:spacing w:val="-8"/>
          <w:sz w:val="28"/>
          <w:szCs w:val="28"/>
        </w:rPr>
        <w:t>年</w:t>
      </w:r>
      <w:r>
        <w:rPr>
          <w:rFonts w:eastAsia="仿宋"/>
          <w:spacing w:val="-8"/>
          <w:sz w:val="28"/>
          <w:szCs w:val="28"/>
        </w:rPr>
        <w:t>12</w:t>
      </w:r>
      <w:r>
        <w:rPr>
          <w:rFonts w:hint="eastAsia" w:eastAsia="仿宋"/>
          <w:spacing w:val="-8"/>
          <w:sz w:val="28"/>
          <w:szCs w:val="28"/>
        </w:rPr>
        <w:t>月</w:t>
      </w:r>
      <w:r>
        <w:rPr>
          <w:rFonts w:eastAsia="仿宋"/>
          <w:spacing w:val="-8"/>
          <w:sz w:val="28"/>
          <w:szCs w:val="28"/>
        </w:rPr>
        <w:t>7</w:t>
      </w:r>
      <w:r>
        <w:rPr>
          <w:rFonts w:hint="eastAsia" w:eastAsia="仿宋"/>
          <w:spacing w:val="-8"/>
          <w:sz w:val="28"/>
          <w:szCs w:val="28"/>
        </w:rPr>
        <w:t>日采样监测结果显示，青岩镇海爬井水源评价范围内的地下水环境质量总体状况为较好（Ⅲ类）。水源地水质pH呈弱碱偏中性，主要是该处自然地质结构状况造成的。监测点位地下水无超标因子，综合评价水源地水质满足《地下水质量标准》（GB/T 14848-</w:t>
      </w:r>
      <w:r>
        <w:rPr>
          <w:rFonts w:eastAsia="仿宋"/>
          <w:spacing w:val="-8"/>
          <w:sz w:val="28"/>
          <w:szCs w:val="28"/>
        </w:rPr>
        <w:t>2017</w:t>
      </w:r>
      <w:r>
        <w:rPr>
          <w:rFonts w:hint="eastAsia" w:eastAsia="仿宋"/>
          <w:spacing w:val="-8"/>
          <w:sz w:val="28"/>
          <w:szCs w:val="28"/>
        </w:rPr>
        <w:t>）中的Ⅲ类标准要求。</w:t>
      </w:r>
    </w:p>
    <w:p w14:paraId="05F26B23">
      <w:pPr>
        <w:ind w:firstLine="528" w:firstLineChars="200"/>
        <w:rPr>
          <w:rFonts w:eastAsia="仿宋"/>
          <w:sz w:val="28"/>
          <w:szCs w:val="28"/>
        </w:rPr>
      </w:pPr>
      <w:r>
        <w:rPr>
          <w:rFonts w:eastAsia="仿宋"/>
          <w:spacing w:val="-8"/>
          <w:sz w:val="28"/>
          <w:szCs w:val="28"/>
        </w:rPr>
        <w:t>根据《花溪区</w:t>
      </w:r>
      <w:r>
        <w:rPr>
          <w:rFonts w:hint="eastAsia" w:eastAsia="仿宋"/>
          <w:spacing w:val="-8"/>
          <w:sz w:val="28"/>
          <w:szCs w:val="28"/>
        </w:rPr>
        <w:t>青岩镇海爬井</w:t>
      </w:r>
      <w:r>
        <w:rPr>
          <w:rFonts w:eastAsia="仿宋"/>
          <w:spacing w:val="-8"/>
          <w:sz w:val="28"/>
          <w:szCs w:val="28"/>
        </w:rPr>
        <w:t>集中式饮用水水源</w:t>
      </w:r>
      <w:r>
        <w:rPr>
          <w:rFonts w:hint="eastAsia" w:eastAsia="仿宋"/>
          <w:spacing w:val="-8"/>
          <w:sz w:val="28"/>
          <w:szCs w:val="28"/>
        </w:rPr>
        <w:t>保护区调整方案</w:t>
      </w:r>
      <w:r>
        <w:rPr>
          <w:rFonts w:eastAsia="仿宋"/>
          <w:spacing w:val="-8"/>
          <w:sz w:val="28"/>
          <w:szCs w:val="28"/>
        </w:rPr>
        <w:t>》，</w:t>
      </w:r>
      <w:r>
        <w:rPr>
          <w:rFonts w:hint="eastAsia" w:eastAsia="仿宋"/>
          <w:spacing w:val="-8"/>
          <w:sz w:val="28"/>
          <w:szCs w:val="28"/>
        </w:rPr>
        <w:t>青岩镇海爬井水源</w:t>
      </w:r>
      <w:r>
        <w:rPr>
          <w:rFonts w:eastAsia="仿宋"/>
          <w:spacing w:val="-8"/>
          <w:sz w:val="28"/>
          <w:szCs w:val="28"/>
        </w:rPr>
        <w:t>保护区面积0.271 km</w:t>
      </w:r>
      <w:r>
        <w:rPr>
          <w:rFonts w:eastAsia="仿宋"/>
          <w:spacing w:val="-8"/>
          <w:sz w:val="28"/>
          <w:szCs w:val="28"/>
          <w:vertAlign w:val="superscript"/>
        </w:rPr>
        <w:t>2</w:t>
      </w:r>
      <w:r>
        <w:rPr>
          <w:rFonts w:eastAsia="仿宋"/>
          <w:spacing w:val="-8"/>
          <w:sz w:val="28"/>
          <w:szCs w:val="28"/>
        </w:rPr>
        <w:t>，其中一级保护区面积0.0403 km</w:t>
      </w:r>
      <w:r>
        <w:rPr>
          <w:rFonts w:eastAsia="仿宋"/>
          <w:spacing w:val="-8"/>
          <w:sz w:val="28"/>
          <w:szCs w:val="28"/>
          <w:vertAlign w:val="superscript"/>
        </w:rPr>
        <w:t>2</w:t>
      </w:r>
      <w:r>
        <w:rPr>
          <w:rFonts w:eastAsia="仿宋"/>
          <w:spacing w:val="-8"/>
          <w:sz w:val="28"/>
          <w:szCs w:val="28"/>
        </w:rPr>
        <w:t>，二级保护区面积0.2307 km</w:t>
      </w:r>
      <w:r>
        <w:rPr>
          <w:rFonts w:eastAsia="仿宋"/>
          <w:spacing w:val="-8"/>
          <w:sz w:val="28"/>
          <w:szCs w:val="28"/>
          <w:vertAlign w:val="superscript"/>
        </w:rPr>
        <w:t>2</w:t>
      </w:r>
      <w:r>
        <w:rPr>
          <w:rFonts w:hint="eastAsia" w:eastAsia="仿宋"/>
          <w:spacing w:val="-8"/>
          <w:sz w:val="28"/>
          <w:szCs w:val="28"/>
        </w:rPr>
        <w:t>，</w:t>
      </w:r>
      <w:r>
        <w:rPr>
          <w:rFonts w:eastAsia="仿宋"/>
          <w:sz w:val="28"/>
          <w:szCs w:val="28"/>
        </w:rPr>
        <w:t>保护区划分见附图7</w:t>
      </w:r>
      <w:r>
        <w:rPr>
          <w:rFonts w:hint="eastAsia" w:eastAsia="仿宋"/>
          <w:sz w:val="28"/>
          <w:szCs w:val="28"/>
        </w:rPr>
        <w:t>和</w:t>
      </w:r>
      <w:r>
        <w:rPr>
          <w:rFonts w:eastAsia="仿宋"/>
          <w:sz w:val="28"/>
          <w:szCs w:val="28"/>
        </w:rPr>
        <w:t>附图8。</w:t>
      </w:r>
    </w:p>
    <w:p w14:paraId="5E11662B">
      <w:pPr>
        <w:pStyle w:val="4"/>
        <w:spacing w:before="120" w:after="120"/>
        <w:rPr>
          <w:rFonts w:eastAsia="仿宋"/>
          <w:sz w:val="28"/>
        </w:rPr>
      </w:pPr>
      <w:r>
        <w:rPr>
          <w:rFonts w:eastAsia="仿宋"/>
          <w:sz w:val="28"/>
        </w:rPr>
        <w:t>2.4.2水源地风险分析</w:t>
      </w:r>
    </w:p>
    <w:p w14:paraId="1E08810F">
      <w:pPr>
        <w:autoSpaceDE w:val="0"/>
        <w:autoSpaceDN w:val="0"/>
        <w:adjustRightInd w:val="0"/>
        <w:ind w:firstLine="560" w:firstLineChars="200"/>
        <w:rPr>
          <w:rFonts w:eastAsia="仿宋"/>
          <w:sz w:val="28"/>
          <w:szCs w:val="28"/>
        </w:rPr>
      </w:pPr>
      <w:r>
        <w:rPr>
          <w:rFonts w:eastAsia="仿宋"/>
          <w:sz w:val="28"/>
          <w:szCs w:val="28"/>
        </w:rPr>
        <w:t>（1）固定源环境风险</w:t>
      </w:r>
    </w:p>
    <w:p w14:paraId="1A685895">
      <w:pPr>
        <w:ind w:firstLine="560" w:firstLineChars="200"/>
        <w:rPr>
          <w:rFonts w:eastAsia="仿宋"/>
          <w:sz w:val="28"/>
          <w:szCs w:val="28"/>
        </w:rPr>
      </w:pPr>
      <w:r>
        <w:rPr>
          <w:rFonts w:hint="eastAsia" w:eastAsia="仿宋"/>
          <w:kern w:val="0"/>
          <w:sz w:val="28"/>
          <w:szCs w:val="28"/>
        </w:rPr>
        <w:t>根据实地调查，</w:t>
      </w:r>
      <w:r>
        <w:rPr>
          <w:rFonts w:hint="eastAsia" w:eastAsia="仿宋"/>
          <w:spacing w:val="-8"/>
          <w:sz w:val="28"/>
          <w:szCs w:val="28"/>
        </w:rPr>
        <w:t>青岩镇海爬井水源</w:t>
      </w:r>
      <w:r>
        <w:rPr>
          <w:rFonts w:hint="eastAsia" w:eastAsia="仿宋"/>
          <w:kern w:val="0"/>
          <w:sz w:val="28"/>
          <w:szCs w:val="28"/>
        </w:rPr>
        <w:t>保护区内未有煤矿、石化、砂石、养殖场、污水处理厂等工矿企业及垃圾场、排污口、尾矿库等环境卫生设施，因此不存在固定源污染情况。</w:t>
      </w:r>
    </w:p>
    <w:p w14:paraId="6EEFA030">
      <w:pPr>
        <w:autoSpaceDE w:val="0"/>
        <w:autoSpaceDN w:val="0"/>
        <w:adjustRightInd w:val="0"/>
        <w:ind w:firstLine="560" w:firstLineChars="200"/>
        <w:rPr>
          <w:rFonts w:eastAsia="仿宋"/>
          <w:sz w:val="28"/>
          <w:szCs w:val="28"/>
        </w:rPr>
      </w:pPr>
      <w:r>
        <w:rPr>
          <w:rFonts w:eastAsia="仿宋"/>
          <w:sz w:val="28"/>
          <w:szCs w:val="28"/>
        </w:rPr>
        <w:t>（2）流动源环境风险</w:t>
      </w:r>
    </w:p>
    <w:p w14:paraId="48BE5456">
      <w:pPr>
        <w:autoSpaceDE w:val="0"/>
        <w:autoSpaceDN w:val="0"/>
        <w:adjustRightInd w:val="0"/>
        <w:ind w:firstLine="560" w:firstLineChars="200"/>
        <w:rPr>
          <w:rFonts w:eastAsia="仿宋"/>
          <w:kern w:val="0"/>
          <w:sz w:val="28"/>
          <w:szCs w:val="28"/>
        </w:rPr>
      </w:pPr>
      <w:r>
        <w:rPr>
          <w:rFonts w:hint="eastAsia" w:ascii="仿宋" w:hAnsi="仿宋" w:eastAsia="仿宋"/>
          <w:kern w:val="0"/>
          <w:sz w:val="28"/>
          <w:szCs w:val="28"/>
        </w:rPr>
        <w:t>据现场调查，目前</w:t>
      </w:r>
      <w:r>
        <w:rPr>
          <w:rFonts w:hint="eastAsia" w:ascii="仿宋" w:hAnsi="仿宋" w:eastAsia="仿宋"/>
          <w:spacing w:val="-8"/>
          <w:sz w:val="28"/>
          <w:szCs w:val="28"/>
        </w:rPr>
        <w:t>青岩镇海爬井</w:t>
      </w:r>
      <w:r>
        <w:rPr>
          <w:rFonts w:hint="eastAsia" w:ascii="仿宋" w:hAnsi="仿宋" w:eastAsia="仿宋"/>
          <w:sz w:val="28"/>
          <w:szCs w:val="28"/>
        </w:rPr>
        <w:t>水源地二级保护区范围外有新建孟溪路，</w:t>
      </w:r>
      <w:r>
        <w:rPr>
          <w:rFonts w:ascii="仿宋" w:hAnsi="仿宋" w:eastAsia="仿宋"/>
          <w:sz w:val="28"/>
          <w:szCs w:val="28"/>
        </w:rPr>
        <w:t>村民通常使用农用车、摩托车作为交通运输的主要工具运送农用化肥、农药等。水源地道路交通防范设施较为简陋，若发生意外事故时，可能存在污染保护区水体的情况</w:t>
      </w:r>
      <w:r>
        <w:rPr>
          <w:rFonts w:hint="eastAsia" w:ascii="仿宋" w:hAnsi="仿宋" w:eastAsia="仿宋"/>
          <w:sz w:val="28"/>
          <w:szCs w:val="28"/>
        </w:rPr>
        <w:t>，存在一定交通</w:t>
      </w:r>
      <w:r>
        <w:rPr>
          <w:rFonts w:hint="eastAsia" w:eastAsia="仿宋"/>
          <w:sz w:val="28"/>
          <w:szCs w:val="28"/>
        </w:rPr>
        <w:t>事故风险。</w:t>
      </w:r>
    </w:p>
    <w:p w14:paraId="651CF456">
      <w:pPr>
        <w:autoSpaceDE w:val="0"/>
        <w:autoSpaceDN w:val="0"/>
        <w:adjustRightInd w:val="0"/>
        <w:ind w:firstLine="560" w:firstLineChars="200"/>
        <w:rPr>
          <w:rFonts w:eastAsia="仿宋"/>
          <w:sz w:val="28"/>
          <w:szCs w:val="28"/>
        </w:rPr>
      </w:pPr>
      <w:r>
        <w:rPr>
          <w:rFonts w:eastAsia="仿宋"/>
          <w:sz w:val="28"/>
          <w:szCs w:val="28"/>
        </w:rPr>
        <w:t>（3）面源环境风险</w:t>
      </w:r>
    </w:p>
    <w:p w14:paraId="5201E98A">
      <w:pPr>
        <w:adjustRightInd w:val="0"/>
        <w:snapToGrid w:val="0"/>
        <w:ind w:firstLine="528" w:firstLineChars="200"/>
        <w:rPr>
          <w:rFonts w:eastAsia="仿宋"/>
          <w:kern w:val="0"/>
          <w:sz w:val="28"/>
          <w:szCs w:val="28"/>
        </w:rPr>
      </w:pPr>
      <w:r>
        <w:rPr>
          <w:rFonts w:hint="eastAsia" w:eastAsia="仿宋"/>
          <w:spacing w:val="-8"/>
          <w:sz w:val="28"/>
          <w:szCs w:val="28"/>
        </w:rPr>
        <w:t>青岩镇海爬井</w:t>
      </w:r>
      <w:r>
        <w:rPr>
          <w:rFonts w:hint="eastAsia" w:eastAsia="仿宋"/>
          <w:sz w:val="28"/>
          <w:szCs w:val="28"/>
        </w:rPr>
        <w:t>水源地一级和二级保护区均无居民居住，不存在</w:t>
      </w:r>
      <w:r>
        <w:rPr>
          <w:rFonts w:hint="eastAsia" w:eastAsia="仿宋"/>
          <w:kern w:val="0"/>
          <w:sz w:val="28"/>
          <w:szCs w:val="28"/>
        </w:rPr>
        <w:t>农村生活面源污染。</w:t>
      </w:r>
    </w:p>
    <w:p w14:paraId="60046BE3">
      <w:pPr>
        <w:adjustRightInd w:val="0"/>
        <w:snapToGrid w:val="0"/>
        <w:ind w:firstLine="560" w:firstLineChars="200"/>
        <w:rPr>
          <w:rFonts w:eastAsia="仿宋"/>
          <w:sz w:val="28"/>
          <w:szCs w:val="28"/>
        </w:rPr>
      </w:pPr>
      <w:r>
        <w:rPr>
          <w:rFonts w:hint="eastAsia" w:eastAsia="仿宋"/>
          <w:sz w:val="28"/>
          <w:szCs w:val="28"/>
        </w:rPr>
        <w:t>水源地保护区内存在一定的水田和旱地，种植水稻、玉米、马铃薯、大豆、油菜等农作物。</w:t>
      </w:r>
      <w:r>
        <w:rPr>
          <w:rFonts w:eastAsia="仿宋"/>
          <w:sz w:val="28"/>
          <w:szCs w:val="28"/>
        </w:rPr>
        <w:t>在农业生产活动中，由于施肥、施药等生产行为造成氮和磷等营养物质、农药、重金属及其他有机和无机污染物质、土壤颗粒等沉积物通过农田地表径流和地下渗漏方式将进入水体，从而对水质产生不利影响。</w:t>
      </w:r>
    </w:p>
    <w:p w14:paraId="5EBA3E8D">
      <w:pPr>
        <w:ind w:firstLine="560" w:firstLineChars="200"/>
        <w:rPr>
          <w:rFonts w:eastAsia="仿宋"/>
          <w:sz w:val="28"/>
          <w:szCs w:val="28"/>
        </w:rPr>
      </w:pPr>
      <w:r>
        <w:rPr>
          <w:rFonts w:hint="eastAsia" w:eastAsia="仿宋"/>
          <w:sz w:val="28"/>
          <w:szCs w:val="28"/>
        </w:rPr>
        <w:t>该水源地环境风险主要来自上游地区农业面源污染和</w:t>
      </w:r>
      <w:r>
        <w:rPr>
          <w:rFonts w:eastAsia="仿宋"/>
          <w:sz w:val="28"/>
          <w:szCs w:val="28"/>
        </w:rPr>
        <w:t>流动源环境风险</w:t>
      </w:r>
      <w:r>
        <w:rPr>
          <w:rFonts w:hint="eastAsia" w:eastAsia="仿宋"/>
          <w:sz w:val="28"/>
          <w:szCs w:val="28"/>
        </w:rPr>
        <w:t>等，污染风险极小，仍需加以防范。</w:t>
      </w:r>
    </w:p>
    <w:p w14:paraId="6ACCA7CF">
      <w:pPr>
        <w:pStyle w:val="3"/>
        <w:rPr>
          <w:rFonts w:eastAsia="仿宋"/>
          <w:sz w:val="32"/>
        </w:rPr>
      </w:pPr>
      <w:bookmarkStart w:id="29" w:name="_Toc60930768"/>
      <w:r>
        <w:rPr>
          <w:rFonts w:eastAsia="仿宋"/>
          <w:sz w:val="32"/>
        </w:rPr>
        <w:t>2.5</w:t>
      </w:r>
      <w:r>
        <w:rPr>
          <w:rFonts w:hint="eastAsia" w:eastAsia="仿宋"/>
          <w:sz w:val="32"/>
        </w:rPr>
        <w:t>青岩镇龙井沟</w:t>
      </w:r>
      <w:r>
        <w:rPr>
          <w:rFonts w:eastAsia="仿宋"/>
          <w:sz w:val="32"/>
        </w:rPr>
        <w:t>水源</w:t>
      </w:r>
      <w:bookmarkEnd w:id="29"/>
    </w:p>
    <w:p w14:paraId="37603E35">
      <w:pPr>
        <w:pStyle w:val="4"/>
        <w:spacing w:before="120" w:after="120"/>
        <w:rPr>
          <w:rFonts w:eastAsia="仿宋"/>
          <w:sz w:val="28"/>
        </w:rPr>
      </w:pPr>
      <w:r>
        <w:rPr>
          <w:rFonts w:eastAsia="仿宋"/>
          <w:sz w:val="28"/>
        </w:rPr>
        <w:t>2.5.1水源地基本情况</w:t>
      </w:r>
    </w:p>
    <w:p w14:paraId="4FACD799">
      <w:pPr>
        <w:ind w:firstLine="560"/>
        <w:rPr>
          <w:rFonts w:eastAsia="仿宋"/>
          <w:sz w:val="28"/>
          <w:szCs w:val="28"/>
          <w:shd w:val="clear" w:color="auto" w:fill="FFFFFF"/>
        </w:rPr>
      </w:pPr>
      <w:r>
        <w:rPr>
          <w:rFonts w:hint="eastAsia" w:ascii="仿宋" w:hAnsi="仿宋" w:eastAsia="仿宋"/>
          <w:sz w:val="28"/>
        </w:rPr>
        <w:t>龙井沟水源地位于花溪区青岩镇，距离花溪区政府21公里，青岩镇龙井沟饮用水源为属于地下水型水源，取水口坐标E106.685946，N26.30767。日供水量为410.14t/d，水源地有水泵1台，扬程为70米，储水池3座，80m³高位水池一座，该水源服务人口2244人，供水区域为新哨村</w:t>
      </w:r>
      <w:r>
        <w:rPr>
          <w:rFonts w:hint="eastAsia" w:eastAsia="仿宋"/>
          <w:sz w:val="28"/>
          <w:szCs w:val="28"/>
          <w:shd w:val="clear" w:color="auto" w:fill="FFFFFF"/>
        </w:rPr>
        <w:t>。</w:t>
      </w:r>
      <w:r>
        <w:rPr>
          <w:rFonts w:hint="eastAsia" w:ascii="仿宋" w:hAnsi="仿宋" w:eastAsia="仿宋"/>
          <w:sz w:val="28"/>
        </w:rPr>
        <w:t>青岩镇龙井沟</w:t>
      </w:r>
      <w:r>
        <w:rPr>
          <w:rFonts w:eastAsia="仿宋"/>
          <w:sz w:val="28"/>
          <w:szCs w:val="28"/>
          <w:shd w:val="clear" w:color="auto" w:fill="FFFFFF"/>
        </w:rPr>
        <w:t>水源</w:t>
      </w:r>
      <w:r>
        <w:rPr>
          <w:rFonts w:hint="eastAsia" w:eastAsia="仿宋"/>
          <w:sz w:val="28"/>
          <w:szCs w:val="28"/>
          <w:shd w:val="clear" w:color="auto" w:fill="FFFFFF"/>
        </w:rPr>
        <w:t>取水点照片见图2-</w:t>
      </w:r>
      <w:r>
        <w:rPr>
          <w:rFonts w:eastAsia="仿宋"/>
          <w:sz w:val="28"/>
          <w:szCs w:val="28"/>
          <w:shd w:val="clear" w:color="auto" w:fill="FFFFFF"/>
        </w:rPr>
        <w:t>5</w:t>
      </w:r>
      <w:r>
        <w:rPr>
          <w:rFonts w:hint="eastAsia" w:eastAsia="仿宋"/>
          <w:sz w:val="28"/>
          <w:szCs w:val="28"/>
          <w:shd w:val="clear" w:color="auto" w:fill="FFFFFF"/>
        </w:rPr>
        <w:t>。</w:t>
      </w:r>
    </w:p>
    <w:p w14:paraId="5E5FE1C9">
      <w:pPr>
        <w:rPr>
          <w:rFonts w:eastAsia="仿宋"/>
          <w:sz w:val="28"/>
          <w:szCs w:val="28"/>
          <w:shd w:val="clear" w:color="auto" w:fill="FFFFFF"/>
        </w:rPr>
      </w:pPr>
      <w:r>
        <w:rPr>
          <w:szCs w:val="24"/>
        </w:rPr>
        <w:drawing>
          <wp:inline distT="0" distB="0" distL="114300" distR="114300">
            <wp:extent cx="2706370" cy="2029460"/>
            <wp:effectExtent l="0" t="0" r="0" b="0"/>
            <wp:docPr id="17" name="图片 7" descr="青岩新哨村龙井—取水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 descr="青岩新哨村龙井—取水口"/>
                    <pic:cNvPicPr>
                      <a:picLocks noChangeAspect="1"/>
                    </pic:cNvPicPr>
                  </pic:nvPicPr>
                  <pic:blipFill>
                    <a:blip r:embed="rId21"/>
                    <a:stretch>
                      <a:fillRect/>
                    </a:stretch>
                  </pic:blipFill>
                  <pic:spPr>
                    <a:xfrm>
                      <a:off x="0" y="0"/>
                      <a:ext cx="2722532" cy="2041899"/>
                    </a:xfrm>
                    <a:prstGeom prst="rect">
                      <a:avLst/>
                    </a:prstGeom>
                    <a:noFill/>
                    <a:ln w="9525">
                      <a:noFill/>
                    </a:ln>
                  </pic:spPr>
                </pic:pic>
              </a:graphicData>
            </a:graphic>
          </wp:inline>
        </w:drawing>
      </w:r>
      <w:r>
        <w:rPr>
          <w:szCs w:val="24"/>
        </w:rPr>
        <w:drawing>
          <wp:inline distT="0" distB="0" distL="114300" distR="114300">
            <wp:extent cx="2708275" cy="2031365"/>
            <wp:effectExtent l="0" t="0" r="0" b="0"/>
            <wp:docPr id="18" name="图片 8" descr="青岩新哨村龙井—水池溢水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8" descr="青岩新哨村龙井—水池溢水口"/>
                    <pic:cNvPicPr>
                      <a:picLocks noChangeAspect="1"/>
                    </pic:cNvPicPr>
                  </pic:nvPicPr>
                  <pic:blipFill>
                    <a:blip r:embed="rId22"/>
                    <a:stretch>
                      <a:fillRect/>
                    </a:stretch>
                  </pic:blipFill>
                  <pic:spPr>
                    <a:xfrm>
                      <a:off x="0" y="0"/>
                      <a:ext cx="2721853" cy="2041571"/>
                    </a:xfrm>
                    <a:prstGeom prst="rect">
                      <a:avLst/>
                    </a:prstGeom>
                    <a:noFill/>
                    <a:ln w="9525">
                      <a:noFill/>
                    </a:ln>
                  </pic:spPr>
                </pic:pic>
              </a:graphicData>
            </a:graphic>
          </wp:inline>
        </w:drawing>
      </w:r>
    </w:p>
    <w:p w14:paraId="3663A394">
      <w:pPr>
        <w:jc w:val="center"/>
        <w:rPr>
          <w:rFonts w:eastAsia="仿宋"/>
          <w:b/>
          <w:spacing w:val="-8"/>
          <w:sz w:val="21"/>
          <w:szCs w:val="21"/>
        </w:rPr>
      </w:pPr>
      <w:r>
        <w:rPr>
          <w:rFonts w:eastAsia="仿宋"/>
          <w:b/>
          <w:spacing w:val="-8"/>
          <w:sz w:val="21"/>
          <w:szCs w:val="21"/>
        </w:rPr>
        <w:t xml:space="preserve">图2-6  </w:t>
      </w:r>
      <w:r>
        <w:rPr>
          <w:rFonts w:hint="eastAsia" w:eastAsia="仿宋"/>
          <w:b/>
          <w:spacing w:val="-8"/>
          <w:sz w:val="21"/>
          <w:szCs w:val="21"/>
        </w:rPr>
        <w:t>青岩镇龙井沟水源</w:t>
      </w:r>
      <w:r>
        <w:rPr>
          <w:rFonts w:eastAsia="仿宋"/>
          <w:b/>
          <w:spacing w:val="-8"/>
          <w:sz w:val="21"/>
          <w:szCs w:val="21"/>
        </w:rPr>
        <w:t>取水</w:t>
      </w:r>
      <w:r>
        <w:rPr>
          <w:rFonts w:hint="eastAsia" w:eastAsia="仿宋"/>
          <w:b/>
          <w:spacing w:val="-8"/>
          <w:sz w:val="21"/>
          <w:szCs w:val="21"/>
        </w:rPr>
        <w:t>点</w:t>
      </w:r>
      <w:r>
        <w:rPr>
          <w:rFonts w:eastAsia="仿宋"/>
          <w:b/>
          <w:spacing w:val="-8"/>
          <w:sz w:val="21"/>
          <w:szCs w:val="21"/>
        </w:rPr>
        <w:t>现场照片</w:t>
      </w:r>
    </w:p>
    <w:p w14:paraId="60672C7D">
      <w:pPr>
        <w:autoSpaceDE w:val="0"/>
        <w:autoSpaceDN w:val="0"/>
        <w:adjustRightInd w:val="0"/>
        <w:ind w:firstLine="528" w:firstLineChars="200"/>
        <w:jc w:val="left"/>
        <w:rPr>
          <w:rFonts w:eastAsia="仿宋"/>
          <w:spacing w:val="-8"/>
          <w:sz w:val="28"/>
          <w:szCs w:val="28"/>
        </w:rPr>
      </w:pPr>
      <w:r>
        <w:rPr>
          <w:rFonts w:eastAsia="仿宋"/>
          <w:spacing w:val="-8"/>
          <w:sz w:val="28"/>
          <w:szCs w:val="28"/>
        </w:rPr>
        <w:t>根据</w:t>
      </w:r>
      <w:r>
        <w:rPr>
          <w:rFonts w:hint="eastAsia" w:eastAsia="仿宋"/>
          <w:spacing w:val="-8"/>
          <w:sz w:val="28"/>
          <w:szCs w:val="28"/>
        </w:rPr>
        <w:t>2</w:t>
      </w:r>
      <w:r>
        <w:rPr>
          <w:rFonts w:eastAsia="仿宋"/>
          <w:spacing w:val="-8"/>
          <w:sz w:val="28"/>
          <w:szCs w:val="28"/>
        </w:rPr>
        <w:t>018</w:t>
      </w:r>
      <w:r>
        <w:rPr>
          <w:rFonts w:hint="eastAsia" w:eastAsia="仿宋"/>
          <w:spacing w:val="-8"/>
          <w:sz w:val="28"/>
          <w:szCs w:val="28"/>
        </w:rPr>
        <w:t>年</w:t>
      </w:r>
      <w:r>
        <w:rPr>
          <w:rFonts w:eastAsia="仿宋"/>
          <w:spacing w:val="-8"/>
          <w:sz w:val="28"/>
          <w:szCs w:val="28"/>
        </w:rPr>
        <w:t>12</w:t>
      </w:r>
      <w:r>
        <w:rPr>
          <w:rFonts w:hint="eastAsia" w:eastAsia="仿宋"/>
          <w:spacing w:val="-8"/>
          <w:sz w:val="28"/>
          <w:szCs w:val="28"/>
        </w:rPr>
        <w:t>月</w:t>
      </w:r>
      <w:r>
        <w:rPr>
          <w:rFonts w:eastAsia="仿宋"/>
          <w:spacing w:val="-8"/>
          <w:sz w:val="28"/>
          <w:szCs w:val="28"/>
        </w:rPr>
        <w:t>7</w:t>
      </w:r>
      <w:r>
        <w:rPr>
          <w:rFonts w:hint="eastAsia" w:eastAsia="仿宋"/>
          <w:spacing w:val="-8"/>
          <w:sz w:val="28"/>
          <w:szCs w:val="28"/>
        </w:rPr>
        <w:t>日采样监测结果显示，</w:t>
      </w:r>
      <w:r>
        <w:rPr>
          <w:rFonts w:hint="eastAsia" w:ascii="仿宋" w:hAnsi="仿宋" w:eastAsia="仿宋"/>
          <w:sz w:val="28"/>
        </w:rPr>
        <w:t>青岩镇龙井沟</w:t>
      </w:r>
      <w:r>
        <w:rPr>
          <w:rFonts w:eastAsia="仿宋"/>
          <w:sz w:val="28"/>
          <w:szCs w:val="28"/>
          <w:shd w:val="clear" w:color="auto" w:fill="FFFFFF"/>
        </w:rPr>
        <w:t>水源</w:t>
      </w:r>
      <w:r>
        <w:rPr>
          <w:rFonts w:hint="eastAsia" w:eastAsia="仿宋"/>
          <w:spacing w:val="-8"/>
          <w:sz w:val="28"/>
          <w:szCs w:val="28"/>
        </w:rPr>
        <w:t>评价范围内的地下水环境质量总体状况为较好（Ⅲ类）。水源地水质pH呈弱碱偏中性，主要是该处自然地质结构状况造成的。监测点位地下水无超标因子，综合评价水源地水质满足《地下水质量标准》（GB/T 14848-</w:t>
      </w:r>
      <w:r>
        <w:rPr>
          <w:rFonts w:eastAsia="仿宋"/>
          <w:spacing w:val="-8"/>
          <w:sz w:val="28"/>
          <w:szCs w:val="28"/>
        </w:rPr>
        <w:t>2017</w:t>
      </w:r>
      <w:r>
        <w:rPr>
          <w:rFonts w:hint="eastAsia" w:eastAsia="仿宋"/>
          <w:spacing w:val="-8"/>
          <w:sz w:val="28"/>
          <w:szCs w:val="28"/>
        </w:rPr>
        <w:t>）中的Ⅲ类标准要求。</w:t>
      </w:r>
    </w:p>
    <w:p w14:paraId="7974E9CC">
      <w:pPr>
        <w:ind w:firstLine="528" w:firstLineChars="200"/>
        <w:rPr>
          <w:rFonts w:eastAsia="仿宋"/>
          <w:sz w:val="28"/>
          <w:szCs w:val="28"/>
        </w:rPr>
      </w:pPr>
      <w:r>
        <w:rPr>
          <w:rFonts w:eastAsia="仿宋"/>
          <w:spacing w:val="-8"/>
          <w:sz w:val="28"/>
          <w:szCs w:val="28"/>
        </w:rPr>
        <w:t>根据《花溪区</w:t>
      </w:r>
      <w:r>
        <w:rPr>
          <w:rFonts w:hint="eastAsia" w:ascii="仿宋" w:hAnsi="仿宋" w:eastAsia="仿宋"/>
          <w:sz w:val="28"/>
        </w:rPr>
        <w:t>青岩镇龙井沟</w:t>
      </w:r>
      <w:r>
        <w:rPr>
          <w:rFonts w:eastAsia="仿宋"/>
          <w:spacing w:val="-8"/>
          <w:sz w:val="28"/>
          <w:szCs w:val="28"/>
        </w:rPr>
        <w:t>集中式饮用水水源</w:t>
      </w:r>
      <w:r>
        <w:rPr>
          <w:rFonts w:hint="eastAsia" w:eastAsia="仿宋"/>
          <w:spacing w:val="-8"/>
          <w:sz w:val="28"/>
          <w:szCs w:val="28"/>
        </w:rPr>
        <w:t>保护区调整方案</w:t>
      </w:r>
      <w:r>
        <w:rPr>
          <w:rFonts w:eastAsia="仿宋"/>
          <w:spacing w:val="-8"/>
          <w:sz w:val="28"/>
          <w:szCs w:val="28"/>
        </w:rPr>
        <w:t>》，</w:t>
      </w:r>
      <w:r>
        <w:rPr>
          <w:rFonts w:hint="eastAsia" w:ascii="仿宋" w:hAnsi="仿宋" w:eastAsia="仿宋"/>
          <w:sz w:val="28"/>
        </w:rPr>
        <w:t>青岩镇龙井沟</w:t>
      </w:r>
      <w:r>
        <w:rPr>
          <w:rFonts w:eastAsia="仿宋"/>
          <w:sz w:val="28"/>
          <w:szCs w:val="28"/>
          <w:shd w:val="clear" w:color="auto" w:fill="FFFFFF"/>
        </w:rPr>
        <w:t>水源</w:t>
      </w:r>
      <w:r>
        <w:rPr>
          <w:rFonts w:eastAsia="仿宋"/>
          <w:spacing w:val="-8"/>
          <w:sz w:val="28"/>
          <w:szCs w:val="28"/>
        </w:rPr>
        <w:t>保护区面积0.3091 km</w:t>
      </w:r>
      <w:r>
        <w:rPr>
          <w:rFonts w:eastAsia="仿宋"/>
          <w:spacing w:val="-8"/>
          <w:sz w:val="28"/>
          <w:szCs w:val="28"/>
          <w:vertAlign w:val="superscript"/>
        </w:rPr>
        <w:t>2</w:t>
      </w:r>
      <w:r>
        <w:rPr>
          <w:rFonts w:eastAsia="仿宋"/>
          <w:spacing w:val="-8"/>
          <w:sz w:val="28"/>
          <w:szCs w:val="28"/>
        </w:rPr>
        <w:t>，其中一级保护区面积0.003 km</w:t>
      </w:r>
      <w:r>
        <w:rPr>
          <w:rFonts w:eastAsia="仿宋"/>
          <w:spacing w:val="-8"/>
          <w:sz w:val="28"/>
          <w:szCs w:val="28"/>
          <w:vertAlign w:val="superscript"/>
        </w:rPr>
        <w:t>2</w:t>
      </w:r>
      <w:r>
        <w:rPr>
          <w:rFonts w:eastAsia="仿宋"/>
          <w:spacing w:val="-8"/>
          <w:sz w:val="28"/>
          <w:szCs w:val="28"/>
        </w:rPr>
        <w:t>，二级保护区面积0.3061km</w:t>
      </w:r>
      <w:r>
        <w:rPr>
          <w:rFonts w:eastAsia="仿宋"/>
          <w:spacing w:val="-8"/>
          <w:sz w:val="28"/>
          <w:szCs w:val="28"/>
          <w:vertAlign w:val="superscript"/>
        </w:rPr>
        <w:t>2</w:t>
      </w:r>
      <w:r>
        <w:rPr>
          <w:rFonts w:hint="eastAsia" w:eastAsia="仿宋"/>
          <w:spacing w:val="-8"/>
          <w:sz w:val="28"/>
          <w:szCs w:val="28"/>
        </w:rPr>
        <w:t>，</w:t>
      </w:r>
      <w:r>
        <w:rPr>
          <w:rFonts w:eastAsia="仿宋"/>
          <w:sz w:val="28"/>
          <w:szCs w:val="28"/>
        </w:rPr>
        <w:t>保护区划分见附图9</w:t>
      </w:r>
      <w:r>
        <w:rPr>
          <w:rFonts w:hint="eastAsia" w:eastAsia="仿宋"/>
          <w:sz w:val="28"/>
          <w:szCs w:val="28"/>
        </w:rPr>
        <w:t>和</w:t>
      </w:r>
      <w:r>
        <w:rPr>
          <w:rFonts w:eastAsia="仿宋"/>
          <w:sz w:val="28"/>
          <w:szCs w:val="28"/>
        </w:rPr>
        <w:t>附图10。</w:t>
      </w:r>
    </w:p>
    <w:p w14:paraId="1CBECD44">
      <w:pPr>
        <w:pStyle w:val="4"/>
        <w:spacing w:before="120" w:after="120"/>
        <w:rPr>
          <w:rFonts w:eastAsia="仿宋"/>
          <w:sz w:val="28"/>
        </w:rPr>
      </w:pPr>
      <w:r>
        <w:rPr>
          <w:rFonts w:eastAsia="仿宋"/>
          <w:sz w:val="28"/>
        </w:rPr>
        <w:t>2.5.2水源地风险分析</w:t>
      </w:r>
    </w:p>
    <w:p w14:paraId="001D9D88">
      <w:pPr>
        <w:autoSpaceDE w:val="0"/>
        <w:autoSpaceDN w:val="0"/>
        <w:adjustRightInd w:val="0"/>
        <w:ind w:firstLine="560" w:firstLineChars="200"/>
        <w:rPr>
          <w:rFonts w:eastAsia="仿宋"/>
          <w:sz w:val="28"/>
          <w:szCs w:val="28"/>
        </w:rPr>
      </w:pPr>
      <w:r>
        <w:rPr>
          <w:rFonts w:eastAsia="仿宋"/>
          <w:sz w:val="28"/>
          <w:szCs w:val="28"/>
        </w:rPr>
        <w:t>（1）固定源环境风险</w:t>
      </w:r>
    </w:p>
    <w:p w14:paraId="7045EE99">
      <w:pPr>
        <w:ind w:firstLine="560" w:firstLineChars="200"/>
        <w:rPr>
          <w:rFonts w:ascii="宋体" w:hAnsi="宋体" w:cs="宋体"/>
          <w:kern w:val="0"/>
          <w:szCs w:val="24"/>
        </w:rPr>
      </w:pPr>
      <w:r>
        <w:rPr>
          <w:rFonts w:hint="eastAsia" w:eastAsia="仿宋"/>
          <w:kern w:val="0"/>
          <w:sz w:val="28"/>
          <w:szCs w:val="28"/>
        </w:rPr>
        <w:t>根据实地调查，</w:t>
      </w:r>
      <w:r>
        <w:rPr>
          <w:rFonts w:hint="eastAsia" w:eastAsia="仿宋"/>
          <w:spacing w:val="-8"/>
          <w:sz w:val="28"/>
          <w:szCs w:val="28"/>
        </w:rPr>
        <w:t>青岩镇海爬井水源</w:t>
      </w:r>
      <w:r>
        <w:rPr>
          <w:rFonts w:hint="eastAsia" w:eastAsia="仿宋"/>
          <w:kern w:val="0"/>
          <w:sz w:val="28"/>
          <w:szCs w:val="28"/>
        </w:rPr>
        <w:t>保护区内</w:t>
      </w:r>
      <w:r>
        <w:rPr>
          <w:rFonts w:hint="eastAsia" w:eastAsia="仿宋"/>
          <w:spacing w:val="-8"/>
          <w:sz w:val="28"/>
          <w:szCs w:val="28"/>
        </w:rPr>
        <w:t>存在青岩豆腐加工厂、青岩猪脚加工厂、米粉加工厂以及9家汽修厂，污水直接排放。</w:t>
      </w:r>
      <w:r>
        <w:rPr>
          <w:rFonts w:hint="eastAsia" w:eastAsia="仿宋"/>
          <w:kern w:val="0"/>
          <w:sz w:val="28"/>
          <w:szCs w:val="28"/>
        </w:rPr>
        <w:t>保护区内</w:t>
      </w:r>
      <w:r>
        <w:rPr>
          <w:rFonts w:hint="eastAsia" w:eastAsia="仿宋"/>
          <w:spacing w:val="-8"/>
          <w:sz w:val="28"/>
          <w:szCs w:val="28"/>
        </w:rPr>
        <w:t>无规模化养殖，但</w:t>
      </w:r>
      <w:r>
        <w:rPr>
          <w:rFonts w:eastAsia="仿宋"/>
          <w:spacing w:val="-8"/>
          <w:sz w:val="28"/>
          <w:szCs w:val="28"/>
        </w:rPr>
        <w:t>有农户进行的分散畜禽养殖，</w:t>
      </w:r>
      <w:r>
        <w:rPr>
          <w:rFonts w:hint="eastAsia" w:eastAsia="仿宋"/>
          <w:spacing w:val="-8"/>
          <w:sz w:val="28"/>
          <w:szCs w:val="28"/>
        </w:rPr>
        <w:t>共养殖猪100头</w:t>
      </w:r>
      <w:r>
        <w:rPr>
          <w:rFonts w:eastAsia="仿宋"/>
          <w:spacing w:val="-8"/>
          <w:sz w:val="28"/>
          <w:szCs w:val="28"/>
        </w:rPr>
        <w:t>。按照排污系数估算，主要污染物产生量为COD</w:t>
      </w:r>
      <w:r>
        <w:rPr>
          <w:rFonts w:hint="eastAsia" w:eastAsia="仿宋"/>
          <w:spacing w:val="-8"/>
          <w:sz w:val="28"/>
          <w:szCs w:val="28"/>
        </w:rPr>
        <w:t>1.83</w:t>
      </w:r>
      <w:r>
        <w:rPr>
          <w:rFonts w:eastAsia="仿宋"/>
          <w:spacing w:val="-8"/>
          <w:sz w:val="28"/>
          <w:szCs w:val="28"/>
        </w:rPr>
        <w:t>吨/年，氨氮</w:t>
      </w:r>
      <w:r>
        <w:rPr>
          <w:rFonts w:hint="eastAsia" w:eastAsia="仿宋"/>
          <w:spacing w:val="-8"/>
          <w:sz w:val="28"/>
          <w:szCs w:val="28"/>
        </w:rPr>
        <w:t>0.117</w:t>
      </w:r>
      <w:r>
        <w:rPr>
          <w:rFonts w:eastAsia="仿宋"/>
          <w:spacing w:val="-8"/>
          <w:sz w:val="28"/>
          <w:szCs w:val="28"/>
        </w:rPr>
        <w:t>吨/年。养殖废水量小，收集后主要用于农田灌溉，对地下水水质影响较小。</w:t>
      </w:r>
    </w:p>
    <w:p w14:paraId="28B5F6D8">
      <w:pPr>
        <w:ind w:firstLine="560" w:firstLineChars="200"/>
        <w:rPr>
          <w:rFonts w:eastAsia="仿宋"/>
          <w:sz w:val="28"/>
          <w:szCs w:val="28"/>
        </w:rPr>
      </w:pPr>
      <w:r>
        <w:rPr>
          <w:rFonts w:eastAsia="仿宋"/>
          <w:sz w:val="28"/>
          <w:szCs w:val="28"/>
        </w:rPr>
        <w:t>（2）流动源环境风险</w:t>
      </w:r>
    </w:p>
    <w:p w14:paraId="28D12CCA">
      <w:pPr>
        <w:autoSpaceDE w:val="0"/>
        <w:autoSpaceDN w:val="0"/>
        <w:adjustRightInd w:val="0"/>
        <w:ind w:firstLine="560" w:firstLineChars="200"/>
        <w:rPr>
          <w:rFonts w:eastAsia="仿宋"/>
          <w:kern w:val="0"/>
          <w:sz w:val="28"/>
          <w:szCs w:val="28"/>
        </w:rPr>
      </w:pPr>
      <w:r>
        <w:rPr>
          <w:rFonts w:hint="eastAsia" w:eastAsia="仿宋"/>
          <w:kern w:val="0"/>
          <w:sz w:val="28"/>
          <w:szCs w:val="28"/>
        </w:rPr>
        <w:t>据现场调查，有S101省道穿越二级保护区970米、旅游环线穿越二级保护区5</w:t>
      </w:r>
      <w:r>
        <w:rPr>
          <w:rFonts w:hint="eastAsia" w:ascii="仿宋" w:hAnsi="仿宋" w:eastAsia="仿宋"/>
          <w:kern w:val="0"/>
          <w:sz w:val="28"/>
          <w:szCs w:val="28"/>
        </w:rPr>
        <w:t>00米，交通事故发生将会给水源地带来一定风险，另外还有通村道路经过，</w:t>
      </w:r>
      <w:r>
        <w:rPr>
          <w:rFonts w:ascii="仿宋" w:hAnsi="仿宋" w:eastAsia="仿宋"/>
          <w:sz w:val="28"/>
          <w:szCs w:val="28"/>
        </w:rPr>
        <w:t>村民通常使用农用车、摩托车作为交通运输的主要工具运送农用化肥、农药等。水源地道路交通防范设施较为简陋，若发生意外事故时，可能存在污染保护区水体的情况</w:t>
      </w:r>
      <w:r>
        <w:rPr>
          <w:rFonts w:hint="eastAsia" w:ascii="仿宋" w:hAnsi="仿宋" w:eastAsia="仿宋"/>
          <w:sz w:val="28"/>
          <w:szCs w:val="28"/>
        </w:rPr>
        <w:t>，</w:t>
      </w:r>
      <w:r>
        <w:rPr>
          <w:rFonts w:hint="eastAsia" w:ascii="仿宋" w:hAnsi="仿宋" w:eastAsia="仿宋"/>
          <w:kern w:val="0"/>
          <w:sz w:val="28"/>
          <w:szCs w:val="28"/>
        </w:rPr>
        <w:t>因此</w:t>
      </w:r>
      <w:r>
        <w:rPr>
          <w:rFonts w:hint="eastAsia" w:eastAsia="仿宋"/>
          <w:kern w:val="0"/>
          <w:sz w:val="28"/>
          <w:szCs w:val="28"/>
        </w:rPr>
        <w:t>需严加防范。</w:t>
      </w:r>
    </w:p>
    <w:p w14:paraId="576C892F">
      <w:pPr>
        <w:autoSpaceDE w:val="0"/>
        <w:autoSpaceDN w:val="0"/>
        <w:adjustRightInd w:val="0"/>
        <w:ind w:firstLine="560" w:firstLineChars="200"/>
        <w:rPr>
          <w:rFonts w:eastAsia="仿宋"/>
          <w:sz w:val="28"/>
          <w:szCs w:val="28"/>
        </w:rPr>
      </w:pPr>
      <w:r>
        <w:rPr>
          <w:rFonts w:eastAsia="仿宋"/>
          <w:sz w:val="28"/>
          <w:szCs w:val="28"/>
        </w:rPr>
        <w:t>（3）面源环境风险</w:t>
      </w:r>
    </w:p>
    <w:p w14:paraId="7DA19D86">
      <w:pPr>
        <w:autoSpaceDE w:val="0"/>
        <w:autoSpaceDN w:val="0"/>
        <w:adjustRightInd w:val="0"/>
        <w:ind w:firstLine="528" w:firstLineChars="200"/>
        <w:jc w:val="left"/>
        <w:rPr>
          <w:kern w:val="0"/>
          <w:szCs w:val="24"/>
        </w:rPr>
      </w:pPr>
      <w:r>
        <w:rPr>
          <w:rFonts w:hint="eastAsia" w:eastAsia="仿宋"/>
          <w:spacing w:val="-8"/>
          <w:sz w:val="28"/>
          <w:szCs w:val="28"/>
        </w:rPr>
        <w:t>青岩镇海爬井水源地</w:t>
      </w:r>
      <w:r>
        <w:rPr>
          <w:rFonts w:eastAsia="仿宋"/>
          <w:spacing w:val="-8"/>
          <w:sz w:val="28"/>
          <w:szCs w:val="28"/>
        </w:rPr>
        <w:t>一级保护区内无人口分布，二级保护区范围有人口分布52户，196人。</w:t>
      </w:r>
      <w:r>
        <w:rPr>
          <w:rFonts w:hint="eastAsia" w:eastAsia="仿宋"/>
          <w:spacing w:val="-8"/>
          <w:sz w:val="28"/>
          <w:szCs w:val="28"/>
        </w:rPr>
        <w:t>依据</w:t>
      </w:r>
      <w:r>
        <w:rPr>
          <w:rFonts w:eastAsia="仿宋"/>
          <w:spacing w:val="-8"/>
          <w:sz w:val="28"/>
          <w:szCs w:val="28"/>
        </w:rPr>
        <w:t>产污系数估算结果表明，生活污水排放总量为15.68t/d，生活COD 产生量为0.36 吨/年，NH3-N 产生量0.29吨/年。农村生活垃圾按每人每天0.8kg/(人·d)计算，生活污染物排放量57.23（吨/年）</w:t>
      </w:r>
      <w:r>
        <w:rPr>
          <w:rFonts w:hint="eastAsia" w:eastAsia="仿宋"/>
          <w:spacing w:val="-8"/>
          <w:sz w:val="28"/>
          <w:szCs w:val="28"/>
        </w:rPr>
        <w:t>。</w:t>
      </w:r>
      <w:r>
        <w:rPr>
          <w:rFonts w:eastAsia="仿宋"/>
          <w:spacing w:val="-8"/>
          <w:sz w:val="28"/>
          <w:szCs w:val="28"/>
        </w:rPr>
        <w:t>生活废水主要用于农田灌溉，对水源地水质影响较小。</w:t>
      </w:r>
    </w:p>
    <w:p w14:paraId="4336EA0E">
      <w:pPr>
        <w:adjustRightInd w:val="0"/>
        <w:snapToGrid w:val="0"/>
        <w:ind w:firstLine="560" w:firstLineChars="200"/>
        <w:rPr>
          <w:rFonts w:eastAsia="仿宋"/>
          <w:sz w:val="28"/>
          <w:szCs w:val="28"/>
        </w:rPr>
      </w:pPr>
      <w:r>
        <w:rPr>
          <w:rFonts w:hint="eastAsia" w:eastAsia="仿宋"/>
          <w:sz w:val="28"/>
          <w:szCs w:val="28"/>
        </w:rPr>
        <w:t>水源地保护区内存在一定的水田和旱地，种植水稻、玉米、马铃薯、大豆、油菜等农作物。</w:t>
      </w:r>
      <w:r>
        <w:rPr>
          <w:rFonts w:eastAsia="仿宋"/>
          <w:sz w:val="28"/>
          <w:szCs w:val="28"/>
        </w:rPr>
        <w:t>在农业生产活动中，由于施肥、施药等生产行为造成氮和磷等营养物质、农药、重金属及其他有机和无机污染物质、土壤颗粒等沉积物通过农田地表径流和地下渗漏方式将进入水体，从而对水质产生不利影响。</w:t>
      </w:r>
    </w:p>
    <w:p w14:paraId="405C1D93">
      <w:pPr>
        <w:ind w:firstLine="560" w:firstLineChars="200"/>
        <w:rPr>
          <w:rFonts w:eastAsia="仿宋"/>
          <w:sz w:val="28"/>
          <w:szCs w:val="28"/>
        </w:rPr>
      </w:pPr>
      <w:r>
        <w:rPr>
          <w:rFonts w:hint="eastAsia" w:eastAsia="仿宋"/>
          <w:sz w:val="28"/>
          <w:szCs w:val="28"/>
        </w:rPr>
        <w:t>该水源地环境风险主要来自上游地区农村生活污染、农业面源污染、畜禽养殖污染和工业企业排放污染等，风险还来自S101省道和新建旅游环线交通事故等</w:t>
      </w:r>
      <w:r>
        <w:rPr>
          <w:rFonts w:eastAsia="仿宋"/>
          <w:sz w:val="28"/>
          <w:szCs w:val="28"/>
        </w:rPr>
        <w:t>流动源环境风险</w:t>
      </w:r>
      <w:r>
        <w:rPr>
          <w:rFonts w:hint="eastAsia" w:eastAsia="仿宋"/>
          <w:sz w:val="28"/>
          <w:szCs w:val="28"/>
        </w:rPr>
        <w:t>，可能会造成水体污染，需加以防范。</w:t>
      </w:r>
    </w:p>
    <w:p w14:paraId="344781C6">
      <w:pPr>
        <w:pStyle w:val="3"/>
        <w:spacing w:line="560" w:lineRule="exact"/>
        <w:rPr>
          <w:rFonts w:eastAsia="仿宋"/>
          <w:sz w:val="32"/>
        </w:rPr>
      </w:pPr>
      <w:bookmarkStart w:id="30" w:name="_Toc60930769"/>
      <w:r>
        <w:rPr>
          <w:rFonts w:eastAsia="仿宋"/>
          <w:sz w:val="32"/>
        </w:rPr>
        <w:t>2.6</w:t>
      </w:r>
      <w:r>
        <w:rPr>
          <w:rFonts w:hint="eastAsia" w:eastAsia="仿宋"/>
          <w:sz w:val="32"/>
        </w:rPr>
        <w:t>青岩镇龙潭水源</w:t>
      </w:r>
      <w:bookmarkEnd w:id="30"/>
    </w:p>
    <w:p w14:paraId="2671BAF4">
      <w:pPr>
        <w:pStyle w:val="4"/>
        <w:spacing w:before="120" w:after="120" w:line="600" w:lineRule="exact"/>
        <w:rPr>
          <w:rFonts w:eastAsia="仿宋"/>
          <w:sz w:val="28"/>
        </w:rPr>
      </w:pPr>
      <w:r>
        <w:rPr>
          <w:rFonts w:eastAsia="仿宋"/>
          <w:sz w:val="28"/>
        </w:rPr>
        <w:t>2.6.1水源地基本情况</w:t>
      </w:r>
    </w:p>
    <w:p w14:paraId="573AF44E">
      <w:pPr>
        <w:spacing w:line="600" w:lineRule="exact"/>
        <w:ind w:firstLine="528" w:firstLineChars="200"/>
        <w:rPr>
          <w:rFonts w:eastAsia="仿宋"/>
          <w:spacing w:val="-8"/>
          <w:sz w:val="28"/>
          <w:szCs w:val="28"/>
        </w:rPr>
      </w:pPr>
      <w:r>
        <w:rPr>
          <w:rFonts w:hint="eastAsia" w:eastAsia="仿宋"/>
          <w:spacing w:val="-8"/>
          <w:sz w:val="28"/>
          <w:szCs w:val="28"/>
        </w:rPr>
        <w:t>青岩镇龙潭水源</w:t>
      </w:r>
      <w:r>
        <w:rPr>
          <w:rFonts w:hint="eastAsia" w:ascii="仿宋" w:hAnsi="仿宋" w:eastAsia="仿宋"/>
          <w:sz w:val="28"/>
        </w:rPr>
        <w:t>位于花溪区青岩镇，距离花溪区政府21公里，青岩镇龙潭饮用水源为属于地下水型水源，取水口坐标E106.64627，N26.297356。日供水量为57.26t/d，水源地有水泵1台，扬程为30米，储水池1座，80m³高位水池一座，该水源服务人口2005人，供水区域为龙井村。</w:t>
      </w:r>
      <w:r>
        <w:rPr>
          <w:rFonts w:hint="eastAsia" w:eastAsia="仿宋"/>
          <w:spacing w:val="-8"/>
          <w:sz w:val="28"/>
          <w:szCs w:val="28"/>
        </w:rPr>
        <w:t>青岩镇龙潭水源取水点照片见图2-</w:t>
      </w:r>
      <w:r>
        <w:rPr>
          <w:rFonts w:eastAsia="仿宋"/>
          <w:spacing w:val="-8"/>
          <w:sz w:val="28"/>
          <w:szCs w:val="28"/>
        </w:rPr>
        <w:t>6</w:t>
      </w:r>
      <w:r>
        <w:rPr>
          <w:rFonts w:hint="eastAsia" w:eastAsia="仿宋"/>
          <w:spacing w:val="-8"/>
          <w:sz w:val="28"/>
          <w:szCs w:val="28"/>
        </w:rPr>
        <w:t>。</w:t>
      </w:r>
    </w:p>
    <w:p w14:paraId="5D008716">
      <w:pPr>
        <w:autoSpaceDN w:val="0"/>
        <w:jc w:val="left"/>
        <w:textAlignment w:val="center"/>
        <w:rPr>
          <w:rFonts w:ascii="宋体" w:hAnsi="宋体" w:cs="宋体"/>
          <w:szCs w:val="24"/>
        </w:rPr>
      </w:pPr>
      <w:r>
        <w:rPr>
          <w:szCs w:val="24"/>
        </w:rPr>
        <w:drawing>
          <wp:inline distT="0" distB="0" distL="114300" distR="114300">
            <wp:extent cx="2647950" cy="1985645"/>
            <wp:effectExtent l="0" t="0" r="0" b="0"/>
            <wp:docPr id="26" name="图片 8" descr="周边植被（谷通村龙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8" descr="周边植被（谷通村龙潭）"/>
                    <pic:cNvPicPr>
                      <a:picLocks noChangeAspect="1"/>
                    </pic:cNvPicPr>
                  </pic:nvPicPr>
                  <pic:blipFill>
                    <a:blip r:embed="rId23"/>
                    <a:stretch>
                      <a:fillRect/>
                    </a:stretch>
                  </pic:blipFill>
                  <pic:spPr>
                    <a:xfrm>
                      <a:off x="0" y="0"/>
                      <a:ext cx="2653404" cy="1990234"/>
                    </a:xfrm>
                    <a:prstGeom prst="rect">
                      <a:avLst/>
                    </a:prstGeom>
                    <a:noFill/>
                    <a:ln w="9525">
                      <a:noFill/>
                    </a:ln>
                  </pic:spPr>
                </pic:pic>
              </a:graphicData>
            </a:graphic>
          </wp:inline>
        </w:drawing>
      </w:r>
      <w:r>
        <w:rPr>
          <w:szCs w:val="24"/>
        </w:rPr>
        <w:drawing>
          <wp:inline distT="0" distB="0" distL="114300" distR="114300">
            <wp:extent cx="2649855" cy="1987550"/>
            <wp:effectExtent l="0" t="0" r="0" b="0"/>
            <wp:docPr id="25" name="图片 7" descr="取水泵房2（谷通村龙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7" descr="取水泵房2（谷通村龙潭）"/>
                    <pic:cNvPicPr>
                      <a:picLocks noChangeAspect="1"/>
                    </pic:cNvPicPr>
                  </pic:nvPicPr>
                  <pic:blipFill>
                    <a:blip r:embed="rId24"/>
                    <a:stretch>
                      <a:fillRect/>
                    </a:stretch>
                  </pic:blipFill>
                  <pic:spPr>
                    <a:xfrm>
                      <a:off x="0" y="0"/>
                      <a:ext cx="2663041" cy="1997459"/>
                    </a:xfrm>
                    <a:prstGeom prst="rect">
                      <a:avLst/>
                    </a:prstGeom>
                    <a:noFill/>
                    <a:ln w="9525">
                      <a:noFill/>
                    </a:ln>
                  </pic:spPr>
                </pic:pic>
              </a:graphicData>
            </a:graphic>
          </wp:inline>
        </w:drawing>
      </w:r>
    </w:p>
    <w:p w14:paraId="17149CDE">
      <w:pPr>
        <w:jc w:val="center"/>
        <w:rPr>
          <w:rFonts w:eastAsia="仿宋"/>
          <w:b/>
          <w:spacing w:val="-8"/>
          <w:sz w:val="21"/>
          <w:szCs w:val="21"/>
        </w:rPr>
      </w:pPr>
      <w:r>
        <w:rPr>
          <w:rFonts w:eastAsia="仿宋"/>
          <w:b/>
          <w:spacing w:val="-8"/>
          <w:sz w:val="21"/>
          <w:szCs w:val="21"/>
        </w:rPr>
        <w:t xml:space="preserve">图2-7  </w:t>
      </w:r>
      <w:r>
        <w:rPr>
          <w:rFonts w:hint="eastAsia" w:eastAsia="仿宋"/>
          <w:b/>
          <w:spacing w:val="-8"/>
          <w:sz w:val="21"/>
          <w:szCs w:val="21"/>
        </w:rPr>
        <w:t>青岩镇龙潭水源</w:t>
      </w:r>
      <w:r>
        <w:rPr>
          <w:rFonts w:eastAsia="仿宋"/>
          <w:b/>
          <w:spacing w:val="-8"/>
          <w:sz w:val="21"/>
          <w:szCs w:val="21"/>
        </w:rPr>
        <w:t>取水</w:t>
      </w:r>
      <w:r>
        <w:rPr>
          <w:rFonts w:hint="eastAsia" w:eastAsia="仿宋"/>
          <w:b/>
          <w:spacing w:val="-8"/>
          <w:sz w:val="21"/>
          <w:szCs w:val="21"/>
        </w:rPr>
        <w:t>点</w:t>
      </w:r>
      <w:r>
        <w:rPr>
          <w:rFonts w:eastAsia="仿宋"/>
          <w:b/>
          <w:spacing w:val="-8"/>
          <w:sz w:val="21"/>
          <w:szCs w:val="21"/>
        </w:rPr>
        <w:t>现场照片</w:t>
      </w:r>
    </w:p>
    <w:p w14:paraId="544DB92E">
      <w:pPr>
        <w:autoSpaceDE w:val="0"/>
        <w:autoSpaceDN w:val="0"/>
        <w:adjustRightInd w:val="0"/>
        <w:ind w:firstLine="528" w:firstLineChars="200"/>
        <w:jc w:val="left"/>
        <w:rPr>
          <w:rFonts w:eastAsia="仿宋"/>
          <w:spacing w:val="-8"/>
          <w:sz w:val="28"/>
          <w:szCs w:val="28"/>
        </w:rPr>
      </w:pPr>
      <w:r>
        <w:rPr>
          <w:rFonts w:eastAsia="仿宋"/>
          <w:spacing w:val="-8"/>
          <w:sz w:val="28"/>
          <w:szCs w:val="28"/>
        </w:rPr>
        <w:t>根据</w:t>
      </w:r>
      <w:r>
        <w:rPr>
          <w:rFonts w:hint="eastAsia" w:eastAsia="仿宋"/>
          <w:spacing w:val="-8"/>
          <w:sz w:val="28"/>
          <w:szCs w:val="28"/>
        </w:rPr>
        <w:t>2</w:t>
      </w:r>
      <w:r>
        <w:rPr>
          <w:rFonts w:eastAsia="仿宋"/>
          <w:spacing w:val="-8"/>
          <w:sz w:val="28"/>
          <w:szCs w:val="28"/>
        </w:rPr>
        <w:t>018</w:t>
      </w:r>
      <w:r>
        <w:rPr>
          <w:rFonts w:hint="eastAsia" w:eastAsia="仿宋"/>
          <w:spacing w:val="-8"/>
          <w:sz w:val="28"/>
          <w:szCs w:val="28"/>
        </w:rPr>
        <w:t>年</w:t>
      </w:r>
      <w:r>
        <w:rPr>
          <w:rFonts w:eastAsia="仿宋"/>
          <w:spacing w:val="-8"/>
          <w:sz w:val="28"/>
          <w:szCs w:val="28"/>
        </w:rPr>
        <w:t>12</w:t>
      </w:r>
      <w:r>
        <w:rPr>
          <w:rFonts w:hint="eastAsia" w:eastAsia="仿宋"/>
          <w:spacing w:val="-8"/>
          <w:sz w:val="28"/>
          <w:szCs w:val="28"/>
        </w:rPr>
        <w:t>月</w:t>
      </w:r>
      <w:r>
        <w:rPr>
          <w:rFonts w:eastAsia="仿宋"/>
          <w:spacing w:val="-8"/>
          <w:sz w:val="28"/>
          <w:szCs w:val="28"/>
        </w:rPr>
        <w:t>7</w:t>
      </w:r>
      <w:r>
        <w:rPr>
          <w:rFonts w:hint="eastAsia" w:eastAsia="仿宋"/>
          <w:spacing w:val="-8"/>
          <w:sz w:val="28"/>
          <w:szCs w:val="28"/>
        </w:rPr>
        <w:t>日采样监测结果显示，青岩镇龙潭水源评价范围内的地下水环境质量总体状况为较好（Ⅲ类）。水源地水质pH呈弱碱偏中性，主要是该处自然地质结构状况造成的。监测点位地下水无超标因子，综合评价水源地水质满足《地下水质量标准》（GB/T 14848-</w:t>
      </w:r>
      <w:r>
        <w:rPr>
          <w:rFonts w:eastAsia="仿宋"/>
          <w:spacing w:val="-8"/>
          <w:sz w:val="28"/>
          <w:szCs w:val="28"/>
        </w:rPr>
        <w:t>2017</w:t>
      </w:r>
      <w:r>
        <w:rPr>
          <w:rFonts w:hint="eastAsia" w:eastAsia="仿宋"/>
          <w:spacing w:val="-8"/>
          <w:sz w:val="28"/>
          <w:szCs w:val="28"/>
        </w:rPr>
        <w:t>）中的Ⅲ类标准要求。</w:t>
      </w:r>
    </w:p>
    <w:p w14:paraId="4ED7F3C2">
      <w:pPr>
        <w:ind w:firstLine="528" w:firstLineChars="200"/>
        <w:rPr>
          <w:rFonts w:eastAsia="仿宋"/>
          <w:sz w:val="28"/>
          <w:szCs w:val="28"/>
        </w:rPr>
      </w:pPr>
      <w:r>
        <w:rPr>
          <w:rFonts w:eastAsia="仿宋"/>
          <w:spacing w:val="-8"/>
          <w:sz w:val="28"/>
          <w:szCs w:val="28"/>
        </w:rPr>
        <w:t>根据《花溪区</w:t>
      </w:r>
      <w:r>
        <w:rPr>
          <w:rFonts w:hint="eastAsia" w:eastAsia="仿宋"/>
          <w:spacing w:val="-8"/>
          <w:sz w:val="28"/>
          <w:szCs w:val="28"/>
        </w:rPr>
        <w:t>青岩镇龙潭</w:t>
      </w:r>
      <w:r>
        <w:rPr>
          <w:rFonts w:eastAsia="仿宋"/>
          <w:spacing w:val="-8"/>
          <w:sz w:val="28"/>
          <w:szCs w:val="28"/>
        </w:rPr>
        <w:t>集中式饮用水水源</w:t>
      </w:r>
      <w:r>
        <w:rPr>
          <w:rFonts w:hint="eastAsia" w:eastAsia="仿宋"/>
          <w:spacing w:val="-8"/>
          <w:sz w:val="28"/>
          <w:szCs w:val="28"/>
        </w:rPr>
        <w:t>保护区调整方案</w:t>
      </w:r>
      <w:r>
        <w:rPr>
          <w:rFonts w:eastAsia="仿宋"/>
          <w:spacing w:val="-8"/>
          <w:sz w:val="28"/>
          <w:szCs w:val="28"/>
        </w:rPr>
        <w:t>》，</w:t>
      </w:r>
      <w:r>
        <w:rPr>
          <w:rFonts w:hint="eastAsia" w:eastAsia="仿宋"/>
          <w:spacing w:val="-8"/>
          <w:sz w:val="28"/>
          <w:szCs w:val="28"/>
        </w:rPr>
        <w:t>青岩镇龙潭水源</w:t>
      </w:r>
      <w:r>
        <w:rPr>
          <w:rFonts w:eastAsia="仿宋"/>
          <w:spacing w:val="-8"/>
          <w:sz w:val="28"/>
          <w:szCs w:val="28"/>
        </w:rPr>
        <w:t>保护区面积3.1189 km</w:t>
      </w:r>
      <w:r>
        <w:rPr>
          <w:rFonts w:eastAsia="仿宋"/>
          <w:spacing w:val="-8"/>
          <w:sz w:val="28"/>
          <w:szCs w:val="28"/>
          <w:vertAlign w:val="superscript"/>
        </w:rPr>
        <w:t>2</w:t>
      </w:r>
      <w:r>
        <w:rPr>
          <w:rFonts w:eastAsia="仿宋"/>
          <w:spacing w:val="-8"/>
          <w:sz w:val="28"/>
          <w:szCs w:val="28"/>
        </w:rPr>
        <w:t>，其中一级保护区面积0.2338 km</w:t>
      </w:r>
      <w:r>
        <w:rPr>
          <w:rFonts w:eastAsia="仿宋"/>
          <w:spacing w:val="-8"/>
          <w:sz w:val="28"/>
          <w:szCs w:val="28"/>
          <w:vertAlign w:val="superscript"/>
        </w:rPr>
        <w:t>2</w:t>
      </w:r>
      <w:r>
        <w:rPr>
          <w:rFonts w:eastAsia="仿宋"/>
          <w:spacing w:val="-8"/>
          <w:sz w:val="28"/>
          <w:szCs w:val="28"/>
        </w:rPr>
        <w:t>，二级保护区面积2.8851 km</w:t>
      </w:r>
      <w:r>
        <w:rPr>
          <w:rFonts w:eastAsia="仿宋"/>
          <w:spacing w:val="-8"/>
          <w:sz w:val="28"/>
          <w:szCs w:val="28"/>
          <w:vertAlign w:val="superscript"/>
        </w:rPr>
        <w:t>2</w:t>
      </w:r>
      <w:r>
        <w:rPr>
          <w:rFonts w:hint="eastAsia" w:eastAsia="仿宋"/>
          <w:spacing w:val="-8"/>
          <w:sz w:val="28"/>
          <w:szCs w:val="28"/>
        </w:rPr>
        <w:t>，</w:t>
      </w:r>
      <w:r>
        <w:rPr>
          <w:rFonts w:eastAsia="仿宋"/>
          <w:sz w:val="28"/>
          <w:szCs w:val="28"/>
        </w:rPr>
        <w:t>保护区划分见附图11</w:t>
      </w:r>
      <w:r>
        <w:rPr>
          <w:rFonts w:hint="eastAsia" w:eastAsia="仿宋"/>
          <w:sz w:val="28"/>
          <w:szCs w:val="28"/>
        </w:rPr>
        <w:t>和</w:t>
      </w:r>
      <w:r>
        <w:rPr>
          <w:rFonts w:eastAsia="仿宋"/>
          <w:sz w:val="28"/>
          <w:szCs w:val="28"/>
        </w:rPr>
        <w:t>附图12。</w:t>
      </w:r>
    </w:p>
    <w:p w14:paraId="591984AC">
      <w:pPr>
        <w:pStyle w:val="4"/>
        <w:spacing w:before="120" w:after="120"/>
        <w:rPr>
          <w:rFonts w:eastAsia="仿宋"/>
          <w:sz w:val="28"/>
        </w:rPr>
      </w:pPr>
      <w:r>
        <w:rPr>
          <w:rFonts w:eastAsia="仿宋"/>
          <w:sz w:val="28"/>
        </w:rPr>
        <w:t>2.6.2水源地风险分析</w:t>
      </w:r>
    </w:p>
    <w:p w14:paraId="1BF9AA6B">
      <w:pPr>
        <w:autoSpaceDE w:val="0"/>
        <w:autoSpaceDN w:val="0"/>
        <w:adjustRightInd w:val="0"/>
        <w:ind w:firstLine="560" w:firstLineChars="200"/>
        <w:rPr>
          <w:rFonts w:eastAsia="仿宋"/>
          <w:sz w:val="28"/>
          <w:szCs w:val="28"/>
        </w:rPr>
      </w:pPr>
      <w:r>
        <w:rPr>
          <w:rFonts w:eastAsia="仿宋"/>
          <w:sz w:val="28"/>
          <w:szCs w:val="28"/>
        </w:rPr>
        <w:t>（1）固定源环境风险</w:t>
      </w:r>
    </w:p>
    <w:p w14:paraId="3F06BF89">
      <w:pPr>
        <w:ind w:firstLine="560" w:firstLineChars="200"/>
        <w:rPr>
          <w:rFonts w:eastAsia="仿宋"/>
          <w:sz w:val="28"/>
          <w:szCs w:val="28"/>
        </w:rPr>
      </w:pPr>
      <w:r>
        <w:rPr>
          <w:rFonts w:hint="eastAsia" w:eastAsia="仿宋"/>
          <w:kern w:val="0"/>
          <w:sz w:val="28"/>
          <w:szCs w:val="28"/>
        </w:rPr>
        <w:t>根据实地调查，</w:t>
      </w:r>
      <w:r>
        <w:rPr>
          <w:rFonts w:hint="eastAsia" w:eastAsia="仿宋"/>
          <w:spacing w:val="-8"/>
          <w:sz w:val="28"/>
          <w:szCs w:val="28"/>
        </w:rPr>
        <w:t>青岩镇龙潭水源</w:t>
      </w:r>
      <w:r>
        <w:rPr>
          <w:rFonts w:hint="eastAsia" w:eastAsia="仿宋"/>
          <w:kern w:val="0"/>
          <w:sz w:val="28"/>
          <w:szCs w:val="28"/>
        </w:rPr>
        <w:t>保护区内未有煤矿、石化、砂石、规模化养殖场、污水处理厂等工矿企业及垃圾场、排污口、尾矿库等环境卫生设施，因此不存在固定源污染情况。</w:t>
      </w:r>
    </w:p>
    <w:p w14:paraId="3746117D">
      <w:pPr>
        <w:autoSpaceDE w:val="0"/>
        <w:autoSpaceDN w:val="0"/>
        <w:adjustRightInd w:val="0"/>
        <w:ind w:firstLine="560" w:firstLineChars="200"/>
        <w:rPr>
          <w:rFonts w:eastAsia="仿宋"/>
          <w:sz w:val="28"/>
          <w:szCs w:val="28"/>
        </w:rPr>
      </w:pPr>
      <w:r>
        <w:rPr>
          <w:rFonts w:eastAsia="仿宋"/>
          <w:sz w:val="28"/>
          <w:szCs w:val="28"/>
        </w:rPr>
        <w:t>（2）流动源环境风险</w:t>
      </w:r>
    </w:p>
    <w:p w14:paraId="09F1CB5C">
      <w:pPr>
        <w:autoSpaceDE w:val="0"/>
        <w:autoSpaceDN w:val="0"/>
        <w:adjustRightInd w:val="0"/>
        <w:ind w:firstLine="560" w:firstLineChars="200"/>
        <w:rPr>
          <w:rFonts w:eastAsia="仿宋"/>
          <w:kern w:val="0"/>
          <w:sz w:val="28"/>
          <w:szCs w:val="28"/>
        </w:rPr>
      </w:pPr>
      <w:r>
        <w:rPr>
          <w:rFonts w:hint="eastAsia" w:eastAsia="仿宋"/>
          <w:kern w:val="0"/>
          <w:sz w:val="28"/>
          <w:szCs w:val="28"/>
        </w:rPr>
        <w:t>据现场调查，</w:t>
      </w:r>
      <w:r>
        <w:rPr>
          <w:rFonts w:hint="eastAsia" w:eastAsia="仿宋"/>
          <w:spacing w:val="-8"/>
          <w:sz w:val="28"/>
          <w:szCs w:val="28"/>
        </w:rPr>
        <w:t>青岩</w:t>
      </w:r>
      <w:r>
        <w:rPr>
          <w:rFonts w:hint="eastAsia" w:ascii="仿宋" w:hAnsi="仿宋" w:eastAsia="仿宋"/>
          <w:spacing w:val="-8"/>
          <w:sz w:val="28"/>
          <w:szCs w:val="28"/>
        </w:rPr>
        <w:t>镇龙潭</w:t>
      </w:r>
      <w:r>
        <w:rPr>
          <w:rFonts w:hint="eastAsia" w:ascii="仿宋" w:hAnsi="仿宋" w:eastAsia="仿宋"/>
          <w:sz w:val="28"/>
          <w:szCs w:val="28"/>
        </w:rPr>
        <w:t>水源地二级保护区有农村道路通过，</w:t>
      </w:r>
      <w:r>
        <w:rPr>
          <w:rFonts w:ascii="仿宋" w:hAnsi="仿宋" w:eastAsia="仿宋"/>
          <w:sz w:val="28"/>
          <w:szCs w:val="28"/>
        </w:rPr>
        <w:t>村民通常使用农用车、摩托车作为交通运输的主要工具运送农用化肥、农药等。水源地道路交通防范设施较为简陋，若发生意外事故时，可能存在污染保护区水体的情况。</w:t>
      </w:r>
    </w:p>
    <w:p w14:paraId="6EC612D5">
      <w:pPr>
        <w:autoSpaceDE w:val="0"/>
        <w:autoSpaceDN w:val="0"/>
        <w:adjustRightInd w:val="0"/>
        <w:ind w:firstLine="560" w:firstLineChars="200"/>
        <w:rPr>
          <w:rFonts w:eastAsia="仿宋"/>
          <w:sz w:val="28"/>
          <w:szCs w:val="28"/>
        </w:rPr>
      </w:pPr>
      <w:r>
        <w:rPr>
          <w:rFonts w:eastAsia="仿宋"/>
          <w:sz w:val="28"/>
          <w:szCs w:val="28"/>
        </w:rPr>
        <w:t>（3）面源环境风险</w:t>
      </w:r>
    </w:p>
    <w:p w14:paraId="0F9D691A">
      <w:pPr>
        <w:adjustRightInd w:val="0"/>
        <w:snapToGrid w:val="0"/>
        <w:ind w:firstLine="528" w:firstLineChars="200"/>
        <w:rPr>
          <w:rFonts w:eastAsia="仿宋"/>
          <w:sz w:val="28"/>
          <w:szCs w:val="28"/>
        </w:rPr>
      </w:pPr>
      <w:r>
        <w:rPr>
          <w:rFonts w:hint="eastAsia" w:eastAsia="仿宋"/>
          <w:spacing w:val="-8"/>
          <w:sz w:val="28"/>
          <w:szCs w:val="28"/>
        </w:rPr>
        <w:t>青岩镇龙潭</w:t>
      </w:r>
      <w:r>
        <w:rPr>
          <w:rFonts w:hint="eastAsia" w:eastAsia="仿宋"/>
          <w:sz w:val="28"/>
          <w:szCs w:val="28"/>
        </w:rPr>
        <w:t>水源地</w:t>
      </w:r>
      <w:r>
        <w:rPr>
          <w:rFonts w:eastAsia="仿宋"/>
          <w:sz w:val="28"/>
          <w:szCs w:val="28"/>
        </w:rPr>
        <w:t>一级保护区</w:t>
      </w:r>
      <w:r>
        <w:rPr>
          <w:rFonts w:hint="eastAsia" w:eastAsia="仿宋"/>
          <w:sz w:val="28"/>
          <w:szCs w:val="28"/>
        </w:rPr>
        <w:t>有人口分布9户，36人</w:t>
      </w:r>
      <w:r>
        <w:rPr>
          <w:rFonts w:eastAsia="仿宋"/>
          <w:sz w:val="28"/>
          <w:szCs w:val="28"/>
        </w:rPr>
        <w:t>，二级保护区范围有人口分布180户，750人。产污系数估算结果表明，生活污水排放总量为</w:t>
      </w:r>
      <w:r>
        <w:rPr>
          <w:rFonts w:hint="eastAsia" w:eastAsia="仿宋"/>
          <w:sz w:val="28"/>
          <w:szCs w:val="28"/>
        </w:rPr>
        <w:t>62.88</w:t>
      </w:r>
      <w:r>
        <w:rPr>
          <w:rFonts w:eastAsia="仿宋"/>
          <w:sz w:val="28"/>
          <w:szCs w:val="28"/>
        </w:rPr>
        <w:t>t/d，生活COD 产生量为</w:t>
      </w:r>
      <w:r>
        <w:rPr>
          <w:rFonts w:hint="eastAsia" w:eastAsia="仿宋"/>
          <w:sz w:val="28"/>
          <w:szCs w:val="28"/>
        </w:rPr>
        <w:t>4.70</w:t>
      </w:r>
      <w:r>
        <w:rPr>
          <w:rFonts w:eastAsia="仿宋"/>
          <w:sz w:val="28"/>
          <w:szCs w:val="28"/>
        </w:rPr>
        <w:t>吨/年，NH3-N 产生量</w:t>
      </w:r>
      <w:r>
        <w:rPr>
          <w:rFonts w:hint="eastAsia" w:eastAsia="仿宋"/>
          <w:sz w:val="28"/>
          <w:szCs w:val="28"/>
        </w:rPr>
        <w:t>1.15</w:t>
      </w:r>
      <w:r>
        <w:rPr>
          <w:rFonts w:eastAsia="仿宋"/>
          <w:sz w:val="28"/>
          <w:szCs w:val="28"/>
        </w:rPr>
        <w:t>吨/年。调查范围内生活源主要为分散农户，生活废水主要用于农田灌溉，对水源地水质影响较小。农村生活垃圾按每人每天0.8kg/(人·d)计算，生活污染物排放量</w:t>
      </w:r>
      <w:r>
        <w:rPr>
          <w:rFonts w:hint="eastAsia" w:eastAsia="仿宋"/>
          <w:sz w:val="28"/>
          <w:szCs w:val="28"/>
        </w:rPr>
        <w:t>229.51</w:t>
      </w:r>
      <w:r>
        <w:rPr>
          <w:rFonts w:eastAsia="仿宋"/>
          <w:sz w:val="28"/>
          <w:szCs w:val="28"/>
        </w:rPr>
        <w:t>吨/年</w:t>
      </w:r>
      <w:r>
        <w:rPr>
          <w:rFonts w:hint="eastAsia" w:eastAsia="仿宋"/>
          <w:sz w:val="28"/>
          <w:szCs w:val="28"/>
        </w:rPr>
        <w:t>。</w:t>
      </w:r>
    </w:p>
    <w:p w14:paraId="4BF2EACB">
      <w:pPr>
        <w:adjustRightInd w:val="0"/>
        <w:snapToGrid w:val="0"/>
        <w:ind w:firstLine="560" w:firstLineChars="200"/>
        <w:rPr>
          <w:rFonts w:eastAsia="仿宋"/>
          <w:sz w:val="28"/>
          <w:szCs w:val="28"/>
        </w:rPr>
      </w:pPr>
      <w:r>
        <w:rPr>
          <w:rFonts w:hint="eastAsia" w:eastAsia="仿宋"/>
          <w:sz w:val="28"/>
          <w:szCs w:val="28"/>
        </w:rPr>
        <w:t>水源地保护区内存在一定的水田和旱地，种植水稻、玉米、马铃薯、大豆、油菜等农作物。</w:t>
      </w:r>
      <w:r>
        <w:rPr>
          <w:rFonts w:eastAsia="仿宋"/>
          <w:sz w:val="28"/>
          <w:szCs w:val="28"/>
        </w:rPr>
        <w:t>在农业生产活动中，由于施肥、施药等生产行为造成氮和磷等营养物质、农药、重金属及其他有机和无机污染物质、土壤颗粒等沉积物通过农田地表径流和地下渗漏方式将进入水体，从而对水质产生不利影响。</w:t>
      </w:r>
    </w:p>
    <w:p w14:paraId="73659D9E">
      <w:pPr>
        <w:ind w:firstLine="560" w:firstLineChars="200"/>
        <w:rPr>
          <w:rFonts w:eastAsia="仿宋"/>
          <w:sz w:val="28"/>
          <w:szCs w:val="28"/>
        </w:rPr>
      </w:pPr>
      <w:r>
        <w:rPr>
          <w:rFonts w:hint="eastAsia" w:eastAsia="仿宋"/>
          <w:sz w:val="28"/>
          <w:szCs w:val="28"/>
        </w:rPr>
        <w:t>该水源地环境风险主要来自上游地区农业面源污染和</w:t>
      </w:r>
      <w:r>
        <w:rPr>
          <w:rFonts w:eastAsia="仿宋"/>
          <w:sz w:val="28"/>
          <w:szCs w:val="28"/>
        </w:rPr>
        <w:t>流动源环境风险</w:t>
      </w:r>
      <w:r>
        <w:rPr>
          <w:rFonts w:hint="eastAsia" w:eastAsia="仿宋"/>
          <w:sz w:val="28"/>
          <w:szCs w:val="28"/>
        </w:rPr>
        <w:t>等，污染风险极小，仍需加以防范。</w:t>
      </w:r>
    </w:p>
    <w:p w14:paraId="20A4CB4C">
      <w:pPr>
        <w:pStyle w:val="3"/>
        <w:spacing w:line="560" w:lineRule="exact"/>
        <w:rPr>
          <w:rFonts w:eastAsia="仿宋"/>
          <w:sz w:val="32"/>
        </w:rPr>
      </w:pPr>
      <w:bookmarkStart w:id="31" w:name="_Toc60930770"/>
      <w:r>
        <w:rPr>
          <w:rFonts w:eastAsia="仿宋"/>
          <w:sz w:val="32"/>
        </w:rPr>
        <w:t>2.7</w:t>
      </w:r>
      <w:r>
        <w:rPr>
          <w:rFonts w:hint="eastAsia" w:eastAsia="仿宋"/>
          <w:sz w:val="32"/>
        </w:rPr>
        <w:t>燕楼镇燕鲁小燕河水源</w:t>
      </w:r>
      <w:bookmarkEnd w:id="31"/>
    </w:p>
    <w:p w14:paraId="3BF9DF9E">
      <w:pPr>
        <w:pStyle w:val="4"/>
        <w:spacing w:before="120" w:after="120" w:line="600" w:lineRule="exact"/>
        <w:rPr>
          <w:rFonts w:eastAsia="仿宋"/>
          <w:sz w:val="28"/>
        </w:rPr>
      </w:pPr>
      <w:r>
        <w:rPr>
          <w:rFonts w:eastAsia="仿宋"/>
          <w:sz w:val="28"/>
        </w:rPr>
        <w:t>2.7.1水源地基本情况</w:t>
      </w:r>
    </w:p>
    <w:p w14:paraId="29D76CA7">
      <w:pPr>
        <w:spacing w:line="600" w:lineRule="exact"/>
        <w:ind w:firstLine="560" w:firstLineChars="200"/>
        <w:rPr>
          <w:rFonts w:eastAsia="仿宋"/>
          <w:spacing w:val="-8"/>
          <w:sz w:val="28"/>
          <w:szCs w:val="28"/>
        </w:rPr>
      </w:pPr>
      <w:r>
        <w:rPr>
          <w:rFonts w:hint="eastAsia" w:ascii="仿宋" w:hAnsi="仿宋" w:eastAsia="仿宋"/>
          <w:sz w:val="28"/>
        </w:rPr>
        <w:t>燕楼镇燕鲁小燕河水源位于花溪区燕楼镇，距花溪14公里，距省会城市贵阳市中心27公里，燕鲁小燕河饮用水源为属于地下水型水源，地理位置</w:t>
      </w:r>
      <w:r>
        <w:rPr>
          <w:rFonts w:ascii="仿宋" w:hAnsi="仿宋" w:eastAsia="仿宋"/>
          <w:sz w:val="28"/>
        </w:rPr>
        <w:t>N26</w:t>
      </w:r>
      <w:r>
        <w:rPr>
          <w:rFonts w:hint="eastAsia" w:ascii="仿宋" w:hAnsi="仿宋" w:eastAsia="仿宋"/>
          <w:sz w:val="28"/>
        </w:rPr>
        <w:t>.340695、</w:t>
      </w:r>
      <w:r>
        <w:rPr>
          <w:rFonts w:ascii="仿宋" w:hAnsi="仿宋" w:eastAsia="仿宋"/>
          <w:sz w:val="28"/>
        </w:rPr>
        <w:t>E</w:t>
      </w:r>
      <w:r>
        <w:rPr>
          <w:rFonts w:hint="eastAsia" w:ascii="仿宋" w:hAnsi="仿宋" w:eastAsia="仿宋"/>
          <w:sz w:val="28"/>
        </w:rPr>
        <w:t>106.603896。供水量为260t/d，水源地有水泵2台，扬程为75米，储水池一座，100m³高位水池一座，该水源服务人口5000人，目前取水量为160t/d，供水区域为燕楼镇集镇以及谷蒙村，燕楼镇燕鲁小燕河水源</w:t>
      </w:r>
      <w:r>
        <w:rPr>
          <w:rFonts w:hint="eastAsia" w:eastAsia="仿宋"/>
          <w:spacing w:val="-8"/>
          <w:sz w:val="28"/>
          <w:szCs w:val="28"/>
        </w:rPr>
        <w:t>取水点照片见图2-</w:t>
      </w:r>
      <w:r>
        <w:rPr>
          <w:rFonts w:eastAsia="仿宋"/>
          <w:spacing w:val="-8"/>
          <w:sz w:val="28"/>
          <w:szCs w:val="28"/>
        </w:rPr>
        <w:t>7</w:t>
      </w:r>
      <w:r>
        <w:rPr>
          <w:rFonts w:hint="eastAsia" w:eastAsia="仿宋"/>
          <w:spacing w:val="-8"/>
          <w:sz w:val="28"/>
          <w:szCs w:val="28"/>
        </w:rPr>
        <w:t>。</w:t>
      </w:r>
    </w:p>
    <w:p w14:paraId="3D9F0050">
      <w:r>
        <w:drawing>
          <wp:inline distT="0" distB="0" distL="0" distR="0">
            <wp:extent cx="2724150" cy="2040890"/>
            <wp:effectExtent l="0" t="0" r="0" b="0"/>
            <wp:docPr id="30" name="图片 30" descr="燕鲁小燕河—取水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燕鲁小燕河—取水口"/>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2725726" cy="2041962"/>
                    </a:xfrm>
                    <a:prstGeom prst="rect">
                      <a:avLst/>
                    </a:prstGeom>
                    <a:noFill/>
                    <a:ln>
                      <a:noFill/>
                    </a:ln>
                  </pic:spPr>
                </pic:pic>
              </a:graphicData>
            </a:graphic>
          </wp:inline>
        </w:drawing>
      </w:r>
      <w:r>
        <w:drawing>
          <wp:inline distT="0" distB="0" distL="0" distR="0">
            <wp:extent cx="2718435" cy="2040255"/>
            <wp:effectExtent l="0" t="0" r="0" b="0"/>
            <wp:docPr id="29" name="图片 29" descr="燕鲁小燕河—取水泵房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燕鲁小燕河—取水泵房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2721222" cy="2042405"/>
                    </a:xfrm>
                    <a:prstGeom prst="rect">
                      <a:avLst/>
                    </a:prstGeom>
                    <a:noFill/>
                    <a:ln>
                      <a:noFill/>
                    </a:ln>
                  </pic:spPr>
                </pic:pic>
              </a:graphicData>
            </a:graphic>
          </wp:inline>
        </w:drawing>
      </w:r>
    </w:p>
    <w:p w14:paraId="1C791548">
      <w:pPr>
        <w:jc w:val="center"/>
        <w:rPr>
          <w:rFonts w:eastAsia="仿宋"/>
          <w:b/>
          <w:spacing w:val="-8"/>
          <w:sz w:val="21"/>
          <w:szCs w:val="21"/>
        </w:rPr>
      </w:pPr>
      <w:r>
        <w:rPr>
          <w:rFonts w:eastAsia="仿宋"/>
          <w:b/>
          <w:spacing w:val="-8"/>
          <w:sz w:val="21"/>
          <w:szCs w:val="21"/>
        </w:rPr>
        <w:t xml:space="preserve">图2-8  </w:t>
      </w:r>
      <w:r>
        <w:rPr>
          <w:rFonts w:hint="eastAsia" w:eastAsia="仿宋"/>
          <w:b/>
          <w:spacing w:val="-8"/>
          <w:sz w:val="21"/>
          <w:szCs w:val="21"/>
        </w:rPr>
        <w:t>燕楼镇燕鲁小燕河水源</w:t>
      </w:r>
      <w:r>
        <w:rPr>
          <w:rFonts w:eastAsia="仿宋"/>
          <w:b/>
          <w:spacing w:val="-8"/>
          <w:sz w:val="21"/>
          <w:szCs w:val="21"/>
        </w:rPr>
        <w:t>取水</w:t>
      </w:r>
      <w:r>
        <w:rPr>
          <w:rFonts w:hint="eastAsia" w:eastAsia="仿宋"/>
          <w:b/>
          <w:spacing w:val="-8"/>
          <w:sz w:val="21"/>
          <w:szCs w:val="21"/>
        </w:rPr>
        <w:t>点</w:t>
      </w:r>
      <w:r>
        <w:rPr>
          <w:rFonts w:eastAsia="仿宋"/>
          <w:b/>
          <w:spacing w:val="-8"/>
          <w:sz w:val="21"/>
          <w:szCs w:val="21"/>
        </w:rPr>
        <w:t>现场照片</w:t>
      </w:r>
    </w:p>
    <w:p w14:paraId="243EB159">
      <w:pPr>
        <w:autoSpaceDE w:val="0"/>
        <w:autoSpaceDN w:val="0"/>
        <w:adjustRightInd w:val="0"/>
        <w:ind w:firstLine="528" w:firstLineChars="200"/>
        <w:jc w:val="left"/>
        <w:rPr>
          <w:rFonts w:eastAsia="仿宋"/>
          <w:spacing w:val="-8"/>
          <w:sz w:val="28"/>
          <w:szCs w:val="28"/>
        </w:rPr>
      </w:pPr>
      <w:r>
        <w:rPr>
          <w:rFonts w:eastAsia="仿宋"/>
          <w:spacing w:val="-8"/>
          <w:sz w:val="28"/>
          <w:szCs w:val="28"/>
        </w:rPr>
        <w:t>根据</w:t>
      </w:r>
      <w:r>
        <w:rPr>
          <w:rFonts w:hint="eastAsia" w:eastAsia="仿宋"/>
          <w:spacing w:val="-8"/>
          <w:sz w:val="28"/>
          <w:szCs w:val="28"/>
        </w:rPr>
        <w:t>2</w:t>
      </w:r>
      <w:r>
        <w:rPr>
          <w:rFonts w:eastAsia="仿宋"/>
          <w:spacing w:val="-8"/>
          <w:sz w:val="28"/>
          <w:szCs w:val="28"/>
        </w:rPr>
        <w:t>018</w:t>
      </w:r>
      <w:r>
        <w:rPr>
          <w:rFonts w:hint="eastAsia" w:eastAsia="仿宋"/>
          <w:spacing w:val="-8"/>
          <w:sz w:val="28"/>
          <w:szCs w:val="28"/>
        </w:rPr>
        <w:t>年</w:t>
      </w:r>
      <w:r>
        <w:rPr>
          <w:rFonts w:eastAsia="仿宋"/>
          <w:spacing w:val="-8"/>
          <w:sz w:val="28"/>
          <w:szCs w:val="28"/>
        </w:rPr>
        <w:t>12</w:t>
      </w:r>
      <w:r>
        <w:rPr>
          <w:rFonts w:hint="eastAsia" w:eastAsia="仿宋"/>
          <w:spacing w:val="-8"/>
          <w:sz w:val="28"/>
          <w:szCs w:val="28"/>
        </w:rPr>
        <w:t>月</w:t>
      </w:r>
      <w:r>
        <w:rPr>
          <w:rFonts w:eastAsia="仿宋"/>
          <w:spacing w:val="-8"/>
          <w:sz w:val="28"/>
          <w:szCs w:val="28"/>
        </w:rPr>
        <w:t>6</w:t>
      </w:r>
      <w:r>
        <w:rPr>
          <w:rFonts w:hint="eastAsia" w:eastAsia="仿宋"/>
          <w:spacing w:val="-8"/>
          <w:sz w:val="28"/>
          <w:szCs w:val="28"/>
        </w:rPr>
        <w:t>日采样监测结果显示，</w:t>
      </w:r>
      <w:r>
        <w:rPr>
          <w:rFonts w:hint="eastAsia" w:ascii="仿宋" w:hAnsi="仿宋" w:eastAsia="仿宋"/>
          <w:sz w:val="28"/>
        </w:rPr>
        <w:t>燕楼镇燕鲁小</w:t>
      </w:r>
      <w:r>
        <w:rPr>
          <w:rFonts w:hint="eastAsia" w:eastAsia="仿宋"/>
          <w:spacing w:val="-8"/>
          <w:sz w:val="28"/>
          <w:szCs w:val="28"/>
        </w:rPr>
        <w:t>燕河水源</w:t>
      </w:r>
      <w:r>
        <w:rPr>
          <w:rFonts w:eastAsia="仿宋"/>
          <w:spacing w:val="-8"/>
          <w:sz w:val="28"/>
          <w:szCs w:val="28"/>
        </w:rPr>
        <w:t>评价范围内的地下水环境质量总体状况为Ⅳ类。水源地水质pH呈弱碱偏中性，主要是该处自然地质结构状况造成的。监测点位地下水总大肠菌群54个/L，为超标因子，主要原因是地下水取水周围存在一定的面源的生活和农业污染， 其他无超标因子，有16项未检出，都达到Ⅰ类标准。符合《地下水质量标准》（GB/T 14848-2017）中的Ⅳ类标准要求</w:t>
      </w:r>
      <w:r>
        <w:rPr>
          <w:rFonts w:hint="eastAsia" w:eastAsia="仿宋"/>
          <w:spacing w:val="-8"/>
          <w:sz w:val="28"/>
          <w:szCs w:val="28"/>
        </w:rPr>
        <w:t>。</w:t>
      </w:r>
    </w:p>
    <w:p w14:paraId="08C20614">
      <w:pPr>
        <w:autoSpaceDE w:val="0"/>
        <w:autoSpaceDN w:val="0"/>
        <w:adjustRightInd w:val="0"/>
        <w:ind w:firstLine="528" w:firstLineChars="200"/>
        <w:jc w:val="left"/>
        <w:rPr>
          <w:rFonts w:eastAsia="仿宋"/>
          <w:sz w:val="28"/>
          <w:szCs w:val="28"/>
        </w:rPr>
      </w:pPr>
      <w:r>
        <w:rPr>
          <w:rFonts w:eastAsia="仿宋"/>
          <w:spacing w:val="-8"/>
          <w:sz w:val="28"/>
          <w:szCs w:val="28"/>
        </w:rPr>
        <w:t>根据《花溪区</w:t>
      </w:r>
      <w:r>
        <w:rPr>
          <w:rFonts w:hint="eastAsia" w:ascii="仿宋" w:hAnsi="仿宋" w:eastAsia="仿宋"/>
          <w:sz w:val="28"/>
        </w:rPr>
        <w:t>燕楼镇燕鲁小</w:t>
      </w:r>
      <w:r>
        <w:rPr>
          <w:rFonts w:hint="eastAsia" w:eastAsia="仿宋"/>
          <w:spacing w:val="-8"/>
          <w:sz w:val="28"/>
          <w:szCs w:val="28"/>
        </w:rPr>
        <w:t>燕河</w:t>
      </w:r>
      <w:r>
        <w:rPr>
          <w:rFonts w:eastAsia="仿宋"/>
          <w:spacing w:val="-8"/>
          <w:sz w:val="28"/>
          <w:szCs w:val="28"/>
        </w:rPr>
        <w:t>集中式饮用水水源</w:t>
      </w:r>
      <w:r>
        <w:rPr>
          <w:rFonts w:hint="eastAsia" w:eastAsia="仿宋"/>
          <w:spacing w:val="-8"/>
          <w:sz w:val="28"/>
          <w:szCs w:val="28"/>
        </w:rPr>
        <w:t>保护区调整方案</w:t>
      </w:r>
      <w:r>
        <w:rPr>
          <w:rFonts w:eastAsia="仿宋"/>
          <w:spacing w:val="-8"/>
          <w:sz w:val="28"/>
          <w:szCs w:val="28"/>
        </w:rPr>
        <w:t>》，</w:t>
      </w:r>
      <w:r>
        <w:rPr>
          <w:rFonts w:hint="eastAsia" w:ascii="仿宋" w:hAnsi="仿宋" w:eastAsia="仿宋"/>
          <w:sz w:val="28"/>
        </w:rPr>
        <w:t>燕楼镇燕鲁小</w:t>
      </w:r>
      <w:r>
        <w:rPr>
          <w:rFonts w:hint="eastAsia" w:eastAsia="仿宋"/>
          <w:spacing w:val="-8"/>
          <w:sz w:val="28"/>
          <w:szCs w:val="28"/>
        </w:rPr>
        <w:t>燕河水源</w:t>
      </w:r>
      <w:r>
        <w:rPr>
          <w:rFonts w:eastAsia="仿宋"/>
          <w:spacing w:val="-8"/>
          <w:sz w:val="28"/>
          <w:szCs w:val="28"/>
        </w:rPr>
        <w:t>保护区面积0.4195 km</w:t>
      </w:r>
      <w:r>
        <w:rPr>
          <w:rFonts w:eastAsia="仿宋"/>
          <w:spacing w:val="-8"/>
          <w:sz w:val="28"/>
          <w:szCs w:val="28"/>
          <w:vertAlign w:val="superscript"/>
        </w:rPr>
        <w:t>2</w:t>
      </w:r>
      <w:r>
        <w:rPr>
          <w:rFonts w:eastAsia="仿宋"/>
          <w:spacing w:val="-8"/>
          <w:sz w:val="28"/>
          <w:szCs w:val="28"/>
        </w:rPr>
        <w:t>，其中一级保护区面积0.0551 km</w:t>
      </w:r>
      <w:r>
        <w:rPr>
          <w:rFonts w:eastAsia="仿宋"/>
          <w:spacing w:val="-8"/>
          <w:sz w:val="28"/>
          <w:szCs w:val="28"/>
          <w:vertAlign w:val="superscript"/>
        </w:rPr>
        <w:t>2</w:t>
      </w:r>
      <w:r>
        <w:rPr>
          <w:rFonts w:eastAsia="仿宋"/>
          <w:spacing w:val="-8"/>
          <w:sz w:val="28"/>
          <w:szCs w:val="28"/>
        </w:rPr>
        <w:t>，二级保护区面积0.3644 km</w:t>
      </w:r>
      <w:r>
        <w:rPr>
          <w:rFonts w:eastAsia="仿宋"/>
          <w:spacing w:val="-8"/>
          <w:sz w:val="28"/>
          <w:szCs w:val="28"/>
          <w:vertAlign w:val="superscript"/>
        </w:rPr>
        <w:t>2</w:t>
      </w:r>
      <w:r>
        <w:rPr>
          <w:rFonts w:hint="eastAsia" w:eastAsia="仿宋"/>
          <w:spacing w:val="-8"/>
          <w:sz w:val="28"/>
          <w:szCs w:val="28"/>
        </w:rPr>
        <w:t>，</w:t>
      </w:r>
      <w:r>
        <w:rPr>
          <w:rFonts w:eastAsia="仿宋"/>
          <w:sz w:val="28"/>
          <w:szCs w:val="28"/>
        </w:rPr>
        <w:t>保护区划分见附图13</w:t>
      </w:r>
      <w:r>
        <w:rPr>
          <w:rFonts w:hint="eastAsia" w:eastAsia="仿宋"/>
          <w:sz w:val="28"/>
          <w:szCs w:val="28"/>
        </w:rPr>
        <w:t>和</w:t>
      </w:r>
      <w:r>
        <w:rPr>
          <w:rFonts w:eastAsia="仿宋"/>
          <w:sz w:val="28"/>
          <w:szCs w:val="28"/>
        </w:rPr>
        <w:t>附图14。</w:t>
      </w:r>
    </w:p>
    <w:p w14:paraId="5B969809">
      <w:pPr>
        <w:pStyle w:val="4"/>
        <w:spacing w:before="120" w:after="120"/>
        <w:rPr>
          <w:rFonts w:eastAsia="仿宋"/>
          <w:sz w:val="28"/>
        </w:rPr>
      </w:pPr>
      <w:r>
        <w:rPr>
          <w:rFonts w:eastAsia="仿宋"/>
          <w:sz w:val="28"/>
        </w:rPr>
        <w:t>2.7.2水源地风险分析</w:t>
      </w:r>
    </w:p>
    <w:p w14:paraId="7DA884C2">
      <w:pPr>
        <w:autoSpaceDE w:val="0"/>
        <w:autoSpaceDN w:val="0"/>
        <w:adjustRightInd w:val="0"/>
        <w:ind w:firstLine="560" w:firstLineChars="200"/>
        <w:rPr>
          <w:rFonts w:eastAsia="仿宋"/>
          <w:sz w:val="28"/>
          <w:szCs w:val="28"/>
        </w:rPr>
      </w:pPr>
      <w:r>
        <w:rPr>
          <w:rFonts w:eastAsia="仿宋"/>
          <w:sz w:val="28"/>
          <w:szCs w:val="28"/>
        </w:rPr>
        <w:t>（1）固定源环境风险</w:t>
      </w:r>
    </w:p>
    <w:p w14:paraId="6083DC59">
      <w:pPr>
        <w:ind w:firstLine="560" w:firstLineChars="200"/>
        <w:rPr>
          <w:rFonts w:eastAsia="仿宋"/>
          <w:kern w:val="0"/>
          <w:sz w:val="28"/>
          <w:szCs w:val="28"/>
        </w:rPr>
      </w:pPr>
      <w:r>
        <w:rPr>
          <w:rFonts w:hint="eastAsia" w:eastAsia="仿宋"/>
          <w:kern w:val="0"/>
          <w:sz w:val="28"/>
          <w:szCs w:val="28"/>
        </w:rPr>
        <w:t>根据实地调查，</w:t>
      </w:r>
      <w:r>
        <w:rPr>
          <w:rFonts w:hint="eastAsia" w:ascii="仿宋" w:hAnsi="仿宋" w:eastAsia="仿宋"/>
          <w:sz w:val="28"/>
        </w:rPr>
        <w:t>燕楼镇燕鲁小</w:t>
      </w:r>
      <w:r>
        <w:rPr>
          <w:rFonts w:hint="eastAsia" w:eastAsia="仿宋"/>
          <w:spacing w:val="-8"/>
          <w:sz w:val="28"/>
          <w:szCs w:val="28"/>
        </w:rPr>
        <w:t>燕河水源</w:t>
      </w:r>
      <w:r>
        <w:rPr>
          <w:rFonts w:hint="eastAsia" w:eastAsia="仿宋"/>
          <w:kern w:val="0"/>
          <w:sz w:val="28"/>
          <w:szCs w:val="28"/>
        </w:rPr>
        <w:t>保护区内未有煤矿、石化、砂石、规模化养殖场、污水处理厂等工矿企业及垃圾场、排污口、尾矿库等环境卫生设施，但是</w:t>
      </w:r>
      <w:r>
        <w:rPr>
          <w:rFonts w:eastAsia="仿宋"/>
          <w:kern w:val="0"/>
          <w:sz w:val="28"/>
          <w:szCs w:val="28"/>
        </w:rPr>
        <w:t>有分散农户进行的畜禽分散养殖，养殖量比较大，主要是鸡、牛、猪等，其中肉牛145头，猪239头，肉鸡3250只。按照排污系数估算，主要污染物产生量为COD40.44吨/年，氨氮3.98吨/年。养殖废水量小，收集后主要用于农田灌溉，对地下水水质影响较小</w:t>
      </w:r>
      <w:r>
        <w:rPr>
          <w:rFonts w:hint="eastAsia" w:eastAsia="仿宋"/>
          <w:kern w:val="0"/>
          <w:sz w:val="28"/>
          <w:szCs w:val="28"/>
        </w:rPr>
        <w:t>。另外，发现二级保护区内存在生活垃圾及土石方堆放点，应及时清理。</w:t>
      </w:r>
    </w:p>
    <w:p w14:paraId="2763E4BC">
      <w:pPr>
        <w:autoSpaceDE w:val="0"/>
        <w:autoSpaceDN w:val="0"/>
        <w:adjustRightInd w:val="0"/>
        <w:ind w:firstLine="560" w:firstLineChars="200"/>
        <w:rPr>
          <w:rFonts w:eastAsia="仿宋"/>
          <w:sz w:val="28"/>
          <w:szCs w:val="28"/>
        </w:rPr>
      </w:pPr>
      <w:r>
        <w:rPr>
          <w:rFonts w:eastAsia="仿宋"/>
          <w:sz w:val="28"/>
          <w:szCs w:val="28"/>
        </w:rPr>
        <w:t>（2）流动源环境风险</w:t>
      </w:r>
    </w:p>
    <w:p w14:paraId="446960B0">
      <w:pPr>
        <w:ind w:firstLine="560" w:firstLineChars="200"/>
        <w:rPr>
          <w:rFonts w:eastAsia="仿宋"/>
          <w:kern w:val="0"/>
          <w:sz w:val="28"/>
          <w:szCs w:val="28"/>
        </w:rPr>
      </w:pPr>
      <w:r>
        <w:rPr>
          <w:rFonts w:hint="eastAsia" w:eastAsia="仿宋"/>
          <w:kern w:val="0"/>
          <w:sz w:val="28"/>
          <w:szCs w:val="28"/>
        </w:rPr>
        <w:t>据现场调查，花安高速距离</w:t>
      </w:r>
      <w:r>
        <w:rPr>
          <w:rFonts w:hint="eastAsia" w:ascii="仿宋" w:hAnsi="仿宋" w:eastAsia="仿宋"/>
          <w:sz w:val="28"/>
        </w:rPr>
        <w:t>燕鲁小燕河水源</w:t>
      </w:r>
      <w:r>
        <w:rPr>
          <w:rFonts w:ascii="仿宋" w:hAnsi="仿宋" w:eastAsia="仿宋"/>
          <w:sz w:val="28"/>
        </w:rPr>
        <w:t>地</w:t>
      </w:r>
      <w:r>
        <w:rPr>
          <w:rFonts w:hint="eastAsia" w:eastAsia="仿宋"/>
          <w:kern w:val="0"/>
          <w:sz w:val="28"/>
          <w:szCs w:val="28"/>
        </w:rPr>
        <w:t>一级保护区最近距离约3</w:t>
      </w:r>
      <w:r>
        <w:rPr>
          <w:rFonts w:eastAsia="仿宋"/>
          <w:kern w:val="0"/>
          <w:sz w:val="28"/>
          <w:szCs w:val="28"/>
        </w:rPr>
        <w:t>00</w:t>
      </w:r>
      <w:r>
        <w:rPr>
          <w:rFonts w:hint="eastAsia" w:eastAsia="仿宋"/>
          <w:kern w:val="0"/>
          <w:sz w:val="28"/>
          <w:szCs w:val="28"/>
        </w:rPr>
        <w:t>米，穿越一级保护区约780米，二级保护区穿越1860米。交通事故发生将会给水源地带来一定风险，需严加防范。</w:t>
      </w:r>
    </w:p>
    <w:p w14:paraId="03FC21A5">
      <w:pPr>
        <w:autoSpaceDE w:val="0"/>
        <w:autoSpaceDN w:val="0"/>
        <w:adjustRightInd w:val="0"/>
        <w:ind w:firstLine="560" w:firstLineChars="200"/>
        <w:rPr>
          <w:rFonts w:eastAsia="仿宋"/>
          <w:sz w:val="28"/>
          <w:szCs w:val="28"/>
        </w:rPr>
      </w:pPr>
      <w:r>
        <w:rPr>
          <w:rFonts w:eastAsia="仿宋"/>
          <w:sz w:val="28"/>
          <w:szCs w:val="28"/>
        </w:rPr>
        <w:t>（3）面源环境风险</w:t>
      </w:r>
    </w:p>
    <w:p w14:paraId="6238696A">
      <w:pPr>
        <w:adjustRightInd w:val="0"/>
        <w:snapToGrid w:val="0"/>
        <w:ind w:firstLine="560" w:firstLineChars="200"/>
        <w:rPr>
          <w:rFonts w:ascii="仿宋" w:hAnsi="仿宋" w:eastAsia="仿宋"/>
          <w:sz w:val="28"/>
        </w:rPr>
      </w:pPr>
      <w:r>
        <w:rPr>
          <w:rFonts w:hint="eastAsia" w:ascii="仿宋" w:hAnsi="仿宋" w:eastAsia="仿宋"/>
          <w:sz w:val="28"/>
        </w:rPr>
        <w:t>燕楼镇燕鲁小燕河水源</w:t>
      </w:r>
      <w:r>
        <w:rPr>
          <w:rFonts w:ascii="仿宋" w:hAnsi="仿宋" w:eastAsia="仿宋"/>
          <w:sz w:val="28"/>
        </w:rPr>
        <w:t>地一级保护区无人口分布，二级保护区范围有人口分布303户，1213人。产污系数估算结果表明，生活污水排放总量为97.04t/d，生活COD 产生量为2.21 吨/年，NH3-N 产生量1.77吨/年。调查范围内生活源主要为分散农户，生活废水主要用于农田灌溉，对水源地水质影响较小。农村生活垃圾按每人每天0.8kg/(人·d)计算，生活污染物排放量354.2吨/年。</w:t>
      </w:r>
    </w:p>
    <w:p w14:paraId="782B9D91">
      <w:pPr>
        <w:adjustRightInd w:val="0"/>
        <w:snapToGrid w:val="0"/>
        <w:ind w:firstLine="560" w:firstLineChars="200"/>
        <w:rPr>
          <w:rFonts w:eastAsia="仿宋"/>
          <w:sz w:val="28"/>
          <w:szCs w:val="28"/>
        </w:rPr>
      </w:pPr>
      <w:r>
        <w:rPr>
          <w:rFonts w:hint="eastAsia" w:ascii="仿宋" w:hAnsi="仿宋" w:eastAsia="仿宋"/>
          <w:sz w:val="28"/>
        </w:rPr>
        <w:t>水</w:t>
      </w:r>
      <w:r>
        <w:rPr>
          <w:rFonts w:hint="eastAsia" w:eastAsia="仿宋"/>
          <w:sz w:val="28"/>
          <w:szCs w:val="28"/>
        </w:rPr>
        <w:t>源地保护区内存在一定的水田和旱地，种植水稻、玉米、马铃薯、大豆、油菜等农作物。</w:t>
      </w:r>
      <w:r>
        <w:rPr>
          <w:rFonts w:eastAsia="仿宋"/>
          <w:sz w:val="28"/>
          <w:szCs w:val="28"/>
        </w:rPr>
        <w:t>在农业生产活动中，由于施肥、施药等生产行为造成氮和磷等营养物质、农药、重金属及其他有机和无机污染物质、土壤颗粒等沉积物通过农田地表径流和地下渗漏方式将进入水体，从而对水质产生不利影响。</w:t>
      </w:r>
    </w:p>
    <w:p w14:paraId="5A280204">
      <w:pPr>
        <w:ind w:firstLine="560" w:firstLineChars="200"/>
        <w:rPr>
          <w:rFonts w:eastAsia="仿宋"/>
          <w:sz w:val="28"/>
          <w:szCs w:val="28"/>
        </w:rPr>
      </w:pPr>
      <w:r>
        <w:rPr>
          <w:rFonts w:hint="eastAsia" w:eastAsia="仿宋"/>
          <w:sz w:val="28"/>
          <w:szCs w:val="28"/>
        </w:rPr>
        <w:t>该水源地环境风险主要来自上游地区农村生活污水、农业面源污染和</w:t>
      </w:r>
      <w:r>
        <w:rPr>
          <w:rFonts w:eastAsia="仿宋"/>
          <w:sz w:val="28"/>
          <w:szCs w:val="28"/>
        </w:rPr>
        <w:t>流动源环境风险</w:t>
      </w:r>
      <w:r>
        <w:rPr>
          <w:rFonts w:hint="eastAsia" w:eastAsia="仿宋"/>
          <w:sz w:val="28"/>
          <w:szCs w:val="28"/>
        </w:rPr>
        <w:t>等，污染风险小，仍需加以防范。</w:t>
      </w:r>
    </w:p>
    <w:p w14:paraId="34833627">
      <w:pPr>
        <w:pStyle w:val="3"/>
        <w:spacing w:line="560" w:lineRule="exact"/>
        <w:rPr>
          <w:rFonts w:eastAsia="仿宋"/>
          <w:sz w:val="32"/>
        </w:rPr>
      </w:pPr>
      <w:bookmarkStart w:id="32" w:name="_Toc60930771"/>
      <w:r>
        <w:rPr>
          <w:rFonts w:eastAsia="仿宋"/>
          <w:sz w:val="32"/>
        </w:rPr>
        <w:t>2.8</w:t>
      </w:r>
      <w:r>
        <w:rPr>
          <w:rFonts w:hint="eastAsia" w:eastAsia="仿宋"/>
          <w:sz w:val="32"/>
        </w:rPr>
        <w:t>黔陶乡九眼井水源</w:t>
      </w:r>
      <w:bookmarkEnd w:id="32"/>
    </w:p>
    <w:p w14:paraId="32A2ABD4">
      <w:pPr>
        <w:pStyle w:val="4"/>
        <w:spacing w:before="120" w:after="120" w:line="600" w:lineRule="exact"/>
        <w:rPr>
          <w:rFonts w:eastAsia="仿宋"/>
          <w:sz w:val="28"/>
        </w:rPr>
      </w:pPr>
      <w:r>
        <w:rPr>
          <w:rFonts w:eastAsia="仿宋"/>
          <w:sz w:val="28"/>
        </w:rPr>
        <w:t>2.8.1水源地基本情况</w:t>
      </w:r>
    </w:p>
    <w:p w14:paraId="612F34D7">
      <w:pPr>
        <w:spacing w:line="600" w:lineRule="exact"/>
        <w:ind w:firstLine="560" w:firstLineChars="200"/>
        <w:rPr>
          <w:rFonts w:eastAsia="仿宋"/>
          <w:spacing w:val="-8"/>
          <w:sz w:val="28"/>
          <w:szCs w:val="28"/>
        </w:rPr>
      </w:pPr>
      <w:r>
        <w:rPr>
          <w:rFonts w:eastAsia="仿宋"/>
          <w:sz w:val="28"/>
          <w:szCs w:val="28"/>
        </w:rPr>
        <w:t>九眼井位于花溪区黔陶布依族苗族乡</w:t>
      </w:r>
      <w:r>
        <w:rPr>
          <w:rFonts w:hint="eastAsia" w:eastAsia="仿宋"/>
          <w:sz w:val="28"/>
          <w:szCs w:val="28"/>
        </w:rPr>
        <w:t>黔陶</w:t>
      </w:r>
      <w:r>
        <w:rPr>
          <w:rFonts w:eastAsia="仿宋"/>
          <w:sz w:val="28"/>
          <w:szCs w:val="28"/>
        </w:rPr>
        <w:t>村老榜河组，距黔陶布依族苗族乡集镇</w:t>
      </w:r>
      <w:r>
        <w:rPr>
          <w:rFonts w:hint="eastAsia" w:eastAsia="仿宋"/>
          <w:sz w:val="28"/>
          <w:szCs w:val="28"/>
        </w:rPr>
        <w:t>1.</w:t>
      </w:r>
      <w:r>
        <w:rPr>
          <w:rFonts w:eastAsia="仿宋"/>
          <w:sz w:val="28"/>
          <w:szCs w:val="28"/>
        </w:rPr>
        <w:t>3km，属于</w:t>
      </w:r>
      <w:r>
        <w:rPr>
          <w:rFonts w:hint="eastAsia" w:eastAsia="仿宋"/>
          <w:sz w:val="28"/>
          <w:szCs w:val="28"/>
        </w:rPr>
        <w:t>地下水</w:t>
      </w:r>
      <w:r>
        <w:rPr>
          <w:rFonts w:eastAsia="仿宋"/>
          <w:sz w:val="28"/>
          <w:szCs w:val="28"/>
        </w:rPr>
        <w:t>型水源，规划为花溪区黔陶布依族苗族乡集镇饮用水水源。水源取水点位于</w:t>
      </w:r>
      <w:r>
        <w:rPr>
          <w:rFonts w:hint="eastAsia" w:eastAsia="仿宋"/>
          <w:sz w:val="28"/>
          <w:szCs w:val="28"/>
        </w:rPr>
        <w:t>黔陶村</w:t>
      </w:r>
      <w:r>
        <w:rPr>
          <w:rFonts w:eastAsia="仿宋"/>
          <w:sz w:val="28"/>
          <w:szCs w:val="28"/>
        </w:rPr>
        <w:t>老榜河组，地理坐标为东经106°43'39.54"，北纬26°20'42.06"。九眼井是黔陶布依族苗族乡集镇饮用水水源地，服务人口</w:t>
      </w:r>
      <w:r>
        <w:rPr>
          <w:rFonts w:hint="eastAsia" w:eastAsia="仿宋"/>
          <w:sz w:val="28"/>
          <w:szCs w:val="28"/>
        </w:rPr>
        <w:t>511户共</w:t>
      </w:r>
      <w:r>
        <w:rPr>
          <w:rFonts w:eastAsia="仿宋"/>
          <w:sz w:val="28"/>
          <w:szCs w:val="28"/>
        </w:rPr>
        <w:t>1937人，日均供水量400立方米，供水区域为</w:t>
      </w:r>
      <w:r>
        <w:rPr>
          <w:rFonts w:hint="eastAsia" w:eastAsia="仿宋"/>
          <w:sz w:val="28"/>
          <w:szCs w:val="28"/>
        </w:rPr>
        <w:t>黔陶村大院组、小院组、街上组、坪子组、老榜河组，关口村猪场组，居委会等</w:t>
      </w:r>
      <w:r>
        <w:rPr>
          <w:rFonts w:eastAsia="仿宋"/>
          <w:sz w:val="28"/>
          <w:szCs w:val="28"/>
        </w:rPr>
        <w:t>。</w:t>
      </w:r>
      <w:r>
        <w:rPr>
          <w:rFonts w:hint="eastAsia" w:ascii="仿宋" w:hAnsi="仿宋" w:eastAsia="仿宋"/>
          <w:sz w:val="28"/>
        </w:rPr>
        <w:t>黔陶乡九眼井水源</w:t>
      </w:r>
      <w:r>
        <w:rPr>
          <w:rFonts w:hint="eastAsia" w:eastAsia="仿宋"/>
          <w:spacing w:val="-8"/>
          <w:sz w:val="28"/>
          <w:szCs w:val="28"/>
        </w:rPr>
        <w:t>取水点照片见图2-</w:t>
      </w:r>
      <w:r>
        <w:rPr>
          <w:rFonts w:eastAsia="仿宋"/>
          <w:spacing w:val="-8"/>
          <w:sz w:val="28"/>
          <w:szCs w:val="28"/>
        </w:rPr>
        <w:t>8</w:t>
      </w:r>
      <w:r>
        <w:rPr>
          <w:rFonts w:hint="eastAsia" w:eastAsia="仿宋"/>
          <w:spacing w:val="-8"/>
          <w:sz w:val="28"/>
          <w:szCs w:val="28"/>
        </w:rPr>
        <w:t>。</w:t>
      </w:r>
    </w:p>
    <w:p w14:paraId="55BF9B95">
      <w:pPr>
        <w:jc w:val="center"/>
        <w:rPr>
          <w:rFonts w:eastAsia="仿宋_GB2312"/>
          <w:spacing w:val="-8"/>
          <w:sz w:val="21"/>
          <w:szCs w:val="21"/>
        </w:rPr>
      </w:pPr>
      <w:r>
        <w:rPr>
          <w:rFonts w:eastAsia="仿宋_GB2312"/>
          <w:spacing w:val="-8"/>
          <w:sz w:val="21"/>
          <w:szCs w:val="21"/>
        </w:rPr>
        <w:drawing>
          <wp:inline distT="0" distB="0" distL="0" distR="0">
            <wp:extent cx="2591435" cy="1943735"/>
            <wp:effectExtent l="19050" t="19050" r="18415" b="18415"/>
            <wp:docPr id="37" name="图片 37" descr="C:\Users\suiyuan\Desktop\20200912导出照片\黔陶乡九眼井\IMG_20200826_093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C:\Users\suiyuan\Desktop\20200912导出照片\黔陶乡九眼井\IMG_20200826_09374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2592000" cy="1944022"/>
                    </a:xfrm>
                    <a:prstGeom prst="rect">
                      <a:avLst/>
                    </a:prstGeom>
                    <a:noFill/>
                    <a:ln w="12700">
                      <a:solidFill>
                        <a:schemeClr val="tx1"/>
                      </a:solidFill>
                    </a:ln>
                  </pic:spPr>
                </pic:pic>
              </a:graphicData>
            </a:graphic>
          </wp:inline>
        </w:drawing>
      </w:r>
      <w:r>
        <w:rPr>
          <w:rFonts w:eastAsia="仿宋_GB2312"/>
          <w:spacing w:val="-8"/>
          <w:sz w:val="21"/>
          <w:szCs w:val="21"/>
        </w:rPr>
        <w:drawing>
          <wp:inline distT="0" distB="0" distL="0" distR="0">
            <wp:extent cx="2591435" cy="1943735"/>
            <wp:effectExtent l="19050" t="19050" r="18415" b="18415"/>
            <wp:docPr id="38" name="图片 38" descr="C:\Users\suiyuan\Desktop\20200912导出照片\黔陶乡九眼井\IMG_20200826_094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C:\Users\suiyuan\Desktop\20200912导出照片\黔陶乡九眼井\IMG_20200826_09410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2592000" cy="1944022"/>
                    </a:xfrm>
                    <a:prstGeom prst="rect">
                      <a:avLst/>
                    </a:prstGeom>
                    <a:noFill/>
                    <a:ln w="12700">
                      <a:solidFill>
                        <a:schemeClr val="tx1"/>
                      </a:solidFill>
                    </a:ln>
                  </pic:spPr>
                </pic:pic>
              </a:graphicData>
            </a:graphic>
          </wp:inline>
        </w:drawing>
      </w:r>
    </w:p>
    <w:p w14:paraId="1DAC76DB">
      <w:pPr>
        <w:jc w:val="center"/>
        <w:rPr>
          <w:rFonts w:eastAsia="仿宋"/>
          <w:b/>
          <w:spacing w:val="-8"/>
          <w:sz w:val="21"/>
          <w:szCs w:val="21"/>
        </w:rPr>
      </w:pPr>
      <w:r>
        <w:rPr>
          <w:rFonts w:eastAsia="仿宋"/>
          <w:b/>
          <w:spacing w:val="-8"/>
          <w:sz w:val="21"/>
          <w:szCs w:val="21"/>
        </w:rPr>
        <w:t xml:space="preserve">图2-9  </w:t>
      </w:r>
      <w:r>
        <w:rPr>
          <w:rFonts w:hint="eastAsia" w:eastAsia="仿宋"/>
          <w:b/>
          <w:spacing w:val="-8"/>
          <w:sz w:val="21"/>
          <w:szCs w:val="21"/>
        </w:rPr>
        <w:t>黔陶乡九眼井水源</w:t>
      </w:r>
      <w:r>
        <w:rPr>
          <w:rFonts w:eastAsia="仿宋"/>
          <w:b/>
          <w:spacing w:val="-8"/>
          <w:sz w:val="21"/>
          <w:szCs w:val="21"/>
        </w:rPr>
        <w:t>取水</w:t>
      </w:r>
      <w:r>
        <w:rPr>
          <w:rFonts w:hint="eastAsia" w:eastAsia="仿宋"/>
          <w:b/>
          <w:spacing w:val="-8"/>
          <w:sz w:val="21"/>
          <w:szCs w:val="21"/>
        </w:rPr>
        <w:t>点</w:t>
      </w:r>
      <w:r>
        <w:rPr>
          <w:rFonts w:eastAsia="仿宋"/>
          <w:b/>
          <w:spacing w:val="-8"/>
          <w:sz w:val="21"/>
          <w:szCs w:val="21"/>
        </w:rPr>
        <w:t>现场照片</w:t>
      </w:r>
    </w:p>
    <w:p w14:paraId="40459287">
      <w:pPr>
        <w:autoSpaceDE w:val="0"/>
        <w:autoSpaceDN w:val="0"/>
        <w:adjustRightInd w:val="0"/>
        <w:ind w:firstLine="560" w:firstLineChars="200"/>
        <w:jc w:val="left"/>
        <w:rPr>
          <w:rFonts w:ascii="仿宋" w:hAnsi="仿宋" w:eastAsia="仿宋"/>
          <w:sz w:val="28"/>
        </w:rPr>
      </w:pPr>
      <w:r>
        <w:rPr>
          <w:rFonts w:ascii="仿宋" w:hAnsi="仿宋" w:eastAsia="仿宋"/>
          <w:sz w:val="28"/>
        </w:rPr>
        <w:t>2020年</w:t>
      </w:r>
      <w:r>
        <w:rPr>
          <w:rFonts w:hint="eastAsia" w:ascii="仿宋" w:hAnsi="仿宋" w:eastAsia="仿宋"/>
          <w:sz w:val="28"/>
        </w:rPr>
        <w:t>3</w:t>
      </w:r>
      <w:r>
        <w:rPr>
          <w:rFonts w:ascii="仿宋" w:hAnsi="仿宋" w:eastAsia="仿宋"/>
          <w:sz w:val="28"/>
        </w:rPr>
        <w:t>月</w:t>
      </w:r>
      <w:r>
        <w:rPr>
          <w:rFonts w:hint="eastAsia" w:ascii="仿宋" w:hAnsi="仿宋" w:eastAsia="仿宋"/>
          <w:sz w:val="28"/>
        </w:rPr>
        <w:t>，</w:t>
      </w:r>
      <w:r>
        <w:rPr>
          <w:rFonts w:ascii="仿宋" w:hAnsi="仿宋" w:eastAsia="仿宋"/>
          <w:sz w:val="28"/>
        </w:rPr>
        <w:t>九眼井集中式饮用水水源地水质监测平均结果显示，九眼井集中式饮用水水源参与评价</w:t>
      </w:r>
      <w:r>
        <w:rPr>
          <w:rFonts w:hint="eastAsia" w:ascii="仿宋" w:hAnsi="仿宋" w:eastAsia="仿宋"/>
          <w:sz w:val="28"/>
        </w:rPr>
        <w:t>的</w:t>
      </w:r>
      <w:r>
        <w:rPr>
          <w:rFonts w:ascii="仿宋" w:hAnsi="仿宋" w:eastAsia="仿宋"/>
          <w:sz w:val="28"/>
        </w:rPr>
        <w:t>指标</w:t>
      </w:r>
      <w:r>
        <w:rPr>
          <w:rFonts w:hint="eastAsia" w:ascii="仿宋" w:hAnsi="仿宋" w:eastAsia="仿宋"/>
          <w:sz w:val="28"/>
        </w:rPr>
        <w:t>除高锰酸盐指数、氨氮两项</w:t>
      </w:r>
      <w:r>
        <w:rPr>
          <w:rFonts w:ascii="仿宋" w:hAnsi="仿宋" w:eastAsia="仿宋"/>
          <w:sz w:val="28"/>
        </w:rPr>
        <w:t>指标为</w:t>
      </w:r>
      <w:r>
        <w:rPr>
          <w:rFonts w:hint="eastAsia" w:ascii="仿宋" w:hAnsi="仿宋" w:eastAsia="仿宋"/>
          <w:sz w:val="28"/>
        </w:rPr>
        <w:t>Ⅲ类</w:t>
      </w:r>
      <w:r>
        <w:rPr>
          <w:rFonts w:ascii="仿宋" w:hAnsi="仿宋" w:eastAsia="仿宋"/>
          <w:sz w:val="28"/>
        </w:rPr>
        <w:t>外，</w:t>
      </w:r>
      <w:r>
        <w:rPr>
          <w:rFonts w:hint="eastAsia" w:ascii="仿宋" w:hAnsi="仿宋" w:eastAsia="仿宋"/>
          <w:sz w:val="28"/>
        </w:rPr>
        <w:t>其余各项</w:t>
      </w:r>
      <w:r>
        <w:rPr>
          <w:rFonts w:ascii="仿宋" w:hAnsi="仿宋" w:eastAsia="仿宋"/>
          <w:sz w:val="28"/>
        </w:rPr>
        <w:t>指标均能优于</w:t>
      </w:r>
      <w:r>
        <w:rPr>
          <w:rFonts w:hint="eastAsia" w:ascii="仿宋" w:hAnsi="仿宋" w:eastAsia="仿宋"/>
          <w:sz w:val="28"/>
        </w:rPr>
        <w:t>《地下水质量标准》（GB/T 14848-2017）Ⅱ</w:t>
      </w:r>
      <w:r>
        <w:rPr>
          <w:rFonts w:ascii="仿宋" w:hAnsi="仿宋" w:eastAsia="仿宋"/>
          <w:sz w:val="28"/>
        </w:rPr>
        <w:t>类水质标准要求。</w:t>
      </w:r>
    </w:p>
    <w:p w14:paraId="54734AFC">
      <w:pPr>
        <w:autoSpaceDE w:val="0"/>
        <w:autoSpaceDN w:val="0"/>
        <w:adjustRightInd w:val="0"/>
        <w:ind w:firstLine="528" w:firstLineChars="200"/>
        <w:jc w:val="left"/>
        <w:rPr>
          <w:rFonts w:eastAsia="仿宋"/>
          <w:sz w:val="28"/>
          <w:szCs w:val="28"/>
        </w:rPr>
      </w:pPr>
      <w:r>
        <w:rPr>
          <w:rFonts w:eastAsia="仿宋"/>
          <w:spacing w:val="-8"/>
          <w:sz w:val="28"/>
          <w:szCs w:val="28"/>
        </w:rPr>
        <w:t>根据《花溪区</w:t>
      </w:r>
      <w:r>
        <w:rPr>
          <w:rFonts w:hint="eastAsia" w:ascii="仿宋" w:hAnsi="仿宋" w:eastAsia="仿宋"/>
          <w:sz w:val="28"/>
        </w:rPr>
        <w:t>黔陶乡九眼井</w:t>
      </w:r>
      <w:r>
        <w:rPr>
          <w:rFonts w:eastAsia="仿宋"/>
          <w:spacing w:val="-8"/>
          <w:sz w:val="28"/>
          <w:szCs w:val="28"/>
        </w:rPr>
        <w:t>集中式饮用水水源</w:t>
      </w:r>
      <w:r>
        <w:rPr>
          <w:rFonts w:hint="eastAsia" w:eastAsia="仿宋"/>
          <w:spacing w:val="-8"/>
          <w:sz w:val="28"/>
          <w:szCs w:val="28"/>
        </w:rPr>
        <w:t>保护区划分技术报告</w:t>
      </w:r>
      <w:r>
        <w:rPr>
          <w:rFonts w:eastAsia="仿宋"/>
          <w:spacing w:val="-8"/>
          <w:sz w:val="28"/>
          <w:szCs w:val="28"/>
        </w:rPr>
        <w:t>》，</w:t>
      </w:r>
      <w:r>
        <w:rPr>
          <w:rFonts w:hint="eastAsia" w:ascii="仿宋" w:hAnsi="仿宋" w:eastAsia="仿宋"/>
          <w:sz w:val="28"/>
        </w:rPr>
        <w:t>燕楼镇燕鲁小</w:t>
      </w:r>
      <w:r>
        <w:rPr>
          <w:rFonts w:hint="eastAsia" w:eastAsia="仿宋"/>
          <w:spacing w:val="-8"/>
          <w:sz w:val="28"/>
          <w:szCs w:val="28"/>
        </w:rPr>
        <w:t>燕河水源</w:t>
      </w:r>
      <w:r>
        <w:rPr>
          <w:rFonts w:eastAsia="仿宋"/>
          <w:spacing w:val="-8"/>
          <w:sz w:val="28"/>
          <w:szCs w:val="28"/>
        </w:rPr>
        <w:t>保护区面积0.0016 km</w:t>
      </w:r>
      <w:r>
        <w:rPr>
          <w:rFonts w:eastAsia="仿宋"/>
          <w:spacing w:val="-8"/>
          <w:sz w:val="28"/>
          <w:szCs w:val="28"/>
          <w:vertAlign w:val="superscript"/>
        </w:rPr>
        <w:t>2</w:t>
      </w:r>
      <w:r>
        <w:rPr>
          <w:rFonts w:eastAsia="仿宋"/>
          <w:spacing w:val="-8"/>
          <w:sz w:val="28"/>
          <w:szCs w:val="28"/>
        </w:rPr>
        <w:t>，其中一级保护区面积0.0016 km</w:t>
      </w:r>
      <w:r>
        <w:rPr>
          <w:rFonts w:eastAsia="仿宋"/>
          <w:spacing w:val="-8"/>
          <w:sz w:val="28"/>
          <w:szCs w:val="28"/>
          <w:vertAlign w:val="superscript"/>
        </w:rPr>
        <w:t>2</w:t>
      </w:r>
      <w:r>
        <w:rPr>
          <w:rFonts w:eastAsia="仿宋"/>
          <w:spacing w:val="-8"/>
          <w:sz w:val="28"/>
          <w:szCs w:val="28"/>
        </w:rPr>
        <w:t>，二级保护区面积0 km</w:t>
      </w:r>
      <w:r>
        <w:rPr>
          <w:rFonts w:eastAsia="仿宋"/>
          <w:spacing w:val="-8"/>
          <w:sz w:val="28"/>
          <w:szCs w:val="28"/>
          <w:vertAlign w:val="superscript"/>
        </w:rPr>
        <w:t>2</w:t>
      </w:r>
      <w:r>
        <w:rPr>
          <w:rFonts w:hint="eastAsia" w:eastAsia="仿宋"/>
          <w:spacing w:val="-8"/>
          <w:sz w:val="28"/>
          <w:szCs w:val="28"/>
        </w:rPr>
        <w:t>，</w:t>
      </w:r>
      <w:r>
        <w:rPr>
          <w:rFonts w:eastAsia="仿宋"/>
          <w:sz w:val="28"/>
          <w:szCs w:val="28"/>
        </w:rPr>
        <w:t>保护区划分见附图15</w:t>
      </w:r>
      <w:r>
        <w:rPr>
          <w:rFonts w:hint="eastAsia" w:eastAsia="仿宋"/>
          <w:sz w:val="28"/>
          <w:szCs w:val="28"/>
        </w:rPr>
        <w:t>和</w:t>
      </w:r>
      <w:r>
        <w:rPr>
          <w:rFonts w:eastAsia="仿宋"/>
          <w:sz w:val="28"/>
          <w:szCs w:val="28"/>
        </w:rPr>
        <w:t>附图16。</w:t>
      </w:r>
    </w:p>
    <w:p w14:paraId="67105153">
      <w:pPr>
        <w:pStyle w:val="4"/>
        <w:spacing w:before="120" w:after="120"/>
        <w:rPr>
          <w:rFonts w:eastAsia="仿宋"/>
          <w:sz w:val="28"/>
        </w:rPr>
      </w:pPr>
      <w:r>
        <w:rPr>
          <w:rFonts w:eastAsia="仿宋"/>
          <w:sz w:val="28"/>
        </w:rPr>
        <w:t>2.8.2水源地风险分析</w:t>
      </w:r>
    </w:p>
    <w:p w14:paraId="42A75B59">
      <w:pPr>
        <w:spacing w:line="600" w:lineRule="exact"/>
        <w:ind w:firstLine="560" w:firstLineChars="200"/>
        <w:rPr>
          <w:rFonts w:eastAsia="仿宋"/>
          <w:sz w:val="28"/>
          <w:szCs w:val="28"/>
        </w:rPr>
      </w:pPr>
      <w:r>
        <w:rPr>
          <w:rFonts w:eastAsia="仿宋"/>
          <w:sz w:val="28"/>
          <w:szCs w:val="28"/>
        </w:rPr>
        <w:t>根据贵阳市生态环境局花溪分局提供的资料及现场踏勘调查，该水源保护区内无工业企业分布，</w:t>
      </w:r>
      <w:r>
        <w:rPr>
          <w:rFonts w:hint="eastAsia" w:eastAsia="仿宋"/>
          <w:sz w:val="28"/>
          <w:szCs w:val="28"/>
        </w:rPr>
        <w:t>不产生</w:t>
      </w:r>
      <w:r>
        <w:rPr>
          <w:rFonts w:eastAsia="仿宋"/>
          <w:sz w:val="28"/>
          <w:szCs w:val="28"/>
        </w:rPr>
        <w:t>工业污染源</w:t>
      </w:r>
      <w:r>
        <w:rPr>
          <w:rFonts w:hint="eastAsia" w:eastAsia="仿宋"/>
          <w:sz w:val="28"/>
          <w:szCs w:val="28"/>
        </w:rPr>
        <w:t>；无</w:t>
      </w:r>
      <w:r>
        <w:rPr>
          <w:rFonts w:eastAsia="仿宋"/>
          <w:sz w:val="28"/>
          <w:szCs w:val="28"/>
        </w:rPr>
        <w:t>人户居住，</w:t>
      </w:r>
      <w:r>
        <w:rPr>
          <w:rFonts w:hint="eastAsia" w:eastAsia="仿宋"/>
          <w:sz w:val="28"/>
          <w:szCs w:val="28"/>
        </w:rPr>
        <w:t>不产生</w:t>
      </w:r>
      <w:r>
        <w:rPr>
          <w:rFonts w:eastAsia="仿宋"/>
          <w:sz w:val="28"/>
          <w:szCs w:val="28"/>
        </w:rPr>
        <w:t>生活污染源</w:t>
      </w:r>
      <w:r>
        <w:rPr>
          <w:rFonts w:hint="eastAsia" w:eastAsia="仿宋"/>
          <w:sz w:val="28"/>
          <w:szCs w:val="28"/>
        </w:rPr>
        <w:t>；</w:t>
      </w:r>
      <w:r>
        <w:rPr>
          <w:rFonts w:eastAsia="仿宋"/>
          <w:sz w:val="28"/>
          <w:szCs w:val="28"/>
        </w:rPr>
        <w:t>无</w:t>
      </w:r>
      <w:r>
        <w:rPr>
          <w:rFonts w:hint="eastAsia" w:eastAsia="仿宋"/>
          <w:sz w:val="28"/>
          <w:szCs w:val="28"/>
        </w:rPr>
        <w:t>农业</w:t>
      </w:r>
      <w:r>
        <w:rPr>
          <w:rFonts w:eastAsia="仿宋"/>
          <w:sz w:val="28"/>
          <w:szCs w:val="28"/>
        </w:rPr>
        <w:t>种植，</w:t>
      </w:r>
      <w:r>
        <w:rPr>
          <w:rFonts w:hint="eastAsia" w:eastAsia="仿宋"/>
          <w:sz w:val="28"/>
          <w:szCs w:val="28"/>
        </w:rPr>
        <w:t>不产生</w:t>
      </w:r>
      <w:r>
        <w:rPr>
          <w:rFonts w:eastAsia="仿宋"/>
          <w:sz w:val="28"/>
          <w:szCs w:val="28"/>
        </w:rPr>
        <w:t>农业污染源。</w:t>
      </w:r>
      <w:r>
        <w:rPr>
          <w:rFonts w:hint="eastAsia" w:eastAsia="仿宋"/>
          <w:sz w:val="28"/>
          <w:szCs w:val="28"/>
        </w:rPr>
        <w:t>水源地</w:t>
      </w:r>
      <w:r>
        <w:rPr>
          <w:rFonts w:eastAsia="仿宋"/>
          <w:sz w:val="28"/>
          <w:szCs w:val="28"/>
        </w:rPr>
        <w:t>周边对</w:t>
      </w:r>
      <w:r>
        <w:rPr>
          <w:rFonts w:hint="eastAsia" w:eastAsia="仿宋"/>
          <w:sz w:val="28"/>
          <w:szCs w:val="28"/>
        </w:rPr>
        <w:t>九眼井</w:t>
      </w:r>
      <w:r>
        <w:rPr>
          <w:rFonts w:eastAsia="仿宋"/>
          <w:sz w:val="28"/>
          <w:szCs w:val="28"/>
        </w:rPr>
        <w:t>水源有直接影响的污染源</w:t>
      </w:r>
      <w:r>
        <w:rPr>
          <w:rFonts w:hint="eastAsia" w:eastAsia="仿宋"/>
          <w:sz w:val="28"/>
          <w:szCs w:val="28"/>
        </w:rPr>
        <w:t>是水源一级保护区内长约40</w:t>
      </w:r>
      <w:r>
        <w:rPr>
          <w:rFonts w:eastAsia="仿宋"/>
          <w:sz w:val="28"/>
          <w:szCs w:val="28"/>
        </w:rPr>
        <w:t>m</w:t>
      </w:r>
      <w:r>
        <w:rPr>
          <w:rFonts w:hint="eastAsia" w:eastAsia="仿宋"/>
          <w:sz w:val="28"/>
          <w:szCs w:val="28"/>
        </w:rPr>
        <w:t>的014县道排水污染和过境车辆装载危险源泄露。</w:t>
      </w:r>
    </w:p>
    <w:p w14:paraId="73A995B6">
      <w:pPr>
        <w:pStyle w:val="3"/>
        <w:spacing w:line="560" w:lineRule="exact"/>
        <w:rPr>
          <w:rFonts w:eastAsia="仿宋"/>
          <w:sz w:val="32"/>
        </w:rPr>
      </w:pPr>
      <w:bookmarkStart w:id="33" w:name="_Toc60930772"/>
      <w:r>
        <w:rPr>
          <w:rFonts w:eastAsia="仿宋"/>
          <w:sz w:val="32"/>
        </w:rPr>
        <w:t>2.9</w:t>
      </w:r>
      <w:r>
        <w:rPr>
          <w:rFonts w:hint="eastAsia" w:eastAsia="仿宋"/>
          <w:sz w:val="32"/>
        </w:rPr>
        <w:t>马铃乡红岩水库</w:t>
      </w:r>
      <w:bookmarkEnd w:id="33"/>
    </w:p>
    <w:p w14:paraId="0ED41A81">
      <w:pPr>
        <w:pStyle w:val="4"/>
        <w:spacing w:before="120" w:after="120" w:line="600" w:lineRule="exact"/>
        <w:rPr>
          <w:rFonts w:eastAsia="仿宋"/>
          <w:sz w:val="28"/>
        </w:rPr>
      </w:pPr>
      <w:r>
        <w:rPr>
          <w:rFonts w:eastAsia="仿宋"/>
          <w:sz w:val="28"/>
        </w:rPr>
        <w:t>2.9.1水源地基本情况</w:t>
      </w:r>
    </w:p>
    <w:p w14:paraId="372C1692">
      <w:pPr>
        <w:spacing w:line="600" w:lineRule="exact"/>
        <w:ind w:firstLine="560" w:firstLineChars="200"/>
        <w:rPr>
          <w:rFonts w:ascii="仿宋" w:hAnsi="仿宋" w:eastAsia="仿宋"/>
          <w:sz w:val="28"/>
        </w:rPr>
      </w:pPr>
      <w:r>
        <w:rPr>
          <w:rFonts w:ascii="仿宋" w:hAnsi="仿宋" w:eastAsia="仿宋"/>
          <w:sz w:val="28"/>
        </w:rPr>
        <w:t>红岩水库位于花溪区马铃布依族苗族乡</w:t>
      </w:r>
      <w:r>
        <w:rPr>
          <w:rFonts w:hint="eastAsia" w:ascii="仿宋" w:hAnsi="仿宋" w:eastAsia="仿宋"/>
          <w:sz w:val="28"/>
        </w:rPr>
        <w:t>马铃村</w:t>
      </w:r>
      <w:r>
        <w:rPr>
          <w:rFonts w:ascii="仿宋" w:hAnsi="仿宋" w:eastAsia="仿宋"/>
          <w:sz w:val="28"/>
        </w:rPr>
        <w:t>，距马铃布依族苗族乡集镇3.9km，属于地表水（水库）型水源，规划为花溪区马铃布依族苗族乡集镇饮用水水源。水源取水点位于水库大坝左侧取水塔位置，地理坐标为东经106°37'7.28"，北纬26°15'47.44"。红岩水库是马铃布依族苗族乡集镇饮用水水源地，水库已经建成</w:t>
      </w:r>
      <w:r>
        <w:rPr>
          <w:rFonts w:hint="eastAsia" w:ascii="仿宋" w:hAnsi="仿宋" w:eastAsia="仿宋"/>
          <w:sz w:val="28"/>
        </w:rPr>
        <w:t>，</w:t>
      </w:r>
      <w:r>
        <w:rPr>
          <w:rFonts w:ascii="仿宋" w:hAnsi="仿宋" w:eastAsia="仿宋"/>
          <w:sz w:val="28"/>
        </w:rPr>
        <w:t>但未蓄水供水</w:t>
      </w:r>
      <w:r>
        <w:rPr>
          <w:rFonts w:hint="eastAsia" w:ascii="仿宋" w:hAnsi="仿宋" w:eastAsia="仿宋"/>
          <w:sz w:val="28"/>
        </w:rPr>
        <w:t>，红岩</w:t>
      </w:r>
      <w:r>
        <w:rPr>
          <w:rFonts w:ascii="仿宋" w:hAnsi="仿宋" w:eastAsia="仿宋"/>
          <w:sz w:val="28"/>
        </w:rPr>
        <w:t>水库规划日均</w:t>
      </w:r>
      <w:r>
        <w:rPr>
          <w:rFonts w:hint="eastAsia" w:ascii="仿宋" w:hAnsi="仿宋" w:eastAsia="仿宋"/>
          <w:sz w:val="28"/>
        </w:rPr>
        <w:t>供水量</w:t>
      </w:r>
      <w:r>
        <w:rPr>
          <w:rFonts w:ascii="仿宋" w:hAnsi="仿宋" w:eastAsia="仿宋"/>
          <w:sz w:val="28"/>
        </w:rPr>
        <w:t>20000</w:t>
      </w:r>
      <w:r>
        <w:rPr>
          <w:rFonts w:hint="eastAsia" w:ascii="仿宋" w:hAnsi="仿宋" w:eastAsia="仿宋"/>
          <w:sz w:val="28"/>
        </w:rPr>
        <w:t>立方米，规划供水服务</w:t>
      </w:r>
      <w:r>
        <w:rPr>
          <w:rFonts w:ascii="仿宋" w:hAnsi="仿宋" w:eastAsia="仿宋"/>
          <w:sz w:val="28"/>
        </w:rPr>
        <w:t>人口</w:t>
      </w:r>
      <w:r>
        <w:rPr>
          <w:rFonts w:hint="eastAsia" w:ascii="仿宋" w:hAnsi="仿宋" w:eastAsia="仿宋"/>
          <w:sz w:val="28"/>
        </w:rPr>
        <w:t>126821人</w:t>
      </w:r>
      <w:r>
        <w:rPr>
          <w:rFonts w:ascii="仿宋" w:hAnsi="仿宋" w:eastAsia="仿宋"/>
          <w:sz w:val="28"/>
        </w:rPr>
        <w:t>，</w:t>
      </w:r>
      <w:r>
        <w:rPr>
          <w:rFonts w:hint="eastAsia" w:ascii="仿宋" w:hAnsi="仿宋" w:eastAsia="仿宋"/>
          <w:sz w:val="28"/>
        </w:rPr>
        <w:t>主要向孟关</w:t>
      </w:r>
      <w:r>
        <w:rPr>
          <w:rFonts w:ascii="仿宋" w:hAnsi="仿宋" w:eastAsia="仿宋"/>
          <w:sz w:val="28"/>
        </w:rPr>
        <w:t>水厂</w:t>
      </w:r>
      <w:r>
        <w:rPr>
          <w:rFonts w:hint="eastAsia" w:ascii="仿宋" w:hAnsi="仿宋" w:eastAsia="仿宋"/>
          <w:sz w:val="28"/>
        </w:rPr>
        <w:t>、</w:t>
      </w:r>
      <w:r>
        <w:rPr>
          <w:rFonts w:ascii="仿宋" w:hAnsi="仿宋" w:eastAsia="仿宋"/>
          <w:sz w:val="28"/>
        </w:rPr>
        <w:t>青岩水厂供水，其中，孟关水厂服务人口</w:t>
      </w:r>
      <w:r>
        <w:rPr>
          <w:rFonts w:hint="eastAsia" w:ascii="仿宋" w:hAnsi="仿宋" w:eastAsia="仿宋"/>
          <w:sz w:val="28"/>
        </w:rPr>
        <w:t>90242人，服务</w:t>
      </w:r>
      <w:r>
        <w:rPr>
          <w:rFonts w:ascii="仿宋" w:hAnsi="仿宋" w:eastAsia="仿宋"/>
          <w:sz w:val="28"/>
        </w:rPr>
        <w:t>区域主要包括</w:t>
      </w:r>
      <w:r>
        <w:rPr>
          <w:rFonts w:hint="eastAsia" w:ascii="仿宋" w:hAnsi="仿宋" w:eastAsia="仿宋"/>
          <w:sz w:val="28"/>
        </w:rPr>
        <w:t>8个</w:t>
      </w:r>
      <w:r>
        <w:rPr>
          <w:rFonts w:ascii="仿宋" w:hAnsi="仿宋" w:eastAsia="仿宋"/>
          <w:sz w:val="28"/>
        </w:rPr>
        <w:t>村、1个居委会、3个项目，分别是孟关村、上板村、沙坡村、红星村、五星村、改貌村</w:t>
      </w:r>
      <w:r>
        <w:rPr>
          <w:rFonts w:hint="eastAsia" w:ascii="仿宋" w:hAnsi="仿宋" w:eastAsia="仿宋"/>
          <w:sz w:val="28"/>
        </w:rPr>
        <w:t>、</w:t>
      </w:r>
      <w:r>
        <w:rPr>
          <w:rFonts w:ascii="仿宋" w:hAnsi="仿宋" w:eastAsia="仿宋"/>
          <w:sz w:val="28"/>
        </w:rPr>
        <w:t>谷立村、石龙村</w:t>
      </w:r>
      <w:r>
        <w:rPr>
          <w:rFonts w:hint="eastAsia" w:ascii="仿宋" w:hAnsi="仿宋" w:eastAsia="仿宋"/>
          <w:sz w:val="28"/>
        </w:rPr>
        <w:t>、</w:t>
      </w:r>
      <w:r>
        <w:rPr>
          <w:rFonts w:ascii="仿宋" w:hAnsi="仿宋" w:eastAsia="仿宋"/>
          <w:sz w:val="28"/>
        </w:rPr>
        <w:t>孟关居委会</w:t>
      </w:r>
      <w:r>
        <w:rPr>
          <w:rFonts w:hint="eastAsia" w:ascii="仿宋" w:hAnsi="仿宋" w:eastAsia="仿宋"/>
          <w:sz w:val="28"/>
        </w:rPr>
        <w:t>、</w:t>
      </w:r>
      <w:r>
        <w:rPr>
          <w:rFonts w:ascii="仿宋" w:hAnsi="仿宋" w:eastAsia="仿宋"/>
          <w:sz w:val="28"/>
        </w:rPr>
        <w:t>碧桂园项目、蓝光雍锦及当代置业项目等</w:t>
      </w:r>
      <w:r>
        <w:rPr>
          <w:rFonts w:hint="eastAsia" w:ascii="仿宋" w:hAnsi="仿宋" w:eastAsia="仿宋"/>
          <w:sz w:val="28"/>
        </w:rPr>
        <w:t>；</w:t>
      </w:r>
      <w:r>
        <w:rPr>
          <w:rFonts w:ascii="仿宋" w:hAnsi="仿宋" w:eastAsia="仿宋"/>
          <w:sz w:val="28"/>
        </w:rPr>
        <w:t>青岩水厂</w:t>
      </w:r>
      <w:r>
        <w:rPr>
          <w:rFonts w:hint="eastAsia" w:ascii="仿宋" w:hAnsi="仿宋" w:eastAsia="仿宋"/>
          <w:sz w:val="28"/>
        </w:rPr>
        <w:t>服务</w:t>
      </w:r>
      <w:r>
        <w:rPr>
          <w:rFonts w:ascii="仿宋" w:hAnsi="仿宋" w:eastAsia="仿宋"/>
          <w:sz w:val="28"/>
        </w:rPr>
        <w:t>人口36579</w:t>
      </w:r>
      <w:r>
        <w:rPr>
          <w:rFonts w:hint="eastAsia" w:ascii="仿宋" w:hAnsi="仿宋" w:eastAsia="仿宋"/>
          <w:sz w:val="28"/>
        </w:rPr>
        <w:t>人，服务</w:t>
      </w:r>
      <w:r>
        <w:rPr>
          <w:rFonts w:ascii="仿宋" w:hAnsi="仿宋" w:eastAsia="仿宋"/>
          <w:sz w:val="28"/>
        </w:rPr>
        <w:t>区域主要包括</w:t>
      </w:r>
      <w:r>
        <w:rPr>
          <w:rFonts w:hint="eastAsia" w:ascii="仿宋" w:hAnsi="仿宋" w:eastAsia="仿宋"/>
          <w:sz w:val="28"/>
        </w:rPr>
        <w:t>18个</w:t>
      </w:r>
      <w:r>
        <w:rPr>
          <w:rFonts w:ascii="仿宋" w:hAnsi="仿宋" w:eastAsia="仿宋"/>
          <w:sz w:val="28"/>
        </w:rPr>
        <w:t>村、2个</w:t>
      </w:r>
      <w:r>
        <w:rPr>
          <w:rFonts w:hint="eastAsia" w:ascii="仿宋" w:hAnsi="仿宋" w:eastAsia="仿宋"/>
          <w:sz w:val="28"/>
        </w:rPr>
        <w:t>社区</w:t>
      </w:r>
      <w:r>
        <w:rPr>
          <w:rFonts w:ascii="仿宋" w:hAnsi="仿宋" w:eastAsia="仿宋"/>
          <w:sz w:val="28"/>
        </w:rPr>
        <w:t>、6个居民安置点</w:t>
      </w:r>
      <w:r>
        <w:rPr>
          <w:rFonts w:hint="eastAsia" w:ascii="仿宋" w:hAnsi="仿宋" w:eastAsia="仿宋"/>
          <w:sz w:val="28"/>
        </w:rPr>
        <w:t>，</w:t>
      </w:r>
      <w:r>
        <w:rPr>
          <w:rFonts w:ascii="仿宋" w:hAnsi="仿宋" w:eastAsia="仿宋"/>
          <w:sz w:val="28"/>
        </w:rPr>
        <w:t>分别是</w:t>
      </w:r>
      <w:r>
        <w:rPr>
          <w:rFonts w:hint="eastAsia" w:ascii="仿宋" w:hAnsi="仿宋" w:eastAsia="仿宋"/>
          <w:sz w:val="28"/>
        </w:rPr>
        <w:t>山王庙村、摆托村、扬眉村、摆早村、新哨村、思潜村、达夯村、谷通村、新楼村、二关村、龙井村、新关村、摆早村、新哨村、歪脚村、南街村、西街村、北街村、明清社区、东街社区、玉带湾畔安置点、田园美庐安置点、玉带溪苑安置点、玉带青城安置点、下寨山安置点、南山苑安置点。马铃乡红岩水库取水点照片见图2-</w:t>
      </w:r>
      <w:r>
        <w:rPr>
          <w:rFonts w:ascii="仿宋" w:hAnsi="仿宋" w:eastAsia="仿宋"/>
          <w:sz w:val="28"/>
        </w:rPr>
        <w:t>9</w:t>
      </w:r>
      <w:r>
        <w:rPr>
          <w:rFonts w:hint="eastAsia" w:ascii="仿宋" w:hAnsi="仿宋" w:eastAsia="仿宋"/>
          <w:sz w:val="28"/>
        </w:rPr>
        <w:t>。</w:t>
      </w:r>
    </w:p>
    <w:p w14:paraId="6CB898C2">
      <w:r>
        <w:drawing>
          <wp:inline distT="0" distB="0" distL="0" distR="0">
            <wp:extent cx="5472430" cy="1264920"/>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29"/>
                    <a:stretch>
                      <a:fillRect/>
                    </a:stretch>
                  </pic:blipFill>
                  <pic:spPr>
                    <a:xfrm>
                      <a:off x="0" y="0"/>
                      <a:ext cx="5472430" cy="1264920"/>
                    </a:xfrm>
                    <a:prstGeom prst="rect">
                      <a:avLst/>
                    </a:prstGeom>
                  </pic:spPr>
                </pic:pic>
              </a:graphicData>
            </a:graphic>
          </wp:inline>
        </w:drawing>
      </w:r>
    </w:p>
    <w:p w14:paraId="72BBDFC3">
      <w:pPr>
        <w:jc w:val="center"/>
        <w:rPr>
          <w:rFonts w:eastAsia="仿宋"/>
          <w:b/>
          <w:spacing w:val="-8"/>
          <w:sz w:val="21"/>
          <w:szCs w:val="21"/>
        </w:rPr>
      </w:pPr>
      <w:r>
        <w:rPr>
          <w:rFonts w:eastAsia="仿宋"/>
          <w:b/>
          <w:spacing w:val="-8"/>
          <w:sz w:val="21"/>
          <w:szCs w:val="21"/>
        </w:rPr>
        <w:t xml:space="preserve">图2-10 </w:t>
      </w:r>
      <w:r>
        <w:rPr>
          <w:rFonts w:hint="eastAsia" w:eastAsia="仿宋"/>
          <w:b/>
          <w:spacing w:val="-8"/>
          <w:sz w:val="21"/>
          <w:szCs w:val="21"/>
        </w:rPr>
        <w:t>马铃乡红岩水库</w:t>
      </w:r>
      <w:r>
        <w:rPr>
          <w:rFonts w:eastAsia="仿宋"/>
          <w:b/>
          <w:spacing w:val="-8"/>
          <w:sz w:val="21"/>
          <w:szCs w:val="21"/>
        </w:rPr>
        <w:t>取水</w:t>
      </w:r>
      <w:r>
        <w:rPr>
          <w:rFonts w:hint="eastAsia" w:eastAsia="仿宋"/>
          <w:b/>
          <w:spacing w:val="-8"/>
          <w:sz w:val="21"/>
          <w:szCs w:val="21"/>
        </w:rPr>
        <w:t>点</w:t>
      </w:r>
      <w:r>
        <w:rPr>
          <w:rFonts w:eastAsia="仿宋"/>
          <w:b/>
          <w:spacing w:val="-8"/>
          <w:sz w:val="21"/>
          <w:szCs w:val="21"/>
        </w:rPr>
        <w:t>现场照片</w:t>
      </w:r>
    </w:p>
    <w:p w14:paraId="647563A0">
      <w:pPr>
        <w:spacing w:line="600" w:lineRule="exact"/>
        <w:ind w:firstLine="560" w:firstLineChars="200"/>
        <w:rPr>
          <w:rFonts w:ascii="仿宋" w:hAnsi="仿宋" w:eastAsia="仿宋"/>
          <w:sz w:val="28"/>
        </w:rPr>
      </w:pPr>
      <w:r>
        <w:rPr>
          <w:rFonts w:ascii="仿宋" w:hAnsi="仿宋" w:eastAsia="仿宋"/>
          <w:sz w:val="28"/>
        </w:rPr>
        <w:t>根据2020年1-3月红岩水库集中式饮用水水源地水质监测平均结果显示，红岩水库集中式饮用水水源参与评价的22项指标中各项指标均能优于《地表水环境质量标准》（GB 3838-2002）</w:t>
      </w:r>
      <w:r>
        <w:rPr>
          <w:rFonts w:hint="eastAsia" w:ascii="仿宋" w:hAnsi="仿宋" w:eastAsia="仿宋"/>
          <w:sz w:val="28"/>
        </w:rPr>
        <w:t>Ⅱ</w:t>
      </w:r>
      <w:r>
        <w:rPr>
          <w:rFonts w:ascii="仿宋" w:hAnsi="仿宋" w:eastAsia="仿宋"/>
          <w:sz w:val="28"/>
        </w:rPr>
        <w:t>类水质标准要求。</w:t>
      </w:r>
    </w:p>
    <w:p w14:paraId="6472B1AF">
      <w:pPr>
        <w:spacing w:line="600" w:lineRule="exact"/>
        <w:ind w:firstLine="528" w:firstLineChars="200"/>
        <w:rPr>
          <w:rFonts w:eastAsia="仿宋"/>
          <w:sz w:val="28"/>
          <w:szCs w:val="28"/>
        </w:rPr>
      </w:pPr>
      <w:r>
        <w:rPr>
          <w:rFonts w:eastAsia="仿宋"/>
          <w:spacing w:val="-8"/>
          <w:sz w:val="28"/>
          <w:szCs w:val="28"/>
        </w:rPr>
        <w:t>根据《花溪区</w:t>
      </w:r>
      <w:r>
        <w:rPr>
          <w:rFonts w:hint="eastAsia" w:ascii="仿宋" w:hAnsi="仿宋" w:eastAsia="仿宋"/>
          <w:sz w:val="28"/>
        </w:rPr>
        <w:t>马铃乡</w:t>
      </w:r>
      <w:r>
        <w:rPr>
          <w:rFonts w:ascii="仿宋" w:hAnsi="仿宋" w:eastAsia="仿宋"/>
          <w:sz w:val="28"/>
        </w:rPr>
        <w:t>红岩水库</w:t>
      </w:r>
      <w:r>
        <w:rPr>
          <w:rFonts w:eastAsia="仿宋"/>
          <w:spacing w:val="-8"/>
          <w:sz w:val="28"/>
          <w:szCs w:val="28"/>
        </w:rPr>
        <w:t>集中式饮用水水源</w:t>
      </w:r>
      <w:r>
        <w:rPr>
          <w:rFonts w:hint="eastAsia" w:eastAsia="仿宋"/>
          <w:spacing w:val="-8"/>
          <w:sz w:val="28"/>
          <w:szCs w:val="28"/>
        </w:rPr>
        <w:t>保护区调整方案</w:t>
      </w:r>
      <w:r>
        <w:rPr>
          <w:rFonts w:eastAsia="仿宋"/>
          <w:spacing w:val="-8"/>
          <w:sz w:val="28"/>
          <w:szCs w:val="28"/>
        </w:rPr>
        <w:t>》，</w:t>
      </w:r>
      <w:r>
        <w:rPr>
          <w:rFonts w:eastAsia="仿宋_GB2312"/>
          <w:spacing w:val="-8"/>
          <w:szCs w:val="28"/>
        </w:rPr>
        <w:t>红</w:t>
      </w:r>
      <w:r>
        <w:rPr>
          <w:rFonts w:ascii="仿宋" w:hAnsi="仿宋" w:eastAsia="仿宋"/>
          <w:spacing w:val="-8"/>
          <w:sz w:val="28"/>
          <w:szCs w:val="28"/>
        </w:rPr>
        <w:t>岩水库集中式饮用水水源保护区划分为一级保护区、二级保护区和准保护区，总面积为16.768km</w:t>
      </w:r>
      <w:r>
        <w:rPr>
          <w:rFonts w:ascii="Calibri" w:hAnsi="Calibri" w:eastAsia="仿宋" w:cs="Calibri"/>
          <w:spacing w:val="-8"/>
          <w:sz w:val="28"/>
          <w:szCs w:val="28"/>
        </w:rPr>
        <w:t>²</w:t>
      </w:r>
      <w:r>
        <w:rPr>
          <w:rFonts w:ascii="仿宋" w:hAnsi="仿宋" w:eastAsia="仿宋"/>
          <w:spacing w:val="-8"/>
          <w:sz w:val="28"/>
          <w:szCs w:val="28"/>
        </w:rPr>
        <w:t>。其中，一级保护区面积为0.277km</w:t>
      </w:r>
      <w:r>
        <w:rPr>
          <w:rFonts w:ascii="Calibri" w:hAnsi="Calibri" w:eastAsia="仿宋" w:cs="Calibri"/>
          <w:spacing w:val="-8"/>
          <w:sz w:val="28"/>
          <w:szCs w:val="28"/>
        </w:rPr>
        <w:t>²</w:t>
      </w:r>
      <w:r>
        <w:rPr>
          <w:rFonts w:ascii="仿宋" w:hAnsi="仿宋" w:eastAsia="仿宋"/>
          <w:spacing w:val="-8"/>
          <w:sz w:val="28"/>
          <w:szCs w:val="28"/>
        </w:rPr>
        <w:t>，占总保护区面积的1.65%；二级保护区面积为8.145km</w:t>
      </w:r>
      <w:r>
        <w:rPr>
          <w:rFonts w:ascii="Calibri" w:hAnsi="Calibri" w:eastAsia="仿宋" w:cs="Calibri"/>
          <w:spacing w:val="-8"/>
          <w:sz w:val="28"/>
          <w:szCs w:val="28"/>
        </w:rPr>
        <w:t>²</w:t>
      </w:r>
      <w:r>
        <w:rPr>
          <w:rFonts w:ascii="仿宋" w:hAnsi="仿宋" w:eastAsia="仿宋"/>
          <w:spacing w:val="-8"/>
          <w:sz w:val="28"/>
          <w:szCs w:val="28"/>
        </w:rPr>
        <w:t>，占总保护区面积的48.57%；准保护区面积为8.346km</w:t>
      </w:r>
      <w:r>
        <w:rPr>
          <w:rFonts w:ascii="仿宋" w:hAnsi="仿宋" w:eastAsia="仿宋"/>
          <w:spacing w:val="-8"/>
          <w:sz w:val="28"/>
          <w:szCs w:val="28"/>
          <w:vertAlign w:val="superscript"/>
        </w:rPr>
        <w:t>2</w:t>
      </w:r>
      <w:r>
        <w:rPr>
          <w:rFonts w:ascii="仿宋" w:hAnsi="仿宋" w:eastAsia="仿宋"/>
          <w:spacing w:val="-8"/>
          <w:sz w:val="28"/>
          <w:szCs w:val="28"/>
        </w:rPr>
        <w:t>，占总保护区面积的49.77%。</w:t>
      </w:r>
      <w:r>
        <w:rPr>
          <w:rFonts w:eastAsia="仿宋"/>
          <w:sz w:val="28"/>
          <w:szCs w:val="28"/>
        </w:rPr>
        <w:t>保护区划分见附图17</w:t>
      </w:r>
      <w:r>
        <w:rPr>
          <w:rFonts w:hint="eastAsia" w:eastAsia="仿宋"/>
          <w:sz w:val="28"/>
          <w:szCs w:val="28"/>
        </w:rPr>
        <w:t>和</w:t>
      </w:r>
      <w:r>
        <w:rPr>
          <w:rFonts w:eastAsia="仿宋"/>
          <w:sz w:val="28"/>
          <w:szCs w:val="28"/>
        </w:rPr>
        <w:t>附图18。</w:t>
      </w:r>
    </w:p>
    <w:p w14:paraId="4733B904">
      <w:pPr>
        <w:pStyle w:val="4"/>
        <w:spacing w:before="120" w:after="120"/>
        <w:rPr>
          <w:rFonts w:eastAsia="仿宋"/>
          <w:sz w:val="28"/>
        </w:rPr>
      </w:pPr>
      <w:r>
        <w:rPr>
          <w:rFonts w:eastAsia="仿宋"/>
          <w:sz w:val="28"/>
        </w:rPr>
        <w:t>2.9.2水源地风险分析</w:t>
      </w:r>
    </w:p>
    <w:p w14:paraId="7F3D30F1">
      <w:pPr>
        <w:autoSpaceDE w:val="0"/>
        <w:autoSpaceDN w:val="0"/>
        <w:adjustRightInd w:val="0"/>
        <w:ind w:firstLine="560" w:firstLineChars="200"/>
        <w:rPr>
          <w:rFonts w:eastAsia="仿宋"/>
          <w:sz w:val="28"/>
          <w:szCs w:val="28"/>
        </w:rPr>
      </w:pPr>
      <w:r>
        <w:rPr>
          <w:rFonts w:eastAsia="仿宋"/>
          <w:sz w:val="28"/>
          <w:szCs w:val="28"/>
        </w:rPr>
        <w:t>（1）</w:t>
      </w:r>
      <w:r>
        <w:rPr>
          <w:rFonts w:hint="eastAsia" w:eastAsia="仿宋"/>
          <w:sz w:val="28"/>
          <w:szCs w:val="28"/>
        </w:rPr>
        <w:t>农业污染</w:t>
      </w:r>
      <w:r>
        <w:rPr>
          <w:rFonts w:eastAsia="仿宋"/>
          <w:sz w:val="28"/>
          <w:szCs w:val="28"/>
        </w:rPr>
        <w:t>源环境风险</w:t>
      </w:r>
    </w:p>
    <w:p w14:paraId="6CF3848E">
      <w:pPr>
        <w:spacing w:line="600" w:lineRule="exact"/>
        <w:ind w:firstLine="560" w:firstLineChars="200"/>
        <w:rPr>
          <w:rFonts w:eastAsia="仿宋"/>
          <w:kern w:val="0"/>
          <w:sz w:val="28"/>
          <w:szCs w:val="28"/>
        </w:rPr>
      </w:pPr>
      <w:r>
        <w:rPr>
          <w:rFonts w:hint="eastAsia" w:eastAsia="仿宋"/>
          <w:kern w:val="0"/>
          <w:sz w:val="28"/>
          <w:szCs w:val="28"/>
        </w:rPr>
        <w:t>根据实地调查，</w:t>
      </w:r>
      <w:r>
        <w:rPr>
          <w:rFonts w:ascii="仿宋" w:hAnsi="仿宋" w:eastAsia="仿宋"/>
          <w:sz w:val="28"/>
        </w:rPr>
        <w:t>红岩水库</w:t>
      </w:r>
      <w:r>
        <w:rPr>
          <w:rFonts w:eastAsia="仿宋"/>
          <w:kern w:val="0"/>
          <w:sz w:val="28"/>
          <w:szCs w:val="28"/>
        </w:rPr>
        <w:t>一级保护区内现有耕地约143.5亩，主要种植经济林，主要污染来源于施用的化肥、农药和除草剂。参照《全国水环境容量技术指南》，采用标准农田化肥施用量为25kg/亩.年、氨氮排放源强系数为2kg/亩.年进行农业污染源量核算，经核算其化肥施用量约为3587.5kg/a，氨氮排放量约287kg/a，其污染主要通过地表径流的方式排放。二级保护区内现有耕地约1921.8亩，主要种植玉米和水稻，主要污染来源于施用的化肥、农药和除草剂。参照《全国水环境容量技术指南》，采用标准农田化肥施用量为25kg/亩.年、氨氮排放源强系数为2kg/亩.年进行农业污染源量核算，经核算其化肥施用量约为48045kg/a，氨氮排放量约3843.6kg/a，其污染主要通过地表径流的方式排放。</w:t>
      </w:r>
    </w:p>
    <w:p w14:paraId="3B840DE4">
      <w:pPr>
        <w:autoSpaceDE w:val="0"/>
        <w:autoSpaceDN w:val="0"/>
        <w:adjustRightInd w:val="0"/>
        <w:ind w:firstLine="560" w:firstLineChars="200"/>
        <w:rPr>
          <w:rFonts w:eastAsia="仿宋"/>
          <w:sz w:val="28"/>
          <w:szCs w:val="28"/>
        </w:rPr>
      </w:pPr>
      <w:r>
        <w:rPr>
          <w:rFonts w:eastAsia="仿宋"/>
          <w:sz w:val="28"/>
          <w:szCs w:val="28"/>
        </w:rPr>
        <w:t>（2）</w:t>
      </w:r>
      <w:r>
        <w:rPr>
          <w:rFonts w:hint="eastAsia" w:eastAsia="仿宋"/>
          <w:sz w:val="28"/>
          <w:szCs w:val="28"/>
        </w:rPr>
        <w:t>生活面</w:t>
      </w:r>
      <w:r>
        <w:rPr>
          <w:rFonts w:eastAsia="仿宋"/>
          <w:sz w:val="28"/>
          <w:szCs w:val="28"/>
        </w:rPr>
        <w:t>源环境风险</w:t>
      </w:r>
    </w:p>
    <w:p w14:paraId="2755C6FE">
      <w:pPr>
        <w:ind w:firstLine="480"/>
        <w:rPr>
          <w:rFonts w:eastAsia="仿宋"/>
          <w:sz w:val="28"/>
          <w:szCs w:val="28"/>
        </w:rPr>
      </w:pPr>
      <w:r>
        <w:rPr>
          <w:rFonts w:eastAsia="仿宋"/>
          <w:sz w:val="28"/>
          <w:szCs w:val="28"/>
        </w:rPr>
        <w:t>红岩水库一级保护区内无人居住，不产生生活污染源。二级保护区内居民分布较广，主要集中在马铃村、大荒地安置小区、石浪安置小区、猫脚、泡合冲、大荒地、山脚坡、</w:t>
      </w:r>
      <w:r>
        <w:rPr>
          <w:rFonts w:hint="eastAsia" w:eastAsia="仿宋"/>
          <w:sz w:val="28"/>
          <w:szCs w:val="28"/>
          <w:lang w:eastAsia="zh-CN"/>
        </w:rPr>
        <w:t>斗篷</w:t>
      </w:r>
      <w:r>
        <w:rPr>
          <w:rFonts w:eastAsia="仿宋"/>
          <w:sz w:val="28"/>
          <w:szCs w:val="28"/>
        </w:rPr>
        <w:t>山、关塘等区域。两个安置小区共173户797人；猫脚、泡合冲、大荒地、山脚坡、</w:t>
      </w:r>
      <w:r>
        <w:rPr>
          <w:rFonts w:hint="eastAsia" w:eastAsia="仿宋"/>
          <w:sz w:val="28"/>
          <w:szCs w:val="28"/>
          <w:lang w:eastAsia="zh-CN"/>
        </w:rPr>
        <w:t>斗篷</w:t>
      </w:r>
      <w:r>
        <w:rPr>
          <w:rFonts w:eastAsia="仿宋"/>
          <w:sz w:val="28"/>
          <w:szCs w:val="28"/>
        </w:rPr>
        <w:t xml:space="preserve">山、关塘等自然村寨区域共168户774人。 </w:t>
      </w:r>
    </w:p>
    <w:p w14:paraId="58262967">
      <w:pPr>
        <w:ind w:firstLine="480"/>
        <w:rPr>
          <w:rFonts w:eastAsia="仿宋"/>
          <w:sz w:val="28"/>
          <w:szCs w:val="28"/>
        </w:rPr>
      </w:pPr>
      <w:r>
        <w:rPr>
          <w:rFonts w:eastAsia="仿宋"/>
          <w:sz w:val="28"/>
          <w:szCs w:val="28"/>
        </w:rPr>
        <w:t>参照《第一次全国污染源普查-城镇生活源产排污系数手册》，该区域属于四区，城市类别属于2类，生活垃圾产生系数为0.56 kg/人·天。经核算，二级保护区内垃圾产生量为879.76 kg/d。目前，二级保护区内生活垃圾有收集设施，马铃村及大荒地安置小区、石浪安置小区生活垃圾全部收集转运处理，其它区域绝大多数生活垃圾收集转运处理，部分村民不愿远距离倒垃圾，仍然自行简单处置。</w:t>
      </w:r>
    </w:p>
    <w:p w14:paraId="67D2DF37">
      <w:pPr>
        <w:ind w:firstLine="480"/>
        <w:rPr>
          <w:rFonts w:eastAsia="仿宋"/>
          <w:sz w:val="28"/>
          <w:szCs w:val="28"/>
        </w:rPr>
      </w:pPr>
      <w:r>
        <w:rPr>
          <w:rFonts w:eastAsia="仿宋"/>
          <w:sz w:val="28"/>
          <w:szCs w:val="28"/>
        </w:rPr>
        <w:t>参照《乡（镇）村给水工程技术规程》（CJJ 123-2008）和《镇规划标准》（GB 50188-2007），常住人口最高日用水定额按30-70L/人·d计算，生活污水产生量可按生活用水量的75％-85％进行计算。根据当地经济社会发展、水资源充沛程度、村民用水习惯等情况，村户内有给水龙头，无水冲厕所和淋浴设备，生活用水量取值50L/人·d，污水形成率按75%计，污水产排系数为37.5L/人·d。经计算，二级保护区内污水产生量为58912.5L/d。目前，二级保护区内生活污水的排放方式为分户散排，大多数农户直接将生活污水排放至房前屋后，通过土壤吸收及蒸发，很少能形成地表径流，但是，马铃布依族苗族乡污水处理厂正在建设中，预计很快建设完成，届时将马铃村、大荒地安置小区、石浪安置小区以及其它部分区域的污水全部收集至污水处理厂集中处理排放。</w:t>
      </w:r>
    </w:p>
    <w:p w14:paraId="21C3F8E8">
      <w:pPr>
        <w:autoSpaceDE w:val="0"/>
        <w:autoSpaceDN w:val="0"/>
        <w:adjustRightInd w:val="0"/>
        <w:ind w:firstLine="560" w:firstLineChars="200"/>
        <w:rPr>
          <w:rFonts w:eastAsia="仿宋"/>
          <w:sz w:val="28"/>
          <w:szCs w:val="28"/>
        </w:rPr>
      </w:pPr>
      <w:r>
        <w:rPr>
          <w:rFonts w:eastAsia="仿宋"/>
          <w:sz w:val="28"/>
          <w:szCs w:val="28"/>
        </w:rPr>
        <w:t>（3）</w:t>
      </w:r>
      <w:r>
        <w:rPr>
          <w:rFonts w:hint="eastAsia" w:eastAsia="仿宋"/>
          <w:sz w:val="28"/>
          <w:szCs w:val="28"/>
        </w:rPr>
        <w:t>环境应急建议</w:t>
      </w:r>
    </w:p>
    <w:p w14:paraId="52E9DAE7">
      <w:pPr>
        <w:ind w:firstLine="560" w:firstLineChars="200"/>
        <w:jc w:val="left"/>
        <w:rPr>
          <w:rFonts w:hint="eastAsia" w:eastAsia="仿宋"/>
          <w:sz w:val="28"/>
          <w:szCs w:val="28"/>
        </w:rPr>
      </w:pPr>
      <w:r>
        <w:rPr>
          <w:rFonts w:hint="eastAsia" w:eastAsia="仿宋"/>
          <w:sz w:val="28"/>
          <w:szCs w:val="28"/>
        </w:rPr>
        <w:t>1）、马铃乡红岩水库计划于今年拉闸储水，建议尽早启动一二级水源保护区、准保护区和红岩水库上游马铃河各干支流支沟周边村寨的污水收集管网及处理设施设备的规划和建设，最大范围减少环境事件的发生。</w:t>
      </w:r>
    </w:p>
    <w:p w14:paraId="2CED894D">
      <w:pPr>
        <w:ind w:firstLine="531"/>
        <w:jc w:val="left"/>
        <w:rPr>
          <w:rFonts w:hint="eastAsia" w:eastAsia="仿宋"/>
          <w:sz w:val="28"/>
          <w:szCs w:val="28"/>
        </w:rPr>
      </w:pPr>
      <w:r>
        <w:rPr>
          <w:rFonts w:eastAsia="仿宋"/>
          <w:sz w:val="28"/>
          <w:szCs w:val="28"/>
        </w:rPr>
        <w:t>2</w:t>
      </w:r>
      <w:r>
        <w:rPr>
          <w:rFonts w:hint="eastAsia" w:eastAsia="仿宋"/>
          <w:sz w:val="28"/>
          <w:szCs w:val="28"/>
        </w:rPr>
        <w:t>）、建议加大乡镇环境保护工作经费投入，便于各项环境保护工作的有力开展。</w:t>
      </w:r>
    </w:p>
    <w:p w14:paraId="09DC1DC8">
      <w:pPr>
        <w:pStyle w:val="3"/>
        <w:spacing w:line="560" w:lineRule="exact"/>
        <w:rPr>
          <w:rFonts w:eastAsia="仿宋"/>
          <w:sz w:val="32"/>
        </w:rPr>
      </w:pPr>
      <w:bookmarkStart w:id="34" w:name="_Toc60930773"/>
      <w:r>
        <w:rPr>
          <w:rFonts w:eastAsia="仿宋"/>
          <w:sz w:val="32"/>
        </w:rPr>
        <w:t>2.10</w:t>
      </w:r>
      <w:r>
        <w:rPr>
          <w:rFonts w:hint="eastAsia" w:eastAsia="仿宋"/>
          <w:sz w:val="32"/>
        </w:rPr>
        <w:t>高坡乡大洪村集中式饮用水源</w:t>
      </w:r>
      <w:bookmarkEnd w:id="34"/>
    </w:p>
    <w:p w14:paraId="122C9828">
      <w:pPr>
        <w:pStyle w:val="29"/>
        <w:spacing w:line="600" w:lineRule="exact"/>
        <w:ind w:right="28" w:firstLine="548" w:firstLineChars="196"/>
        <w:rPr>
          <w:rFonts w:ascii="仿宋" w:hAnsi="仿宋" w:eastAsia="仿宋"/>
          <w:sz w:val="28"/>
        </w:rPr>
      </w:pPr>
      <w:r>
        <w:rPr>
          <w:rFonts w:eastAsia="仿宋"/>
          <w:kern w:val="2"/>
          <w:sz w:val="28"/>
          <w:szCs w:val="28"/>
        </w:rPr>
        <w:t>大洪村水源位于花溪区高坡苗族乡大洪村小长寨组，距高坡苗族乡集镇1.3km，属于地下水型水源，是花溪区高坡苗族乡大洪村集中式饮用水水源。水源取水点位于高坡苗族乡大洪村小长寨组，地理坐标为东经106°47'52.34"，北纬26°18'9.68"。大洪村水源是高坡苗族乡大洪村集中式饮用水水源，服务人口2000人，日均供水量200立方米，供水区域为大洪村9个村民组。大洪村水源</w:t>
      </w:r>
      <w:r>
        <w:rPr>
          <w:rFonts w:hint="eastAsia" w:ascii="仿宋" w:hAnsi="仿宋" w:eastAsia="仿宋"/>
          <w:sz w:val="28"/>
        </w:rPr>
        <w:t>取水点照片见图2-</w:t>
      </w:r>
      <w:r>
        <w:rPr>
          <w:rFonts w:ascii="仿宋" w:hAnsi="仿宋" w:eastAsia="仿宋"/>
          <w:sz w:val="28"/>
        </w:rPr>
        <w:t>10</w:t>
      </w:r>
      <w:r>
        <w:rPr>
          <w:rFonts w:hint="eastAsia" w:ascii="仿宋" w:hAnsi="仿宋" w:eastAsia="仿宋"/>
          <w:sz w:val="28"/>
        </w:rPr>
        <w:t>。</w:t>
      </w:r>
    </w:p>
    <w:p w14:paraId="750A2B6F">
      <w:pPr>
        <w:jc w:val="center"/>
        <w:rPr>
          <w:rFonts w:eastAsia="仿宋_GB2312"/>
          <w:spacing w:val="-8"/>
          <w:szCs w:val="21"/>
        </w:rPr>
      </w:pPr>
      <w:r>
        <w:rPr>
          <w:rFonts w:eastAsia="仿宋_GB2312"/>
          <w:spacing w:val="-8"/>
          <w:szCs w:val="21"/>
        </w:rPr>
        <w:drawing>
          <wp:inline distT="0" distB="0" distL="0" distR="0">
            <wp:extent cx="2616200" cy="1970405"/>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2624102" cy="1976581"/>
                    </a:xfrm>
                    <a:prstGeom prst="rect">
                      <a:avLst/>
                    </a:prstGeom>
                    <a:noFill/>
                    <a:ln>
                      <a:noFill/>
                    </a:ln>
                  </pic:spPr>
                </pic:pic>
              </a:graphicData>
            </a:graphic>
          </wp:inline>
        </w:drawing>
      </w:r>
      <w:r>
        <w:rPr>
          <w:rFonts w:eastAsia="仿宋_GB2312"/>
          <w:spacing w:val="-8"/>
          <w:szCs w:val="21"/>
        </w:rPr>
        <w:t xml:space="preserve"> </w:t>
      </w:r>
      <w:r>
        <w:rPr>
          <w:rFonts w:eastAsia="仿宋_GB2312"/>
          <w:spacing w:val="-8"/>
          <w:szCs w:val="21"/>
        </w:rPr>
        <w:drawing>
          <wp:inline distT="0" distB="0" distL="0" distR="0">
            <wp:extent cx="2644775" cy="1969135"/>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2646739" cy="1970962"/>
                    </a:xfrm>
                    <a:prstGeom prst="rect">
                      <a:avLst/>
                    </a:prstGeom>
                    <a:noFill/>
                    <a:ln>
                      <a:noFill/>
                    </a:ln>
                  </pic:spPr>
                </pic:pic>
              </a:graphicData>
            </a:graphic>
          </wp:inline>
        </w:drawing>
      </w:r>
    </w:p>
    <w:p w14:paraId="03608DA1">
      <w:pPr>
        <w:jc w:val="center"/>
        <w:rPr>
          <w:rFonts w:eastAsia="仿宋"/>
          <w:b/>
          <w:spacing w:val="-8"/>
          <w:sz w:val="21"/>
          <w:szCs w:val="21"/>
        </w:rPr>
      </w:pPr>
      <w:r>
        <w:rPr>
          <w:rFonts w:eastAsia="仿宋"/>
          <w:b/>
          <w:spacing w:val="-8"/>
          <w:sz w:val="21"/>
          <w:szCs w:val="21"/>
        </w:rPr>
        <w:t xml:space="preserve">图2-10 </w:t>
      </w:r>
      <w:r>
        <w:rPr>
          <w:rFonts w:hint="eastAsia" w:eastAsia="仿宋"/>
          <w:b/>
          <w:spacing w:val="-8"/>
          <w:sz w:val="21"/>
          <w:szCs w:val="21"/>
        </w:rPr>
        <w:t>大洪村水源</w:t>
      </w:r>
      <w:r>
        <w:rPr>
          <w:rFonts w:eastAsia="仿宋"/>
          <w:b/>
          <w:spacing w:val="-8"/>
          <w:sz w:val="21"/>
          <w:szCs w:val="21"/>
        </w:rPr>
        <w:t>取水</w:t>
      </w:r>
      <w:r>
        <w:rPr>
          <w:rFonts w:hint="eastAsia" w:eastAsia="仿宋"/>
          <w:b/>
          <w:spacing w:val="-8"/>
          <w:sz w:val="21"/>
          <w:szCs w:val="21"/>
        </w:rPr>
        <w:t>点</w:t>
      </w:r>
      <w:r>
        <w:rPr>
          <w:rFonts w:eastAsia="仿宋"/>
          <w:b/>
          <w:spacing w:val="-8"/>
          <w:sz w:val="21"/>
          <w:szCs w:val="21"/>
        </w:rPr>
        <w:t>现场照片</w:t>
      </w:r>
    </w:p>
    <w:p w14:paraId="09882CBF">
      <w:pPr>
        <w:spacing w:line="600" w:lineRule="exact"/>
        <w:ind w:firstLine="528" w:firstLineChars="200"/>
        <w:rPr>
          <w:rFonts w:ascii="仿宋" w:hAnsi="仿宋" w:eastAsia="仿宋"/>
          <w:spacing w:val="-8"/>
          <w:sz w:val="28"/>
          <w:szCs w:val="28"/>
        </w:rPr>
      </w:pPr>
      <w:r>
        <w:rPr>
          <w:rFonts w:ascii="仿宋" w:hAnsi="仿宋" w:eastAsia="仿宋"/>
          <w:spacing w:val="-8"/>
          <w:sz w:val="28"/>
          <w:szCs w:val="28"/>
        </w:rPr>
        <w:t>大洪村水源属于地下水型水源，是以机井形式开采地下水，其取水点位于花溪区高坡苗族乡大洪村小长寨组014县道旁。目前水质为《地下水质量标准》（GB/T 14848-2017）</w:t>
      </w:r>
      <w:r>
        <w:rPr>
          <w:rFonts w:hint="eastAsia" w:ascii="仿宋" w:hAnsi="仿宋" w:eastAsia="仿宋"/>
          <w:spacing w:val="-8"/>
          <w:sz w:val="28"/>
          <w:szCs w:val="28"/>
        </w:rPr>
        <w:t>Ⅲ</w:t>
      </w:r>
      <w:r>
        <w:rPr>
          <w:rFonts w:ascii="仿宋" w:hAnsi="仿宋" w:eastAsia="仿宋"/>
          <w:spacing w:val="-8"/>
          <w:sz w:val="28"/>
          <w:szCs w:val="28"/>
        </w:rPr>
        <w:t>类</w:t>
      </w:r>
      <w:r>
        <w:rPr>
          <w:rFonts w:hint="eastAsia" w:ascii="仿宋" w:hAnsi="仿宋" w:eastAsia="仿宋"/>
          <w:spacing w:val="-8"/>
          <w:sz w:val="28"/>
          <w:szCs w:val="28"/>
        </w:rPr>
        <w:t>。</w:t>
      </w:r>
    </w:p>
    <w:p w14:paraId="58F8143E">
      <w:pPr>
        <w:pStyle w:val="29"/>
        <w:spacing w:line="600" w:lineRule="exact"/>
        <w:ind w:right="28" w:firstLine="548" w:firstLineChars="196"/>
        <w:rPr>
          <w:rFonts w:eastAsia="仿宋"/>
          <w:sz w:val="28"/>
          <w:szCs w:val="28"/>
        </w:rPr>
      </w:pPr>
      <w:r>
        <w:rPr>
          <w:rFonts w:eastAsia="仿宋"/>
          <w:sz w:val="28"/>
          <w:szCs w:val="28"/>
        </w:rPr>
        <w:t>根据《花溪区</w:t>
      </w:r>
      <w:r>
        <w:rPr>
          <w:rFonts w:hint="eastAsia" w:eastAsia="仿宋"/>
          <w:sz w:val="28"/>
          <w:szCs w:val="28"/>
        </w:rPr>
        <w:t>千人以上集中式饮用水水源监管范围划分方案</w:t>
      </w:r>
      <w:r>
        <w:rPr>
          <w:rFonts w:eastAsia="仿宋"/>
          <w:sz w:val="28"/>
          <w:szCs w:val="28"/>
        </w:rPr>
        <w:t>》，花溪区高坡苗族乡大洪村集中式饮用水水源监管范围总面积为0 .0016km</w:t>
      </w:r>
      <w:r>
        <w:rPr>
          <w:rFonts w:eastAsia="仿宋"/>
          <w:sz w:val="28"/>
          <w:szCs w:val="28"/>
          <w:vertAlign w:val="superscript"/>
        </w:rPr>
        <w:t>2</w:t>
      </w:r>
      <w:r>
        <w:rPr>
          <w:rFonts w:eastAsia="仿宋"/>
          <w:sz w:val="28"/>
          <w:szCs w:val="28"/>
        </w:rPr>
        <w:t>。</w:t>
      </w:r>
      <w:r>
        <w:rPr>
          <w:rFonts w:ascii="仿宋" w:hAnsi="仿宋" w:eastAsia="仿宋"/>
          <w:spacing w:val="-8"/>
          <w:sz w:val="28"/>
          <w:szCs w:val="28"/>
        </w:rPr>
        <w:t>大洪村水源</w:t>
      </w:r>
      <w:r>
        <w:rPr>
          <w:rFonts w:hint="eastAsia" w:eastAsia="仿宋"/>
          <w:sz w:val="28"/>
          <w:szCs w:val="28"/>
        </w:rPr>
        <w:t>监管范围</w:t>
      </w:r>
      <w:r>
        <w:rPr>
          <w:rFonts w:eastAsia="仿宋"/>
          <w:sz w:val="28"/>
          <w:szCs w:val="28"/>
        </w:rPr>
        <w:t>划分见附图19</w:t>
      </w:r>
      <w:r>
        <w:rPr>
          <w:rFonts w:hint="eastAsia" w:eastAsia="仿宋"/>
          <w:sz w:val="28"/>
          <w:szCs w:val="28"/>
        </w:rPr>
        <w:t>和</w:t>
      </w:r>
      <w:r>
        <w:rPr>
          <w:rFonts w:eastAsia="仿宋"/>
          <w:sz w:val="28"/>
          <w:szCs w:val="28"/>
        </w:rPr>
        <w:t>附图20。</w:t>
      </w:r>
    </w:p>
    <w:p w14:paraId="2ED07D72">
      <w:pPr>
        <w:pStyle w:val="3"/>
        <w:spacing w:before="120" w:after="120" w:line="560" w:lineRule="exact"/>
        <w:ind w:left="3759" w:hanging="3759"/>
        <w:rPr>
          <w:rFonts w:eastAsia="仿宋"/>
          <w:sz w:val="32"/>
        </w:rPr>
      </w:pPr>
      <w:bookmarkStart w:id="35" w:name="_Toc60930774"/>
      <w:r>
        <w:rPr>
          <w:rFonts w:eastAsia="仿宋"/>
          <w:sz w:val="32"/>
        </w:rPr>
        <w:t>2.11</w:t>
      </w:r>
      <w:r>
        <w:rPr>
          <w:rFonts w:hint="eastAsia" w:eastAsia="仿宋"/>
          <w:sz w:val="32"/>
        </w:rPr>
        <w:t>高坡乡批林村集中式饮用水源</w:t>
      </w:r>
      <w:bookmarkEnd w:id="35"/>
    </w:p>
    <w:p w14:paraId="3D8183BE">
      <w:pPr>
        <w:pStyle w:val="29"/>
        <w:spacing w:line="600" w:lineRule="exact"/>
        <w:ind w:right="28" w:firstLine="548" w:firstLineChars="196"/>
        <w:rPr>
          <w:rFonts w:ascii="仿宋" w:hAnsi="仿宋" w:eastAsia="仿宋"/>
          <w:sz w:val="28"/>
        </w:rPr>
      </w:pPr>
      <w:r>
        <w:rPr>
          <w:rFonts w:ascii="仿宋" w:hAnsi="仿宋" w:eastAsia="仿宋"/>
          <w:sz w:val="28"/>
        </w:rPr>
        <w:t>批林村水源位于花溪区高坡苗族乡批林村，距高坡苗族乡集镇6.5km，属于地下水型水源，是花溪区高坡苗族乡批林村集中式饮用水水源。水源取水点位于高坡苗族乡批林村，地理坐标为东经106°47'37.27"，北纬26°14'32.47"。批林村水源是高坡苗族乡批林村集中式饮用水水源，服务人口1310人，日均供水量150立方米，供水区域为批林村6个村民组。批林村</w:t>
      </w:r>
      <w:r>
        <w:rPr>
          <w:rFonts w:eastAsia="仿宋"/>
          <w:kern w:val="2"/>
          <w:sz w:val="28"/>
          <w:szCs w:val="28"/>
        </w:rPr>
        <w:t>水源</w:t>
      </w:r>
      <w:r>
        <w:rPr>
          <w:rFonts w:hint="eastAsia" w:ascii="仿宋" w:hAnsi="仿宋" w:eastAsia="仿宋"/>
          <w:sz w:val="28"/>
        </w:rPr>
        <w:t>取水点照片见图2-</w:t>
      </w:r>
      <w:r>
        <w:rPr>
          <w:rFonts w:ascii="仿宋" w:hAnsi="仿宋" w:eastAsia="仿宋"/>
          <w:sz w:val="28"/>
        </w:rPr>
        <w:t>11</w:t>
      </w:r>
      <w:r>
        <w:rPr>
          <w:rFonts w:hint="eastAsia" w:ascii="仿宋" w:hAnsi="仿宋" w:eastAsia="仿宋"/>
          <w:sz w:val="28"/>
        </w:rPr>
        <w:t>。</w:t>
      </w:r>
    </w:p>
    <w:p w14:paraId="07E1C5DD">
      <w:pPr>
        <w:jc w:val="center"/>
        <w:rPr>
          <w:rFonts w:eastAsia="仿宋_GB2312"/>
          <w:spacing w:val="-8"/>
          <w:szCs w:val="21"/>
        </w:rPr>
      </w:pPr>
      <w:r>
        <w:rPr>
          <w:rFonts w:eastAsia="仿宋_GB2312"/>
          <w:spacing w:val="-8"/>
          <w:szCs w:val="21"/>
        </w:rPr>
        <w:drawing>
          <wp:inline distT="0" distB="0" distL="0" distR="0">
            <wp:extent cx="2653665" cy="1988185"/>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2670790" cy="2001239"/>
                    </a:xfrm>
                    <a:prstGeom prst="rect">
                      <a:avLst/>
                    </a:prstGeom>
                    <a:noFill/>
                    <a:ln>
                      <a:noFill/>
                    </a:ln>
                  </pic:spPr>
                </pic:pic>
              </a:graphicData>
            </a:graphic>
          </wp:inline>
        </w:drawing>
      </w:r>
      <w:r>
        <w:rPr>
          <w:rFonts w:eastAsia="仿宋_GB2312"/>
          <w:spacing w:val="-8"/>
          <w:szCs w:val="21"/>
        </w:rPr>
        <w:t xml:space="preserve"> </w:t>
      </w:r>
      <w:r>
        <w:rPr>
          <w:rFonts w:eastAsia="仿宋_GB2312"/>
          <w:spacing w:val="-8"/>
          <w:szCs w:val="21"/>
        </w:rPr>
        <w:drawing>
          <wp:inline distT="0" distB="0" distL="0" distR="0">
            <wp:extent cx="2649855" cy="1985645"/>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2654738" cy="1989209"/>
                    </a:xfrm>
                    <a:prstGeom prst="rect">
                      <a:avLst/>
                    </a:prstGeom>
                    <a:noFill/>
                    <a:ln>
                      <a:noFill/>
                    </a:ln>
                  </pic:spPr>
                </pic:pic>
              </a:graphicData>
            </a:graphic>
          </wp:inline>
        </w:drawing>
      </w:r>
    </w:p>
    <w:p w14:paraId="247DE8F7">
      <w:pPr>
        <w:jc w:val="center"/>
        <w:rPr>
          <w:rFonts w:eastAsia="仿宋"/>
          <w:b/>
          <w:spacing w:val="-8"/>
          <w:sz w:val="21"/>
          <w:szCs w:val="21"/>
        </w:rPr>
      </w:pPr>
      <w:r>
        <w:rPr>
          <w:rFonts w:eastAsia="仿宋"/>
          <w:b/>
          <w:spacing w:val="-8"/>
          <w:sz w:val="21"/>
          <w:szCs w:val="21"/>
        </w:rPr>
        <w:t xml:space="preserve">图2-11 </w:t>
      </w:r>
      <w:r>
        <w:rPr>
          <w:rFonts w:hint="eastAsia" w:eastAsia="仿宋"/>
          <w:b/>
          <w:spacing w:val="-8"/>
          <w:sz w:val="21"/>
          <w:szCs w:val="21"/>
        </w:rPr>
        <w:t>批林村水源</w:t>
      </w:r>
      <w:r>
        <w:rPr>
          <w:rFonts w:eastAsia="仿宋"/>
          <w:b/>
          <w:spacing w:val="-8"/>
          <w:sz w:val="21"/>
          <w:szCs w:val="21"/>
        </w:rPr>
        <w:t>取水</w:t>
      </w:r>
      <w:r>
        <w:rPr>
          <w:rFonts w:hint="eastAsia" w:eastAsia="仿宋"/>
          <w:b/>
          <w:spacing w:val="-8"/>
          <w:sz w:val="21"/>
          <w:szCs w:val="21"/>
        </w:rPr>
        <w:t>点</w:t>
      </w:r>
      <w:r>
        <w:rPr>
          <w:rFonts w:eastAsia="仿宋"/>
          <w:b/>
          <w:spacing w:val="-8"/>
          <w:sz w:val="21"/>
          <w:szCs w:val="21"/>
        </w:rPr>
        <w:t>现场照片</w:t>
      </w:r>
    </w:p>
    <w:p w14:paraId="628BAC19">
      <w:pPr>
        <w:pStyle w:val="29"/>
        <w:spacing w:line="600" w:lineRule="exact"/>
        <w:ind w:right="28" w:firstLine="548" w:firstLineChars="196"/>
        <w:rPr>
          <w:rFonts w:eastAsia="仿宋"/>
          <w:sz w:val="28"/>
          <w:szCs w:val="28"/>
        </w:rPr>
      </w:pPr>
      <w:r>
        <w:rPr>
          <w:rFonts w:eastAsia="仿宋"/>
          <w:sz w:val="28"/>
          <w:szCs w:val="28"/>
        </w:rPr>
        <w:t>批林村水源属于地下水型水源，是以机井形式开采地下水，其取水点位于花溪区高坡苗族乡批林村</w:t>
      </w:r>
      <w:r>
        <w:rPr>
          <w:rFonts w:hint="eastAsia" w:eastAsia="仿宋"/>
          <w:sz w:val="28"/>
          <w:szCs w:val="28"/>
        </w:rPr>
        <w:t>，</w:t>
      </w:r>
      <w:r>
        <w:rPr>
          <w:rFonts w:eastAsia="仿宋"/>
          <w:sz w:val="28"/>
          <w:szCs w:val="28"/>
        </w:rPr>
        <w:t>目前水质为《地下水质量标准》（GB/T 14848-2017）</w:t>
      </w:r>
      <w:r>
        <w:rPr>
          <w:rFonts w:hint="eastAsia" w:eastAsia="仿宋"/>
          <w:sz w:val="28"/>
          <w:szCs w:val="28"/>
        </w:rPr>
        <w:t>Ⅲ</w:t>
      </w:r>
      <w:r>
        <w:rPr>
          <w:rFonts w:eastAsia="仿宋"/>
          <w:sz w:val="28"/>
          <w:szCs w:val="28"/>
        </w:rPr>
        <w:t>类</w:t>
      </w:r>
      <w:r>
        <w:rPr>
          <w:rFonts w:hint="eastAsia" w:eastAsia="仿宋"/>
          <w:sz w:val="28"/>
          <w:szCs w:val="28"/>
        </w:rPr>
        <w:t>。</w:t>
      </w:r>
    </w:p>
    <w:p w14:paraId="6579FAC9">
      <w:pPr>
        <w:pStyle w:val="29"/>
        <w:spacing w:line="600" w:lineRule="exact"/>
        <w:ind w:right="28" w:firstLine="548" w:firstLineChars="196"/>
        <w:rPr>
          <w:rFonts w:eastAsia="仿宋"/>
          <w:sz w:val="28"/>
          <w:szCs w:val="28"/>
        </w:rPr>
      </w:pPr>
      <w:r>
        <w:rPr>
          <w:rFonts w:eastAsia="仿宋"/>
          <w:sz w:val="28"/>
          <w:szCs w:val="28"/>
        </w:rPr>
        <w:t>根据《花溪区</w:t>
      </w:r>
      <w:r>
        <w:rPr>
          <w:rFonts w:hint="eastAsia" w:eastAsia="仿宋"/>
          <w:sz w:val="28"/>
          <w:szCs w:val="28"/>
        </w:rPr>
        <w:t>千人以上集中式饮用水水源监管范围划分方案</w:t>
      </w:r>
      <w:r>
        <w:rPr>
          <w:rFonts w:eastAsia="仿宋"/>
          <w:sz w:val="28"/>
          <w:szCs w:val="28"/>
        </w:rPr>
        <w:t>》，花溪区高坡苗族乡批林村集中式饮用水水源监管范围总面积为0.0002km</w:t>
      </w:r>
      <w:r>
        <w:rPr>
          <w:rFonts w:eastAsia="仿宋"/>
          <w:sz w:val="28"/>
          <w:szCs w:val="28"/>
          <w:vertAlign w:val="superscript"/>
        </w:rPr>
        <w:t>2</w:t>
      </w:r>
      <w:r>
        <w:rPr>
          <w:rFonts w:eastAsia="仿宋"/>
          <w:sz w:val="28"/>
          <w:szCs w:val="28"/>
        </w:rPr>
        <w:t>。批林村水源</w:t>
      </w:r>
      <w:r>
        <w:rPr>
          <w:rFonts w:hint="eastAsia" w:eastAsia="仿宋"/>
          <w:sz w:val="28"/>
          <w:szCs w:val="28"/>
        </w:rPr>
        <w:t>监管范围</w:t>
      </w:r>
      <w:r>
        <w:rPr>
          <w:rFonts w:eastAsia="仿宋"/>
          <w:sz w:val="28"/>
          <w:szCs w:val="28"/>
        </w:rPr>
        <w:t>划分见附图21</w:t>
      </w:r>
      <w:r>
        <w:rPr>
          <w:rFonts w:hint="eastAsia" w:eastAsia="仿宋"/>
          <w:sz w:val="28"/>
          <w:szCs w:val="28"/>
        </w:rPr>
        <w:t>和</w:t>
      </w:r>
      <w:r>
        <w:rPr>
          <w:rFonts w:eastAsia="仿宋"/>
          <w:sz w:val="28"/>
          <w:szCs w:val="28"/>
        </w:rPr>
        <w:t>附图22。</w:t>
      </w:r>
    </w:p>
    <w:p w14:paraId="6860801A">
      <w:pPr>
        <w:pStyle w:val="3"/>
        <w:spacing w:before="120" w:after="120" w:line="560" w:lineRule="exact"/>
        <w:ind w:left="3759" w:hanging="3759"/>
        <w:rPr>
          <w:rFonts w:eastAsia="仿宋"/>
          <w:sz w:val="32"/>
        </w:rPr>
      </w:pPr>
      <w:bookmarkStart w:id="36" w:name="_Toc60930775"/>
      <w:r>
        <w:rPr>
          <w:rFonts w:eastAsia="仿宋"/>
          <w:sz w:val="32"/>
        </w:rPr>
        <w:t>2.12</w:t>
      </w:r>
      <w:r>
        <w:rPr>
          <w:rFonts w:hint="eastAsia" w:eastAsia="仿宋"/>
          <w:sz w:val="32"/>
        </w:rPr>
        <w:t>高坡乡杉坪村蚂蜂洞集中式饮用水源</w:t>
      </w:r>
      <w:bookmarkEnd w:id="36"/>
    </w:p>
    <w:p w14:paraId="2A2A7878">
      <w:pPr>
        <w:pStyle w:val="29"/>
        <w:spacing w:line="600" w:lineRule="exact"/>
        <w:ind w:right="28" w:firstLine="548" w:firstLineChars="196"/>
        <w:rPr>
          <w:rFonts w:ascii="仿宋" w:hAnsi="仿宋" w:eastAsia="仿宋"/>
          <w:sz w:val="28"/>
        </w:rPr>
      </w:pPr>
      <w:r>
        <w:rPr>
          <w:rFonts w:ascii="仿宋" w:hAnsi="仿宋" w:eastAsia="仿宋"/>
          <w:sz w:val="28"/>
          <w:szCs w:val="28"/>
        </w:rPr>
        <w:t>蚂蜂洞水源位于花溪区高坡苗族乡水塘村蚂蜂洞，距高坡苗族乡集镇2.7km，属于地下水型水源，是花溪区高坡苗族乡杉坪村集中式饮用水水源。水源取水点位于高坡苗族乡水塘村蚂蜂洞，地理坐标为东经106°48'7.61"，北纬26°16'31.80"。蚂蜂洞水源是高坡苗族乡杉坪村集中式饮用水水源，服务人口1668人，日均供水量200立方米，供水区域为杉坪村5个村民组。蚂蜂洞</w:t>
      </w:r>
      <w:r>
        <w:rPr>
          <w:rFonts w:eastAsia="仿宋"/>
          <w:kern w:val="2"/>
          <w:sz w:val="28"/>
          <w:szCs w:val="28"/>
        </w:rPr>
        <w:t>水源</w:t>
      </w:r>
      <w:r>
        <w:rPr>
          <w:rFonts w:hint="eastAsia" w:ascii="仿宋" w:hAnsi="仿宋" w:eastAsia="仿宋"/>
          <w:sz w:val="28"/>
        </w:rPr>
        <w:t>取水点照片见图2-</w:t>
      </w:r>
      <w:r>
        <w:rPr>
          <w:rFonts w:ascii="仿宋" w:hAnsi="仿宋" w:eastAsia="仿宋"/>
          <w:sz w:val="28"/>
        </w:rPr>
        <w:t>12</w:t>
      </w:r>
      <w:r>
        <w:rPr>
          <w:rFonts w:hint="eastAsia" w:ascii="仿宋" w:hAnsi="仿宋" w:eastAsia="仿宋"/>
          <w:sz w:val="28"/>
        </w:rPr>
        <w:t>。</w:t>
      </w:r>
    </w:p>
    <w:p w14:paraId="1C7377D9">
      <w:pPr>
        <w:pStyle w:val="29"/>
        <w:ind w:right="28"/>
        <w:rPr>
          <w:rFonts w:eastAsia="仿宋_GB2312"/>
          <w:sz w:val="32"/>
          <w:szCs w:val="32"/>
        </w:rPr>
      </w:pPr>
      <w:r>
        <w:rPr>
          <w:rFonts w:eastAsia="仿宋_GB2312"/>
          <w:spacing w:val="-8"/>
        </w:rPr>
        <w:drawing>
          <wp:inline distT="0" distB="0" distL="0" distR="0">
            <wp:extent cx="2656205" cy="2036445"/>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2664456" cy="2042749"/>
                    </a:xfrm>
                    <a:prstGeom prst="rect">
                      <a:avLst/>
                    </a:prstGeom>
                    <a:noFill/>
                    <a:ln>
                      <a:noFill/>
                    </a:ln>
                  </pic:spPr>
                </pic:pic>
              </a:graphicData>
            </a:graphic>
          </wp:inline>
        </w:drawing>
      </w:r>
      <w:r>
        <w:rPr>
          <w:rFonts w:eastAsia="仿宋_GB2312"/>
          <w:spacing w:val="-8"/>
        </w:rPr>
        <w:t xml:space="preserve"> </w:t>
      </w:r>
      <w:r>
        <w:rPr>
          <w:rFonts w:eastAsia="仿宋_GB2312"/>
          <w:spacing w:val="-8"/>
        </w:rPr>
        <w:drawing>
          <wp:inline distT="0" distB="0" distL="0" distR="0">
            <wp:extent cx="2654935" cy="2035810"/>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2656428" cy="2036594"/>
                    </a:xfrm>
                    <a:prstGeom prst="rect">
                      <a:avLst/>
                    </a:prstGeom>
                    <a:noFill/>
                    <a:ln>
                      <a:noFill/>
                    </a:ln>
                  </pic:spPr>
                </pic:pic>
              </a:graphicData>
            </a:graphic>
          </wp:inline>
        </w:drawing>
      </w:r>
    </w:p>
    <w:p w14:paraId="31AAE230">
      <w:pPr>
        <w:jc w:val="center"/>
        <w:rPr>
          <w:rFonts w:eastAsia="仿宋"/>
          <w:b/>
          <w:spacing w:val="-8"/>
          <w:sz w:val="21"/>
          <w:szCs w:val="21"/>
        </w:rPr>
      </w:pPr>
      <w:r>
        <w:rPr>
          <w:rFonts w:eastAsia="仿宋"/>
          <w:b/>
          <w:spacing w:val="-8"/>
          <w:sz w:val="21"/>
          <w:szCs w:val="21"/>
        </w:rPr>
        <w:t xml:space="preserve">图2-12 </w:t>
      </w:r>
      <w:r>
        <w:rPr>
          <w:rFonts w:hint="eastAsia" w:eastAsia="仿宋"/>
          <w:b/>
          <w:spacing w:val="-8"/>
          <w:sz w:val="21"/>
          <w:szCs w:val="21"/>
        </w:rPr>
        <w:t>蚂蜂洞水源</w:t>
      </w:r>
      <w:r>
        <w:rPr>
          <w:rFonts w:eastAsia="仿宋"/>
          <w:b/>
          <w:spacing w:val="-8"/>
          <w:sz w:val="21"/>
          <w:szCs w:val="21"/>
        </w:rPr>
        <w:t>取水</w:t>
      </w:r>
      <w:r>
        <w:rPr>
          <w:rFonts w:hint="eastAsia" w:eastAsia="仿宋"/>
          <w:b/>
          <w:spacing w:val="-8"/>
          <w:sz w:val="21"/>
          <w:szCs w:val="21"/>
        </w:rPr>
        <w:t>点</w:t>
      </w:r>
      <w:r>
        <w:rPr>
          <w:rFonts w:eastAsia="仿宋"/>
          <w:b/>
          <w:spacing w:val="-8"/>
          <w:sz w:val="21"/>
          <w:szCs w:val="21"/>
        </w:rPr>
        <w:t>现场照片</w:t>
      </w:r>
    </w:p>
    <w:p w14:paraId="687853B3">
      <w:pPr>
        <w:pStyle w:val="29"/>
        <w:spacing w:line="600" w:lineRule="exact"/>
        <w:ind w:right="28" w:firstLine="548" w:firstLineChars="196"/>
        <w:rPr>
          <w:rFonts w:ascii="仿宋" w:hAnsi="仿宋" w:eastAsia="仿宋"/>
          <w:sz w:val="28"/>
          <w:szCs w:val="28"/>
        </w:rPr>
      </w:pPr>
      <w:r>
        <w:rPr>
          <w:rFonts w:ascii="仿宋" w:hAnsi="仿宋" w:eastAsia="仿宋"/>
          <w:sz w:val="28"/>
          <w:szCs w:val="28"/>
        </w:rPr>
        <w:t>蚂蜂洞水源属于地下水型水源，其取水点位于高坡苗族乡水塘村蚂蜂洞地下水出口，地下水于蚂蜂洞流出后，向南约350m流入龙滩河，再向西流入涟江。根据1:5综合万水文地质资料显示，该区地下水类型为</w:t>
      </w:r>
      <w:r>
        <w:rPr>
          <w:rFonts w:hint="eastAsia" w:ascii="仿宋" w:hAnsi="仿宋" w:eastAsia="仿宋"/>
          <w:sz w:val="28"/>
          <w:szCs w:val="28"/>
        </w:rPr>
        <w:t>溶裂隙网络型地下水</w:t>
      </w:r>
      <w:r>
        <w:rPr>
          <w:rFonts w:ascii="仿宋" w:hAnsi="仿宋" w:eastAsia="仿宋"/>
          <w:sz w:val="28"/>
          <w:szCs w:val="28"/>
        </w:rPr>
        <w:t>，富水性中等，地下水径流模数为3-6L/s.km</w:t>
      </w:r>
      <w:r>
        <w:rPr>
          <w:rFonts w:ascii="仿宋" w:hAnsi="仿宋" w:eastAsia="仿宋"/>
          <w:sz w:val="28"/>
          <w:szCs w:val="28"/>
          <w:vertAlign w:val="superscript"/>
        </w:rPr>
        <w:t>2</w:t>
      </w:r>
      <w:r>
        <w:rPr>
          <w:rFonts w:ascii="仿宋" w:hAnsi="仿宋" w:eastAsia="仿宋"/>
          <w:sz w:val="28"/>
          <w:szCs w:val="28"/>
        </w:rPr>
        <w:t>，地下水由北流向南。通过现场调查并走访当地的村民，了解到蚂蜂洞水源暴雨时水不会出现浑浊，水量季节变化不大，说明该水源埋藏较深且补给来源远，目前水质为《地下水质量标准》（GB/T 14848-2017）</w:t>
      </w:r>
      <w:r>
        <w:rPr>
          <w:rFonts w:hint="eastAsia" w:ascii="仿宋" w:hAnsi="仿宋" w:eastAsia="仿宋"/>
          <w:sz w:val="28"/>
          <w:szCs w:val="28"/>
        </w:rPr>
        <w:t>Ⅲ</w:t>
      </w:r>
      <w:r>
        <w:rPr>
          <w:rFonts w:ascii="仿宋" w:hAnsi="仿宋" w:eastAsia="仿宋"/>
          <w:sz w:val="28"/>
          <w:szCs w:val="28"/>
        </w:rPr>
        <w:t>类。</w:t>
      </w:r>
    </w:p>
    <w:p w14:paraId="426D20B4">
      <w:pPr>
        <w:pStyle w:val="29"/>
        <w:spacing w:line="600" w:lineRule="exact"/>
        <w:ind w:right="28" w:firstLine="548" w:firstLineChars="196"/>
        <w:rPr>
          <w:rFonts w:eastAsia="仿宋"/>
          <w:sz w:val="28"/>
          <w:szCs w:val="28"/>
        </w:rPr>
      </w:pPr>
      <w:r>
        <w:rPr>
          <w:rFonts w:eastAsia="仿宋"/>
          <w:sz w:val="28"/>
          <w:szCs w:val="28"/>
        </w:rPr>
        <w:t>根据《花溪区</w:t>
      </w:r>
      <w:r>
        <w:rPr>
          <w:rFonts w:hint="eastAsia" w:eastAsia="仿宋"/>
          <w:sz w:val="28"/>
          <w:szCs w:val="28"/>
        </w:rPr>
        <w:t>千人以上集中式饮用水水源监管范围划分方案</w:t>
      </w:r>
      <w:r>
        <w:rPr>
          <w:rFonts w:eastAsia="仿宋"/>
          <w:sz w:val="28"/>
          <w:szCs w:val="28"/>
        </w:rPr>
        <w:t>》，花溪区高坡苗族乡</w:t>
      </w:r>
      <w:r>
        <w:rPr>
          <w:rFonts w:ascii="仿宋" w:hAnsi="仿宋" w:eastAsia="仿宋"/>
          <w:sz w:val="28"/>
          <w:szCs w:val="28"/>
        </w:rPr>
        <w:t>杉坪村蚂蜂洞</w:t>
      </w:r>
      <w:r>
        <w:rPr>
          <w:rFonts w:eastAsia="仿宋"/>
          <w:sz w:val="28"/>
          <w:szCs w:val="28"/>
        </w:rPr>
        <w:t>集中式饮用水水源监管范围总面积为0.0015km</w:t>
      </w:r>
      <w:r>
        <w:rPr>
          <w:rFonts w:eastAsia="仿宋"/>
          <w:sz w:val="28"/>
          <w:szCs w:val="28"/>
          <w:vertAlign w:val="superscript"/>
        </w:rPr>
        <w:t>2</w:t>
      </w:r>
      <w:r>
        <w:rPr>
          <w:rFonts w:eastAsia="仿宋"/>
          <w:sz w:val="28"/>
          <w:szCs w:val="28"/>
        </w:rPr>
        <w:t>。</w:t>
      </w:r>
      <w:r>
        <w:rPr>
          <w:rFonts w:ascii="仿宋" w:hAnsi="仿宋" w:eastAsia="仿宋"/>
          <w:sz w:val="28"/>
          <w:szCs w:val="28"/>
        </w:rPr>
        <w:t>蚂蜂洞水源</w:t>
      </w:r>
      <w:r>
        <w:rPr>
          <w:rFonts w:hint="eastAsia" w:eastAsia="仿宋"/>
          <w:sz w:val="28"/>
          <w:szCs w:val="28"/>
        </w:rPr>
        <w:t>监管范围</w:t>
      </w:r>
      <w:r>
        <w:rPr>
          <w:rFonts w:eastAsia="仿宋"/>
          <w:sz w:val="28"/>
          <w:szCs w:val="28"/>
        </w:rPr>
        <w:t>划分见附图23</w:t>
      </w:r>
      <w:r>
        <w:rPr>
          <w:rFonts w:hint="eastAsia" w:eastAsia="仿宋"/>
          <w:sz w:val="28"/>
          <w:szCs w:val="28"/>
        </w:rPr>
        <w:t>和</w:t>
      </w:r>
      <w:r>
        <w:rPr>
          <w:rFonts w:eastAsia="仿宋"/>
          <w:sz w:val="28"/>
          <w:szCs w:val="28"/>
        </w:rPr>
        <w:t>附图24。</w:t>
      </w:r>
    </w:p>
    <w:p w14:paraId="0CF4FEEF">
      <w:pPr>
        <w:pStyle w:val="3"/>
        <w:spacing w:before="120" w:after="120" w:line="560" w:lineRule="exact"/>
        <w:ind w:left="3759" w:hanging="3759"/>
        <w:rPr>
          <w:rFonts w:eastAsia="仿宋"/>
          <w:sz w:val="32"/>
        </w:rPr>
      </w:pPr>
      <w:bookmarkStart w:id="37" w:name="_Toc60930776"/>
      <w:r>
        <w:rPr>
          <w:rFonts w:eastAsia="仿宋"/>
          <w:sz w:val="32"/>
        </w:rPr>
        <w:t>2.13</w:t>
      </w:r>
      <w:r>
        <w:rPr>
          <w:rFonts w:hint="eastAsia" w:eastAsia="仿宋"/>
          <w:sz w:val="32"/>
        </w:rPr>
        <w:t>黔陶乡马场村集中式饮用水源</w:t>
      </w:r>
      <w:bookmarkEnd w:id="37"/>
    </w:p>
    <w:p w14:paraId="6FB7923F">
      <w:pPr>
        <w:pStyle w:val="29"/>
        <w:spacing w:line="600" w:lineRule="exact"/>
        <w:ind w:right="28" w:firstLine="548" w:firstLineChars="196"/>
        <w:rPr>
          <w:rFonts w:ascii="仿宋" w:hAnsi="仿宋" w:eastAsia="仿宋"/>
          <w:sz w:val="28"/>
        </w:rPr>
      </w:pPr>
      <w:r>
        <w:rPr>
          <w:rFonts w:ascii="仿宋" w:hAnsi="仿宋" w:eastAsia="仿宋"/>
          <w:sz w:val="28"/>
          <w:szCs w:val="28"/>
        </w:rPr>
        <w:t>马场村水源位于花溪区高坡苗族乡石门村，距黔陶布依族苗族乡集镇5.5km，属于地下水型水源，是花溪区黔陶布依族苗族乡马场村集中式饮用水水源。水源取水点位于高坡苗族乡石门村，地理坐标为东经106°47'8.31"，北纬26°18'53.61"。马场村水源是黔陶布依族苗族乡马场村集中式饮用水水源，服务人口1758人，日均供水量180立方米，供水区域为黔陶布依族苗族乡马场村一组、二组、三组。</w:t>
      </w:r>
      <w:r>
        <w:rPr>
          <w:rFonts w:hint="eastAsia" w:ascii="仿宋" w:hAnsi="仿宋" w:eastAsia="仿宋"/>
          <w:sz w:val="28"/>
          <w:szCs w:val="28"/>
        </w:rPr>
        <w:t>马场村</w:t>
      </w:r>
      <w:r>
        <w:rPr>
          <w:rFonts w:eastAsia="仿宋"/>
          <w:kern w:val="2"/>
          <w:sz w:val="28"/>
          <w:szCs w:val="28"/>
        </w:rPr>
        <w:t>水源</w:t>
      </w:r>
      <w:r>
        <w:rPr>
          <w:rFonts w:hint="eastAsia" w:ascii="仿宋" w:hAnsi="仿宋" w:eastAsia="仿宋"/>
          <w:sz w:val="28"/>
        </w:rPr>
        <w:t>取水点照片见图2-</w:t>
      </w:r>
      <w:r>
        <w:rPr>
          <w:rFonts w:ascii="仿宋" w:hAnsi="仿宋" w:eastAsia="仿宋"/>
          <w:sz w:val="28"/>
        </w:rPr>
        <w:t>13</w:t>
      </w:r>
      <w:r>
        <w:rPr>
          <w:rFonts w:hint="eastAsia" w:ascii="仿宋" w:hAnsi="仿宋" w:eastAsia="仿宋"/>
          <w:sz w:val="28"/>
        </w:rPr>
        <w:t>。</w:t>
      </w:r>
    </w:p>
    <w:p w14:paraId="3E39CE43">
      <w:pPr>
        <w:rPr>
          <w:rFonts w:eastAsia="仿宋_GB2312"/>
          <w:spacing w:val="-8"/>
          <w:szCs w:val="21"/>
        </w:rPr>
      </w:pPr>
      <w:r>
        <w:rPr>
          <w:rFonts w:eastAsia="仿宋_GB2312"/>
          <w:spacing w:val="-8"/>
          <w:szCs w:val="21"/>
        </w:rPr>
        <w:drawing>
          <wp:inline distT="0" distB="0" distL="0" distR="0">
            <wp:extent cx="2664460" cy="1995170"/>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2668662" cy="1998406"/>
                    </a:xfrm>
                    <a:prstGeom prst="rect">
                      <a:avLst/>
                    </a:prstGeom>
                    <a:noFill/>
                    <a:ln>
                      <a:noFill/>
                    </a:ln>
                  </pic:spPr>
                </pic:pic>
              </a:graphicData>
            </a:graphic>
          </wp:inline>
        </w:drawing>
      </w:r>
      <w:r>
        <w:rPr>
          <w:rFonts w:eastAsia="仿宋_GB2312"/>
          <w:spacing w:val="-8"/>
          <w:szCs w:val="21"/>
        </w:rPr>
        <w:t xml:space="preserve"> </w:t>
      </w:r>
      <w:r>
        <w:rPr>
          <w:rFonts w:eastAsia="仿宋_GB2312"/>
          <w:spacing w:val="-8"/>
          <w:szCs w:val="21"/>
        </w:rPr>
        <w:drawing>
          <wp:inline distT="0" distB="0" distL="0" distR="0">
            <wp:extent cx="2664460" cy="1995170"/>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2666097" cy="1996487"/>
                    </a:xfrm>
                    <a:prstGeom prst="rect">
                      <a:avLst/>
                    </a:prstGeom>
                    <a:noFill/>
                    <a:ln>
                      <a:noFill/>
                    </a:ln>
                  </pic:spPr>
                </pic:pic>
              </a:graphicData>
            </a:graphic>
          </wp:inline>
        </w:drawing>
      </w:r>
    </w:p>
    <w:p w14:paraId="4682ADA7">
      <w:pPr>
        <w:pStyle w:val="29"/>
        <w:ind w:right="28"/>
        <w:jc w:val="center"/>
        <w:rPr>
          <w:rFonts w:eastAsia="仿宋_GB2312"/>
          <w:spacing w:val="-8"/>
        </w:rPr>
      </w:pPr>
      <w:r>
        <w:rPr>
          <w:rFonts w:eastAsia="仿宋"/>
          <w:b/>
          <w:spacing w:val="-8"/>
        </w:rPr>
        <w:t xml:space="preserve">图2-13 </w:t>
      </w:r>
      <w:r>
        <w:rPr>
          <w:rFonts w:hint="eastAsia" w:eastAsia="仿宋"/>
          <w:b/>
          <w:spacing w:val="-8"/>
        </w:rPr>
        <w:t>马场村水源</w:t>
      </w:r>
      <w:r>
        <w:rPr>
          <w:rFonts w:eastAsia="仿宋"/>
          <w:b/>
          <w:spacing w:val="-8"/>
        </w:rPr>
        <w:t>取水</w:t>
      </w:r>
      <w:r>
        <w:rPr>
          <w:rFonts w:hint="eastAsia" w:eastAsia="仿宋"/>
          <w:b/>
          <w:spacing w:val="-8"/>
        </w:rPr>
        <w:t>点</w:t>
      </w:r>
      <w:r>
        <w:rPr>
          <w:rFonts w:eastAsia="仿宋"/>
          <w:b/>
          <w:spacing w:val="-8"/>
        </w:rPr>
        <w:t>现场照片</w:t>
      </w:r>
    </w:p>
    <w:p w14:paraId="7B55CBB4">
      <w:pPr>
        <w:pStyle w:val="29"/>
        <w:spacing w:line="600" w:lineRule="exact"/>
        <w:ind w:right="28" w:firstLine="548" w:firstLineChars="196"/>
        <w:rPr>
          <w:rFonts w:eastAsia="仿宋"/>
          <w:sz w:val="28"/>
          <w:szCs w:val="28"/>
        </w:rPr>
      </w:pPr>
      <w:r>
        <w:rPr>
          <w:rFonts w:eastAsia="仿宋"/>
          <w:sz w:val="28"/>
          <w:szCs w:val="28"/>
        </w:rPr>
        <w:t>马场村水源属于地下水型水源，其取水点位于高坡苗族乡石门村，地下水于流出后，向西北约440m流入赵司河上游，再向西流入涟江。根据1:5综合万水文地质资料显示，该区地下水类型为</w:t>
      </w:r>
      <w:r>
        <w:rPr>
          <w:rFonts w:hint="eastAsia" w:eastAsia="仿宋"/>
          <w:sz w:val="28"/>
          <w:szCs w:val="28"/>
        </w:rPr>
        <w:t>溶裂隙网络型地下水</w:t>
      </w:r>
      <w:r>
        <w:rPr>
          <w:rFonts w:eastAsia="仿宋"/>
          <w:sz w:val="28"/>
          <w:szCs w:val="28"/>
        </w:rPr>
        <w:t>，富水性低，地下水径流模数小于3L/s.km</w:t>
      </w:r>
      <w:r>
        <w:rPr>
          <w:rFonts w:eastAsia="仿宋"/>
          <w:sz w:val="28"/>
          <w:szCs w:val="28"/>
          <w:vertAlign w:val="superscript"/>
        </w:rPr>
        <w:t>2</w:t>
      </w:r>
      <w:r>
        <w:rPr>
          <w:rFonts w:eastAsia="仿宋"/>
          <w:sz w:val="28"/>
          <w:szCs w:val="28"/>
        </w:rPr>
        <w:t>，地下水由东南流向西北。通过现场调查并走访当地的村民，了解到该水源暴雨时水不会出现浑浊，水量季节变化不大，说明该水源埋藏较深且补给来源较远，目前水质为《地下水质量标准》（GB/T 14848-2017）</w:t>
      </w:r>
      <w:r>
        <w:rPr>
          <w:rFonts w:hint="eastAsia" w:eastAsia="仿宋"/>
          <w:sz w:val="28"/>
          <w:szCs w:val="28"/>
        </w:rPr>
        <w:t>Ⅲ</w:t>
      </w:r>
      <w:r>
        <w:rPr>
          <w:rFonts w:eastAsia="仿宋"/>
          <w:sz w:val="28"/>
          <w:szCs w:val="28"/>
        </w:rPr>
        <w:t>类。</w:t>
      </w:r>
    </w:p>
    <w:p w14:paraId="2B9FDF07">
      <w:pPr>
        <w:pStyle w:val="29"/>
        <w:spacing w:line="600" w:lineRule="exact"/>
        <w:ind w:right="28" w:firstLine="548" w:firstLineChars="196"/>
        <w:rPr>
          <w:rFonts w:eastAsia="仿宋"/>
          <w:sz w:val="28"/>
          <w:szCs w:val="28"/>
        </w:rPr>
      </w:pPr>
      <w:r>
        <w:rPr>
          <w:rFonts w:eastAsia="仿宋"/>
          <w:sz w:val="28"/>
          <w:szCs w:val="28"/>
        </w:rPr>
        <w:t>根据《花溪区</w:t>
      </w:r>
      <w:r>
        <w:rPr>
          <w:rFonts w:hint="eastAsia" w:eastAsia="仿宋"/>
          <w:sz w:val="28"/>
          <w:szCs w:val="28"/>
        </w:rPr>
        <w:t>千人以上集中式饮用水水源监管范围划分方案</w:t>
      </w:r>
      <w:r>
        <w:rPr>
          <w:rFonts w:eastAsia="仿宋"/>
          <w:sz w:val="28"/>
          <w:szCs w:val="28"/>
        </w:rPr>
        <w:t>》，花溪区高坡苗族乡马场村集中式饮用水水源监管范围总面积为0.0009km</w:t>
      </w:r>
      <w:r>
        <w:rPr>
          <w:rFonts w:eastAsia="仿宋"/>
          <w:sz w:val="28"/>
          <w:szCs w:val="28"/>
          <w:vertAlign w:val="superscript"/>
        </w:rPr>
        <w:t>2</w:t>
      </w:r>
      <w:r>
        <w:rPr>
          <w:rFonts w:eastAsia="仿宋"/>
          <w:sz w:val="28"/>
          <w:szCs w:val="28"/>
        </w:rPr>
        <w:t>。马场村水源</w:t>
      </w:r>
      <w:r>
        <w:rPr>
          <w:rFonts w:hint="eastAsia" w:eastAsia="仿宋"/>
          <w:sz w:val="28"/>
          <w:szCs w:val="28"/>
        </w:rPr>
        <w:t>监管范围</w:t>
      </w:r>
      <w:r>
        <w:rPr>
          <w:rFonts w:eastAsia="仿宋"/>
          <w:sz w:val="28"/>
          <w:szCs w:val="28"/>
        </w:rPr>
        <w:t>划分见附图25</w:t>
      </w:r>
      <w:r>
        <w:rPr>
          <w:rFonts w:hint="eastAsia" w:eastAsia="仿宋"/>
          <w:sz w:val="28"/>
          <w:szCs w:val="28"/>
        </w:rPr>
        <w:t>和</w:t>
      </w:r>
      <w:r>
        <w:rPr>
          <w:rFonts w:eastAsia="仿宋"/>
          <w:sz w:val="28"/>
          <w:szCs w:val="28"/>
        </w:rPr>
        <w:t>附图26。</w:t>
      </w:r>
    </w:p>
    <w:p w14:paraId="2F7DD63D">
      <w:pPr>
        <w:pStyle w:val="3"/>
        <w:spacing w:before="120" w:after="120" w:line="560" w:lineRule="exact"/>
        <w:ind w:left="3759" w:hanging="3759"/>
        <w:rPr>
          <w:rFonts w:eastAsia="仿宋"/>
          <w:sz w:val="32"/>
        </w:rPr>
      </w:pPr>
      <w:bookmarkStart w:id="38" w:name="_Toc60930777"/>
      <w:r>
        <w:rPr>
          <w:rFonts w:eastAsia="仿宋"/>
          <w:sz w:val="32"/>
        </w:rPr>
        <w:t>2.14</w:t>
      </w:r>
      <w:r>
        <w:rPr>
          <w:rFonts w:hint="eastAsia" w:eastAsia="仿宋"/>
          <w:sz w:val="32"/>
        </w:rPr>
        <w:t>黔陶乡骑龙村集中式饮用水源</w:t>
      </w:r>
      <w:bookmarkEnd w:id="38"/>
    </w:p>
    <w:p w14:paraId="1BC55EF4">
      <w:pPr>
        <w:pStyle w:val="29"/>
        <w:spacing w:line="600" w:lineRule="exact"/>
        <w:ind w:right="28" w:firstLine="548" w:firstLineChars="196"/>
        <w:rPr>
          <w:rFonts w:ascii="仿宋" w:hAnsi="仿宋" w:eastAsia="仿宋"/>
          <w:sz w:val="28"/>
        </w:rPr>
      </w:pPr>
      <w:r>
        <w:rPr>
          <w:rFonts w:hint="eastAsia" w:ascii="仿宋" w:hAnsi="仿宋" w:eastAsia="仿宋"/>
          <w:sz w:val="28"/>
        </w:rPr>
        <w:t>骑龙村</w:t>
      </w:r>
      <w:r>
        <w:rPr>
          <w:rFonts w:ascii="仿宋" w:hAnsi="仿宋" w:eastAsia="仿宋"/>
          <w:sz w:val="28"/>
        </w:rPr>
        <w:t>水源</w:t>
      </w:r>
      <w:r>
        <w:rPr>
          <w:rFonts w:hint="eastAsia" w:ascii="仿宋" w:hAnsi="仿宋" w:eastAsia="仿宋"/>
          <w:sz w:val="28"/>
        </w:rPr>
        <w:t>位于花溪区黔陶布依族苗族乡</w:t>
      </w:r>
      <w:r>
        <w:rPr>
          <w:rFonts w:ascii="仿宋" w:hAnsi="仿宋" w:eastAsia="仿宋"/>
          <w:sz w:val="28"/>
        </w:rPr>
        <w:t>骑龙村</w:t>
      </w:r>
      <w:r>
        <w:rPr>
          <w:rFonts w:hint="eastAsia" w:ascii="仿宋" w:hAnsi="仿宋" w:eastAsia="仿宋"/>
          <w:sz w:val="28"/>
        </w:rPr>
        <w:t>大寨</w:t>
      </w:r>
      <w:r>
        <w:rPr>
          <w:rFonts w:ascii="仿宋" w:hAnsi="仿宋" w:eastAsia="仿宋"/>
          <w:sz w:val="28"/>
        </w:rPr>
        <w:t>组</w:t>
      </w:r>
      <w:r>
        <w:rPr>
          <w:rFonts w:hint="eastAsia" w:ascii="仿宋" w:hAnsi="仿宋" w:eastAsia="仿宋"/>
          <w:sz w:val="28"/>
        </w:rPr>
        <w:t>，距黔陶布依族苗族乡集镇</w:t>
      </w:r>
      <w:r>
        <w:rPr>
          <w:rFonts w:ascii="仿宋" w:hAnsi="仿宋" w:eastAsia="仿宋"/>
          <w:sz w:val="28"/>
        </w:rPr>
        <w:t>4.7</w:t>
      </w:r>
      <w:r>
        <w:rPr>
          <w:rFonts w:hint="eastAsia" w:ascii="仿宋" w:hAnsi="仿宋" w:eastAsia="仿宋"/>
          <w:sz w:val="28"/>
        </w:rPr>
        <w:t>km，属于地下水型水源，是花溪区黔陶布依族苗族乡骑龙村集中式饮用水水源。水源取水点位于黔陶布依族苗族乡骑龙村大寨组，地理坐标为东经</w:t>
      </w:r>
      <w:r>
        <w:rPr>
          <w:rFonts w:ascii="仿宋" w:hAnsi="仿宋" w:eastAsia="仿宋"/>
          <w:sz w:val="28"/>
        </w:rPr>
        <w:t>106°47'8.31"</w:t>
      </w:r>
      <w:r>
        <w:rPr>
          <w:rFonts w:hint="eastAsia" w:ascii="仿宋" w:hAnsi="仿宋" w:eastAsia="仿宋"/>
          <w:sz w:val="28"/>
        </w:rPr>
        <w:t>，北纬</w:t>
      </w:r>
      <w:r>
        <w:rPr>
          <w:rFonts w:ascii="仿宋" w:hAnsi="仿宋" w:eastAsia="仿宋"/>
          <w:sz w:val="28"/>
        </w:rPr>
        <w:t>26°18'53.61"</w:t>
      </w:r>
      <w:r>
        <w:rPr>
          <w:rFonts w:hint="eastAsia" w:ascii="仿宋" w:hAnsi="仿宋" w:eastAsia="仿宋"/>
          <w:sz w:val="28"/>
        </w:rPr>
        <w:t>。骑龙村</w:t>
      </w:r>
      <w:r>
        <w:rPr>
          <w:rFonts w:ascii="仿宋" w:hAnsi="仿宋" w:eastAsia="仿宋"/>
          <w:sz w:val="28"/>
        </w:rPr>
        <w:t>水源</w:t>
      </w:r>
      <w:r>
        <w:rPr>
          <w:rFonts w:hint="eastAsia" w:ascii="仿宋" w:hAnsi="仿宋" w:eastAsia="仿宋"/>
          <w:sz w:val="28"/>
        </w:rPr>
        <w:t>是黔陶布依族苗族乡</w:t>
      </w:r>
      <w:r>
        <w:rPr>
          <w:rFonts w:ascii="仿宋" w:hAnsi="仿宋" w:eastAsia="仿宋"/>
          <w:sz w:val="28"/>
        </w:rPr>
        <w:t>骑龙村集中</w:t>
      </w:r>
      <w:r>
        <w:rPr>
          <w:rFonts w:hint="eastAsia" w:ascii="仿宋" w:hAnsi="仿宋" w:eastAsia="仿宋"/>
          <w:sz w:val="28"/>
        </w:rPr>
        <w:t>式饮用水水源，服务人口</w:t>
      </w:r>
      <w:r>
        <w:rPr>
          <w:rFonts w:ascii="仿宋" w:hAnsi="仿宋" w:eastAsia="仿宋"/>
          <w:sz w:val="28"/>
        </w:rPr>
        <w:t>1904</w:t>
      </w:r>
      <w:r>
        <w:rPr>
          <w:rFonts w:hint="eastAsia" w:ascii="仿宋" w:hAnsi="仿宋" w:eastAsia="仿宋"/>
          <w:sz w:val="28"/>
        </w:rPr>
        <w:t>人，日均供水量</w:t>
      </w:r>
      <w:r>
        <w:rPr>
          <w:rFonts w:ascii="仿宋" w:hAnsi="仿宋" w:eastAsia="仿宋"/>
          <w:sz w:val="28"/>
        </w:rPr>
        <w:t>200</w:t>
      </w:r>
      <w:r>
        <w:rPr>
          <w:rFonts w:hint="eastAsia" w:ascii="仿宋" w:hAnsi="仿宋" w:eastAsia="仿宋"/>
          <w:sz w:val="28"/>
        </w:rPr>
        <w:t>立方米，供水区域为黔陶布依族苗族乡骑龙村二组</w:t>
      </w:r>
      <w:r>
        <w:rPr>
          <w:rFonts w:ascii="仿宋" w:hAnsi="仿宋" w:eastAsia="仿宋"/>
          <w:sz w:val="28"/>
        </w:rPr>
        <w:t>、</w:t>
      </w:r>
      <w:r>
        <w:rPr>
          <w:rFonts w:hint="eastAsia" w:ascii="仿宋" w:hAnsi="仿宋" w:eastAsia="仿宋"/>
          <w:sz w:val="28"/>
        </w:rPr>
        <w:t>三</w:t>
      </w:r>
      <w:r>
        <w:rPr>
          <w:rFonts w:ascii="仿宋" w:hAnsi="仿宋" w:eastAsia="仿宋"/>
          <w:sz w:val="28"/>
        </w:rPr>
        <w:t>组</w:t>
      </w:r>
      <w:r>
        <w:rPr>
          <w:rFonts w:hint="eastAsia" w:ascii="仿宋" w:hAnsi="仿宋" w:eastAsia="仿宋"/>
          <w:sz w:val="28"/>
        </w:rPr>
        <w:t>、四</w:t>
      </w:r>
      <w:r>
        <w:rPr>
          <w:rFonts w:ascii="仿宋" w:hAnsi="仿宋" w:eastAsia="仿宋"/>
          <w:sz w:val="28"/>
        </w:rPr>
        <w:t>组</w:t>
      </w:r>
      <w:r>
        <w:rPr>
          <w:rFonts w:hint="eastAsia" w:ascii="仿宋" w:hAnsi="仿宋" w:eastAsia="仿宋"/>
          <w:sz w:val="28"/>
        </w:rPr>
        <w:t>、五组。骑龙村</w:t>
      </w:r>
      <w:r>
        <w:rPr>
          <w:rFonts w:ascii="仿宋" w:hAnsi="仿宋" w:eastAsia="仿宋"/>
          <w:sz w:val="28"/>
        </w:rPr>
        <w:t>水源</w:t>
      </w:r>
      <w:r>
        <w:rPr>
          <w:rFonts w:hint="eastAsia" w:ascii="仿宋" w:hAnsi="仿宋" w:eastAsia="仿宋"/>
          <w:sz w:val="28"/>
        </w:rPr>
        <w:t>取水点照片见图2-</w:t>
      </w:r>
      <w:r>
        <w:rPr>
          <w:rFonts w:ascii="仿宋" w:hAnsi="仿宋" w:eastAsia="仿宋"/>
          <w:sz w:val="28"/>
        </w:rPr>
        <w:t>14</w:t>
      </w:r>
      <w:r>
        <w:rPr>
          <w:rFonts w:hint="eastAsia" w:ascii="仿宋" w:hAnsi="仿宋" w:eastAsia="仿宋"/>
          <w:sz w:val="28"/>
        </w:rPr>
        <w:t>。</w:t>
      </w:r>
    </w:p>
    <w:p w14:paraId="3B3AC169">
      <w:pPr>
        <w:pStyle w:val="29"/>
        <w:ind w:right="28"/>
        <w:rPr>
          <w:rFonts w:eastAsia="仿宋_GB2312"/>
          <w:sz w:val="32"/>
          <w:szCs w:val="32"/>
        </w:rPr>
      </w:pPr>
      <w:r>
        <w:rPr>
          <w:rFonts w:eastAsia="仿宋_GB2312"/>
          <w:spacing w:val="-8"/>
        </w:rPr>
        <w:drawing>
          <wp:inline distT="0" distB="0" distL="0" distR="0">
            <wp:extent cx="2680970" cy="2009140"/>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2687896" cy="2014054"/>
                    </a:xfrm>
                    <a:prstGeom prst="rect">
                      <a:avLst/>
                    </a:prstGeom>
                    <a:noFill/>
                    <a:ln>
                      <a:noFill/>
                    </a:ln>
                  </pic:spPr>
                </pic:pic>
              </a:graphicData>
            </a:graphic>
          </wp:inline>
        </w:drawing>
      </w:r>
      <w:r>
        <w:rPr>
          <w:rFonts w:eastAsia="仿宋_GB2312"/>
          <w:spacing w:val="-8"/>
        </w:rPr>
        <w:t xml:space="preserve"> </w:t>
      </w:r>
      <w:r>
        <w:rPr>
          <w:rFonts w:eastAsia="仿宋_GB2312"/>
          <w:spacing w:val="-8"/>
        </w:rPr>
        <w:drawing>
          <wp:inline distT="0" distB="0" distL="0" distR="0">
            <wp:extent cx="2684145" cy="2011045"/>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2687011" cy="2013393"/>
                    </a:xfrm>
                    <a:prstGeom prst="rect">
                      <a:avLst/>
                    </a:prstGeom>
                    <a:noFill/>
                    <a:ln>
                      <a:noFill/>
                    </a:ln>
                  </pic:spPr>
                </pic:pic>
              </a:graphicData>
            </a:graphic>
          </wp:inline>
        </w:drawing>
      </w:r>
    </w:p>
    <w:p w14:paraId="7DAD35BF">
      <w:pPr>
        <w:pStyle w:val="29"/>
        <w:ind w:right="28"/>
        <w:jc w:val="center"/>
        <w:rPr>
          <w:rFonts w:eastAsia="仿宋_GB2312"/>
          <w:spacing w:val="-8"/>
        </w:rPr>
      </w:pPr>
      <w:r>
        <w:rPr>
          <w:rFonts w:eastAsia="仿宋"/>
          <w:b/>
          <w:spacing w:val="-8"/>
        </w:rPr>
        <w:t xml:space="preserve">图2-14 </w:t>
      </w:r>
      <w:r>
        <w:rPr>
          <w:rFonts w:hint="eastAsia" w:eastAsia="仿宋"/>
          <w:b/>
          <w:spacing w:val="-8"/>
        </w:rPr>
        <w:t>骑龙村水源</w:t>
      </w:r>
      <w:r>
        <w:rPr>
          <w:rFonts w:eastAsia="仿宋"/>
          <w:b/>
          <w:spacing w:val="-8"/>
        </w:rPr>
        <w:t>取水</w:t>
      </w:r>
      <w:r>
        <w:rPr>
          <w:rFonts w:hint="eastAsia" w:eastAsia="仿宋"/>
          <w:b/>
          <w:spacing w:val="-8"/>
        </w:rPr>
        <w:t>点</w:t>
      </w:r>
      <w:r>
        <w:rPr>
          <w:rFonts w:eastAsia="仿宋"/>
          <w:b/>
          <w:spacing w:val="-8"/>
        </w:rPr>
        <w:t>现场照片</w:t>
      </w:r>
    </w:p>
    <w:p w14:paraId="0868AF95">
      <w:pPr>
        <w:pStyle w:val="29"/>
        <w:spacing w:line="600" w:lineRule="exact"/>
        <w:ind w:right="28" w:firstLine="548" w:firstLineChars="196"/>
        <w:rPr>
          <w:rFonts w:eastAsia="仿宋"/>
          <w:sz w:val="28"/>
          <w:szCs w:val="28"/>
        </w:rPr>
      </w:pPr>
      <w:r>
        <w:rPr>
          <w:rFonts w:hint="eastAsia" w:eastAsia="仿宋"/>
          <w:sz w:val="28"/>
          <w:szCs w:val="28"/>
        </w:rPr>
        <w:t>骑龙村水源属于地下水型水源，其取水点位于黔陶布依族苗族乡</w:t>
      </w:r>
      <w:r>
        <w:rPr>
          <w:rFonts w:eastAsia="仿宋"/>
          <w:sz w:val="28"/>
          <w:szCs w:val="28"/>
        </w:rPr>
        <w:t>骑龙村</w:t>
      </w:r>
      <w:r>
        <w:rPr>
          <w:rFonts w:hint="eastAsia" w:eastAsia="仿宋"/>
          <w:sz w:val="28"/>
          <w:szCs w:val="28"/>
        </w:rPr>
        <w:t>，</w:t>
      </w:r>
      <w:r>
        <w:rPr>
          <w:rFonts w:eastAsia="仿宋"/>
          <w:sz w:val="28"/>
          <w:szCs w:val="28"/>
        </w:rPr>
        <w:t>地下水</w:t>
      </w:r>
      <w:r>
        <w:rPr>
          <w:rFonts w:hint="eastAsia" w:eastAsia="仿宋"/>
          <w:sz w:val="28"/>
          <w:szCs w:val="28"/>
        </w:rPr>
        <w:t>于</w:t>
      </w:r>
      <w:r>
        <w:rPr>
          <w:rFonts w:eastAsia="仿宋"/>
          <w:sz w:val="28"/>
          <w:szCs w:val="28"/>
        </w:rPr>
        <w:t>流出</w:t>
      </w:r>
      <w:r>
        <w:rPr>
          <w:rFonts w:hint="eastAsia" w:eastAsia="仿宋"/>
          <w:sz w:val="28"/>
          <w:szCs w:val="28"/>
        </w:rPr>
        <w:t>后，流入</w:t>
      </w:r>
      <w:r>
        <w:rPr>
          <w:rFonts w:eastAsia="仿宋"/>
          <w:sz w:val="28"/>
          <w:szCs w:val="28"/>
        </w:rPr>
        <w:t>溪沟，先向北再向西北流入赵司河</w:t>
      </w:r>
      <w:r>
        <w:rPr>
          <w:rFonts w:hint="eastAsia" w:eastAsia="仿宋"/>
          <w:sz w:val="28"/>
          <w:szCs w:val="28"/>
        </w:rPr>
        <w:t>后</w:t>
      </w:r>
      <w:r>
        <w:rPr>
          <w:rFonts w:eastAsia="仿宋"/>
          <w:sz w:val="28"/>
          <w:szCs w:val="28"/>
        </w:rPr>
        <w:t>流入</w:t>
      </w:r>
      <w:r>
        <w:rPr>
          <w:rFonts w:hint="eastAsia" w:eastAsia="仿宋"/>
          <w:sz w:val="28"/>
          <w:szCs w:val="28"/>
        </w:rPr>
        <w:t>红水河</w:t>
      </w:r>
      <w:r>
        <w:rPr>
          <w:rFonts w:eastAsia="仿宋"/>
          <w:sz w:val="28"/>
          <w:szCs w:val="28"/>
        </w:rPr>
        <w:t>流域</w:t>
      </w:r>
      <w:r>
        <w:rPr>
          <w:rFonts w:hint="eastAsia" w:eastAsia="仿宋"/>
          <w:sz w:val="28"/>
          <w:szCs w:val="28"/>
        </w:rPr>
        <w:t>支流</w:t>
      </w:r>
      <w:r>
        <w:rPr>
          <w:rFonts w:eastAsia="仿宋"/>
          <w:sz w:val="28"/>
          <w:szCs w:val="28"/>
        </w:rPr>
        <w:t>涟江。</w:t>
      </w:r>
      <w:r>
        <w:rPr>
          <w:rFonts w:hint="eastAsia" w:eastAsia="仿宋"/>
          <w:sz w:val="28"/>
          <w:szCs w:val="28"/>
        </w:rPr>
        <w:t>根据1:5综合万水文地质资料显示</w:t>
      </w:r>
      <w:r>
        <w:rPr>
          <w:rFonts w:eastAsia="仿宋"/>
          <w:sz w:val="28"/>
          <w:szCs w:val="28"/>
        </w:rPr>
        <w:t>，</w:t>
      </w:r>
      <w:r>
        <w:rPr>
          <w:rFonts w:hint="eastAsia" w:eastAsia="仿宋"/>
          <w:sz w:val="28"/>
          <w:szCs w:val="28"/>
        </w:rPr>
        <w:t>该区地下水类型为溶裂隙网络型地下水，富水性中等，地下水径流模数为3-6L/s.km</w:t>
      </w:r>
      <w:r>
        <w:rPr>
          <w:rFonts w:hint="eastAsia" w:eastAsia="仿宋"/>
          <w:sz w:val="28"/>
          <w:szCs w:val="28"/>
          <w:vertAlign w:val="superscript"/>
        </w:rPr>
        <w:t>2</w:t>
      </w:r>
      <w:r>
        <w:rPr>
          <w:rFonts w:hint="eastAsia" w:eastAsia="仿宋"/>
          <w:sz w:val="28"/>
          <w:szCs w:val="28"/>
        </w:rPr>
        <w:t>，地下河出口标高1</w:t>
      </w:r>
      <w:r>
        <w:rPr>
          <w:rFonts w:eastAsia="仿宋"/>
          <w:sz w:val="28"/>
          <w:szCs w:val="28"/>
        </w:rPr>
        <w:t>07</w:t>
      </w:r>
      <w:r>
        <w:rPr>
          <w:rFonts w:hint="eastAsia" w:eastAsia="仿宋"/>
          <w:sz w:val="28"/>
          <w:szCs w:val="28"/>
        </w:rPr>
        <w:t>0m，地下水由南流向北。通过现场调查并走访当地的村民，了解到该</w:t>
      </w:r>
      <w:r>
        <w:rPr>
          <w:rFonts w:eastAsia="仿宋"/>
          <w:sz w:val="28"/>
          <w:szCs w:val="28"/>
        </w:rPr>
        <w:t>水源</w:t>
      </w:r>
      <w:r>
        <w:rPr>
          <w:rFonts w:hint="eastAsia" w:eastAsia="仿宋"/>
          <w:sz w:val="28"/>
          <w:szCs w:val="28"/>
        </w:rPr>
        <w:t>暴雨时水会出现短暂</w:t>
      </w:r>
      <w:r>
        <w:rPr>
          <w:rFonts w:eastAsia="仿宋"/>
          <w:sz w:val="28"/>
          <w:szCs w:val="28"/>
        </w:rPr>
        <w:t>浑浊</w:t>
      </w:r>
      <w:r>
        <w:rPr>
          <w:rFonts w:hint="eastAsia" w:eastAsia="仿宋"/>
          <w:sz w:val="28"/>
          <w:szCs w:val="28"/>
        </w:rPr>
        <w:t>现象，水量</w:t>
      </w:r>
      <w:r>
        <w:rPr>
          <w:rFonts w:eastAsia="仿宋"/>
          <w:sz w:val="28"/>
          <w:szCs w:val="28"/>
        </w:rPr>
        <w:t>季节变化</w:t>
      </w:r>
      <w:r>
        <w:rPr>
          <w:rFonts w:hint="eastAsia" w:eastAsia="仿宋"/>
          <w:sz w:val="28"/>
          <w:szCs w:val="28"/>
        </w:rPr>
        <w:t>大</w:t>
      </w:r>
      <w:r>
        <w:rPr>
          <w:rFonts w:eastAsia="仿宋"/>
          <w:sz w:val="28"/>
          <w:szCs w:val="28"/>
        </w:rPr>
        <w:t>，</w:t>
      </w:r>
      <w:r>
        <w:rPr>
          <w:rFonts w:hint="eastAsia" w:eastAsia="仿宋"/>
          <w:sz w:val="28"/>
          <w:szCs w:val="28"/>
        </w:rPr>
        <w:t>说明该水源与</w:t>
      </w:r>
      <w:r>
        <w:rPr>
          <w:rFonts w:eastAsia="仿宋"/>
          <w:sz w:val="28"/>
          <w:szCs w:val="28"/>
        </w:rPr>
        <w:t>地表联系相对</w:t>
      </w:r>
      <w:r>
        <w:rPr>
          <w:rFonts w:hint="eastAsia" w:eastAsia="仿宋"/>
          <w:sz w:val="28"/>
          <w:szCs w:val="28"/>
        </w:rPr>
        <w:t>紧密</w:t>
      </w:r>
      <w:r>
        <w:rPr>
          <w:rFonts w:eastAsia="仿宋"/>
          <w:sz w:val="28"/>
          <w:szCs w:val="28"/>
        </w:rPr>
        <w:t>，且补给来源较近，目前水质为《地下水质量标准》（GB/T 14848-2017）</w:t>
      </w:r>
      <w:r>
        <w:rPr>
          <w:rFonts w:hint="eastAsia" w:eastAsia="仿宋"/>
          <w:sz w:val="28"/>
          <w:szCs w:val="28"/>
        </w:rPr>
        <w:t>Ⅲ</w:t>
      </w:r>
      <w:r>
        <w:rPr>
          <w:rFonts w:eastAsia="仿宋"/>
          <w:sz w:val="28"/>
          <w:szCs w:val="28"/>
        </w:rPr>
        <w:t>类。</w:t>
      </w:r>
    </w:p>
    <w:p w14:paraId="482C5EB1">
      <w:pPr>
        <w:pStyle w:val="29"/>
        <w:spacing w:line="600" w:lineRule="exact"/>
        <w:ind w:right="28" w:firstLine="548" w:firstLineChars="196"/>
        <w:rPr>
          <w:rFonts w:eastAsia="仿宋"/>
          <w:sz w:val="28"/>
          <w:szCs w:val="28"/>
        </w:rPr>
      </w:pPr>
      <w:r>
        <w:rPr>
          <w:rFonts w:eastAsia="仿宋"/>
          <w:sz w:val="28"/>
          <w:szCs w:val="28"/>
        </w:rPr>
        <w:t>根据《花溪区</w:t>
      </w:r>
      <w:r>
        <w:rPr>
          <w:rFonts w:hint="eastAsia" w:eastAsia="仿宋"/>
          <w:sz w:val="28"/>
          <w:szCs w:val="28"/>
        </w:rPr>
        <w:t>千人以上集中式饮用水水源监管范围划分方案</w:t>
      </w:r>
      <w:r>
        <w:rPr>
          <w:rFonts w:eastAsia="仿宋"/>
          <w:sz w:val="28"/>
          <w:szCs w:val="28"/>
        </w:rPr>
        <w:t>》，花溪区</w:t>
      </w:r>
      <w:r>
        <w:rPr>
          <w:rFonts w:hint="eastAsia" w:eastAsia="仿宋"/>
          <w:sz w:val="28"/>
          <w:szCs w:val="28"/>
        </w:rPr>
        <w:t>黔陶布依族苗族乡骑龙村</w:t>
      </w:r>
      <w:r>
        <w:rPr>
          <w:rFonts w:eastAsia="仿宋"/>
          <w:sz w:val="28"/>
          <w:szCs w:val="28"/>
        </w:rPr>
        <w:t>集中式饮用水水源监管范围总面积为0.0003km</w:t>
      </w:r>
      <w:r>
        <w:rPr>
          <w:rFonts w:eastAsia="仿宋"/>
          <w:sz w:val="28"/>
          <w:szCs w:val="28"/>
          <w:vertAlign w:val="superscript"/>
        </w:rPr>
        <w:t>2</w:t>
      </w:r>
      <w:r>
        <w:rPr>
          <w:rFonts w:eastAsia="仿宋"/>
          <w:sz w:val="28"/>
          <w:szCs w:val="28"/>
        </w:rPr>
        <w:t>。</w:t>
      </w:r>
      <w:r>
        <w:rPr>
          <w:rFonts w:hint="eastAsia" w:eastAsia="仿宋"/>
          <w:sz w:val="28"/>
          <w:szCs w:val="28"/>
        </w:rPr>
        <w:t>骑龙村水源监管范围</w:t>
      </w:r>
      <w:r>
        <w:rPr>
          <w:rFonts w:eastAsia="仿宋"/>
          <w:sz w:val="28"/>
          <w:szCs w:val="28"/>
        </w:rPr>
        <w:t>划分见附图27</w:t>
      </w:r>
      <w:r>
        <w:rPr>
          <w:rFonts w:hint="eastAsia" w:eastAsia="仿宋"/>
          <w:sz w:val="28"/>
          <w:szCs w:val="28"/>
        </w:rPr>
        <w:t>和</w:t>
      </w:r>
      <w:r>
        <w:rPr>
          <w:rFonts w:eastAsia="仿宋"/>
          <w:sz w:val="28"/>
          <w:szCs w:val="28"/>
        </w:rPr>
        <w:t>附图28。</w:t>
      </w:r>
    </w:p>
    <w:p w14:paraId="2988A1A4">
      <w:pPr>
        <w:pStyle w:val="3"/>
        <w:spacing w:before="120" w:after="120" w:line="560" w:lineRule="exact"/>
        <w:ind w:left="3759" w:hanging="3759"/>
        <w:rPr>
          <w:rFonts w:eastAsia="仿宋"/>
          <w:sz w:val="32"/>
        </w:rPr>
      </w:pPr>
      <w:bookmarkStart w:id="39" w:name="_Toc60930778"/>
      <w:r>
        <w:rPr>
          <w:rFonts w:eastAsia="仿宋"/>
          <w:sz w:val="32"/>
        </w:rPr>
        <w:t>2.15</w:t>
      </w:r>
      <w:r>
        <w:rPr>
          <w:rFonts w:hint="eastAsia" w:eastAsia="仿宋"/>
          <w:sz w:val="32"/>
        </w:rPr>
        <w:t>黔陶乡赵司村赵司河集中式饮用水源</w:t>
      </w:r>
      <w:bookmarkEnd w:id="39"/>
    </w:p>
    <w:p w14:paraId="6B1C9AC9">
      <w:pPr>
        <w:pStyle w:val="29"/>
        <w:spacing w:line="600" w:lineRule="exact"/>
        <w:ind w:right="28" w:firstLine="548" w:firstLineChars="196"/>
        <w:rPr>
          <w:rFonts w:ascii="仿宋" w:hAnsi="仿宋" w:eastAsia="仿宋"/>
          <w:sz w:val="28"/>
        </w:rPr>
      </w:pPr>
      <w:r>
        <w:rPr>
          <w:rFonts w:hint="eastAsia" w:ascii="仿宋" w:hAnsi="仿宋" w:eastAsia="仿宋"/>
          <w:sz w:val="28"/>
        </w:rPr>
        <w:t>赵司村赵司河</w:t>
      </w:r>
      <w:r>
        <w:rPr>
          <w:rFonts w:ascii="仿宋" w:hAnsi="仿宋" w:eastAsia="仿宋"/>
          <w:sz w:val="28"/>
        </w:rPr>
        <w:t>水源</w:t>
      </w:r>
      <w:r>
        <w:rPr>
          <w:rFonts w:hint="eastAsia" w:ascii="仿宋" w:hAnsi="仿宋" w:eastAsia="仿宋"/>
          <w:sz w:val="28"/>
        </w:rPr>
        <w:t>位于花溪区黔陶布依族苗族乡</w:t>
      </w:r>
      <w:r>
        <w:rPr>
          <w:rFonts w:ascii="仿宋" w:hAnsi="仿宋" w:eastAsia="仿宋"/>
          <w:sz w:val="28"/>
        </w:rPr>
        <w:t>赵司村</w:t>
      </w:r>
      <w:r>
        <w:rPr>
          <w:rFonts w:hint="eastAsia" w:ascii="仿宋" w:hAnsi="仿宋" w:eastAsia="仿宋"/>
          <w:sz w:val="28"/>
        </w:rPr>
        <w:t>，距黔陶布依族苗族乡集镇</w:t>
      </w:r>
      <w:r>
        <w:rPr>
          <w:rFonts w:ascii="仿宋" w:hAnsi="仿宋" w:eastAsia="仿宋"/>
          <w:sz w:val="28"/>
        </w:rPr>
        <w:t>2.9</w:t>
      </w:r>
      <w:r>
        <w:rPr>
          <w:rFonts w:hint="eastAsia" w:ascii="仿宋" w:hAnsi="仿宋" w:eastAsia="仿宋"/>
          <w:sz w:val="28"/>
        </w:rPr>
        <w:t>km，属于地表水（河流）型水源，是花溪区黔陶布依族苗族乡赵司村集中式饮用水水源。水源取水点位于黔陶布依族苗族乡赵司村赵司河</w:t>
      </w:r>
      <w:r>
        <w:rPr>
          <w:rFonts w:ascii="仿宋" w:hAnsi="仿宋" w:eastAsia="仿宋"/>
          <w:sz w:val="28"/>
        </w:rPr>
        <w:t>中</w:t>
      </w:r>
      <w:r>
        <w:rPr>
          <w:rFonts w:hint="eastAsia" w:ascii="仿宋" w:hAnsi="仿宋" w:eastAsia="仿宋"/>
          <w:sz w:val="28"/>
        </w:rPr>
        <w:t>，地理坐标为东经</w:t>
      </w:r>
      <w:r>
        <w:rPr>
          <w:rFonts w:ascii="仿宋" w:hAnsi="仿宋" w:eastAsia="仿宋"/>
          <w:sz w:val="28"/>
        </w:rPr>
        <w:t>106°44'57.04"</w:t>
      </w:r>
      <w:r>
        <w:rPr>
          <w:rFonts w:hint="eastAsia" w:ascii="仿宋" w:hAnsi="仿宋" w:eastAsia="仿宋"/>
          <w:sz w:val="28"/>
        </w:rPr>
        <w:t>，北纬</w:t>
      </w:r>
      <w:r>
        <w:rPr>
          <w:rFonts w:ascii="仿宋" w:hAnsi="仿宋" w:eastAsia="仿宋"/>
          <w:sz w:val="28"/>
        </w:rPr>
        <w:t>26°19'8.50"</w:t>
      </w:r>
      <w:r>
        <w:rPr>
          <w:rFonts w:hint="eastAsia" w:ascii="仿宋" w:hAnsi="仿宋" w:eastAsia="仿宋"/>
          <w:sz w:val="28"/>
        </w:rPr>
        <w:t>。赵司村赵司河</w:t>
      </w:r>
      <w:r>
        <w:rPr>
          <w:rFonts w:ascii="仿宋" w:hAnsi="仿宋" w:eastAsia="仿宋"/>
          <w:sz w:val="28"/>
        </w:rPr>
        <w:t>水源</w:t>
      </w:r>
      <w:r>
        <w:rPr>
          <w:rFonts w:hint="eastAsia" w:ascii="仿宋" w:hAnsi="仿宋" w:eastAsia="仿宋"/>
          <w:sz w:val="28"/>
        </w:rPr>
        <w:t>是黔陶布依族苗族乡</w:t>
      </w:r>
      <w:r>
        <w:rPr>
          <w:rFonts w:ascii="仿宋" w:hAnsi="仿宋" w:eastAsia="仿宋"/>
          <w:sz w:val="28"/>
        </w:rPr>
        <w:t>赵司村集中</w:t>
      </w:r>
      <w:r>
        <w:rPr>
          <w:rFonts w:hint="eastAsia" w:ascii="仿宋" w:hAnsi="仿宋" w:eastAsia="仿宋"/>
          <w:sz w:val="28"/>
        </w:rPr>
        <w:t>式饮用水水源，服务人口</w:t>
      </w:r>
      <w:r>
        <w:rPr>
          <w:rFonts w:ascii="仿宋" w:hAnsi="仿宋" w:eastAsia="仿宋"/>
          <w:sz w:val="28"/>
        </w:rPr>
        <w:t>1152</w:t>
      </w:r>
      <w:r>
        <w:rPr>
          <w:rFonts w:hint="eastAsia" w:ascii="仿宋" w:hAnsi="仿宋" w:eastAsia="仿宋"/>
          <w:sz w:val="28"/>
        </w:rPr>
        <w:t>人，日均供水量</w:t>
      </w:r>
      <w:r>
        <w:rPr>
          <w:rFonts w:ascii="仿宋" w:hAnsi="仿宋" w:eastAsia="仿宋"/>
          <w:sz w:val="28"/>
        </w:rPr>
        <w:t>120</w:t>
      </w:r>
      <w:r>
        <w:rPr>
          <w:rFonts w:hint="eastAsia" w:ascii="仿宋" w:hAnsi="仿宋" w:eastAsia="仿宋"/>
          <w:sz w:val="28"/>
        </w:rPr>
        <w:t>立方米，供水区域为黔陶布依族苗族乡赵司村一组</w:t>
      </w:r>
      <w:r>
        <w:rPr>
          <w:rFonts w:ascii="仿宋" w:hAnsi="仿宋" w:eastAsia="仿宋"/>
          <w:sz w:val="28"/>
        </w:rPr>
        <w:t>、</w:t>
      </w:r>
      <w:r>
        <w:rPr>
          <w:rFonts w:hint="eastAsia" w:ascii="仿宋" w:hAnsi="仿宋" w:eastAsia="仿宋"/>
          <w:sz w:val="28"/>
        </w:rPr>
        <w:t>二组</w:t>
      </w:r>
      <w:r>
        <w:rPr>
          <w:rFonts w:ascii="仿宋" w:hAnsi="仿宋" w:eastAsia="仿宋"/>
          <w:sz w:val="28"/>
        </w:rPr>
        <w:t>、</w:t>
      </w:r>
      <w:r>
        <w:rPr>
          <w:rFonts w:hint="eastAsia" w:ascii="仿宋" w:hAnsi="仿宋" w:eastAsia="仿宋"/>
          <w:sz w:val="28"/>
        </w:rPr>
        <w:t>三</w:t>
      </w:r>
      <w:r>
        <w:rPr>
          <w:rFonts w:ascii="仿宋" w:hAnsi="仿宋" w:eastAsia="仿宋"/>
          <w:sz w:val="28"/>
        </w:rPr>
        <w:t>组</w:t>
      </w:r>
      <w:r>
        <w:rPr>
          <w:rFonts w:hint="eastAsia" w:ascii="仿宋" w:hAnsi="仿宋" w:eastAsia="仿宋"/>
          <w:sz w:val="28"/>
        </w:rPr>
        <w:t>。赵司村赵司河</w:t>
      </w:r>
      <w:r>
        <w:rPr>
          <w:rFonts w:ascii="仿宋" w:hAnsi="仿宋" w:eastAsia="仿宋"/>
          <w:sz w:val="28"/>
        </w:rPr>
        <w:t>水源</w:t>
      </w:r>
      <w:r>
        <w:rPr>
          <w:rFonts w:hint="eastAsia" w:ascii="仿宋" w:hAnsi="仿宋" w:eastAsia="仿宋"/>
          <w:sz w:val="28"/>
        </w:rPr>
        <w:t>取水点照片见图2-</w:t>
      </w:r>
      <w:r>
        <w:rPr>
          <w:rFonts w:ascii="仿宋" w:hAnsi="仿宋" w:eastAsia="仿宋"/>
          <w:sz w:val="28"/>
        </w:rPr>
        <w:t>15</w:t>
      </w:r>
      <w:r>
        <w:rPr>
          <w:rFonts w:hint="eastAsia" w:ascii="仿宋" w:hAnsi="仿宋" w:eastAsia="仿宋"/>
          <w:sz w:val="28"/>
        </w:rPr>
        <w:t>。</w:t>
      </w:r>
    </w:p>
    <w:p w14:paraId="6B3F7948">
      <w:pPr>
        <w:pStyle w:val="29"/>
        <w:ind w:right="28"/>
        <w:jc w:val="center"/>
        <w:rPr>
          <w:rFonts w:eastAsia="仿宋_GB2312"/>
          <w:spacing w:val="-8"/>
        </w:rPr>
      </w:pPr>
      <w:r>
        <w:rPr>
          <w:rFonts w:eastAsia="仿宋_GB2312"/>
          <w:spacing w:val="-8"/>
        </w:rPr>
        <w:drawing>
          <wp:inline distT="0" distB="0" distL="0" distR="0">
            <wp:extent cx="5472430" cy="4104640"/>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5472430" cy="4104640"/>
                    </a:xfrm>
                    <a:prstGeom prst="rect">
                      <a:avLst/>
                    </a:prstGeom>
                    <a:noFill/>
                    <a:ln>
                      <a:noFill/>
                    </a:ln>
                  </pic:spPr>
                </pic:pic>
              </a:graphicData>
            </a:graphic>
          </wp:inline>
        </w:drawing>
      </w:r>
      <w:r>
        <w:rPr>
          <w:rFonts w:eastAsia="仿宋"/>
          <w:b/>
          <w:spacing w:val="-8"/>
        </w:rPr>
        <w:t xml:space="preserve">图2-15 </w:t>
      </w:r>
      <w:r>
        <w:rPr>
          <w:rFonts w:hint="eastAsia" w:eastAsia="仿宋"/>
          <w:b/>
          <w:spacing w:val="-8"/>
        </w:rPr>
        <w:t>赵司村赵司河水源</w:t>
      </w:r>
      <w:r>
        <w:rPr>
          <w:rFonts w:eastAsia="仿宋"/>
          <w:b/>
          <w:spacing w:val="-8"/>
        </w:rPr>
        <w:t>取水</w:t>
      </w:r>
      <w:r>
        <w:rPr>
          <w:rFonts w:hint="eastAsia" w:eastAsia="仿宋"/>
          <w:b/>
          <w:spacing w:val="-8"/>
        </w:rPr>
        <w:t>点</w:t>
      </w:r>
      <w:r>
        <w:rPr>
          <w:rFonts w:eastAsia="仿宋"/>
          <w:b/>
          <w:spacing w:val="-8"/>
        </w:rPr>
        <w:t>现场照片</w:t>
      </w:r>
    </w:p>
    <w:p w14:paraId="47493A5D">
      <w:pPr>
        <w:pStyle w:val="29"/>
        <w:spacing w:line="600" w:lineRule="exact"/>
        <w:ind w:right="28" w:firstLine="548" w:firstLineChars="196"/>
        <w:rPr>
          <w:rFonts w:eastAsia="仿宋"/>
          <w:sz w:val="28"/>
          <w:szCs w:val="28"/>
        </w:rPr>
      </w:pPr>
      <w:r>
        <w:rPr>
          <w:rFonts w:hint="eastAsia" w:eastAsia="仿宋"/>
          <w:sz w:val="28"/>
          <w:szCs w:val="28"/>
        </w:rPr>
        <w:t>赵司村赵司河水源</w:t>
      </w:r>
      <w:r>
        <w:rPr>
          <w:rFonts w:eastAsia="仿宋"/>
          <w:sz w:val="28"/>
          <w:szCs w:val="28"/>
        </w:rPr>
        <w:t>取水点位于花溪区黔陶布依族苗族乡赵司村赵司河</w:t>
      </w:r>
      <w:r>
        <w:rPr>
          <w:rFonts w:hint="eastAsia" w:eastAsia="仿宋"/>
          <w:sz w:val="28"/>
          <w:szCs w:val="28"/>
        </w:rPr>
        <w:t>中，目前水质为《地表水环境质量标准》（GB 3838-2002）Ⅲ类。</w:t>
      </w:r>
    </w:p>
    <w:p w14:paraId="7A6ADB38">
      <w:pPr>
        <w:pStyle w:val="29"/>
        <w:spacing w:line="600" w:lineRule="exact"/>
        <w:ind w:right="28" w:firstLine="548" w:firstLineChars="196"/>
        <w:rPr>
          <w:rFonts w:eastAsia="仿宋"/>
          <w:sz w:val="28"/>
          <w:szCs w:val="28"/>
        </w:rPr>
      </w:pPr>
      <w:r>
        <w:rPr>
          <w:rFonts w:eastAsia="仿宋"/>
          <w:sz w:val="28"/>
          <w:szCs w:val="28"/>
        </w:rPr>
        <w:t>根据《花溪区</w:t>
      </w:r>
      <w:r>
        <w:rPr>
          <w:rFonts w:hint="eastAsia" w:eastAsia="仿宋"/>
          <w:sz w:val="28"/>
          <w:szCs w:val="28"/>
        </w:rPr>
        <w:t>千人以上集中式饮用水水源监管范围划分方案</w:t>
      </w:r>
      <w:r>
        <w:rPr>
          <w:rFonts w:eastAsia="仿宋"/>
          <w:sz w:val="28"/>
          <w:szCs w:val="28"/>
        </w:rPr>
        <w:t>》，花溪区黔陶布依族苗族乡赵司村赵司河集中式饮用水水源监管范围总面积为0.0592km</w:t>
      </w:r>
      <w:r>
        <w:rPr>
          <w:rFonts w:eastAsia="仿宋"/>
          <w:sz w:val="28"/>
          <w:szCs w:val="28"/>
          <w:vertAlign w:val="superscript"/>
        </w:rPr>
        <w:t>2</w:t>
      </w:r>
      <w:r>
        <w:rPr>
          <w:rFonts w:eastAsia="仿宋"/>
          <w:sz w:val="28"/>
          <w:szCs w:val="28"/>
        </w:rPr>
        <w:t>。</w:t>
      </w:r>
      <w:r>
        <w:rPr>
          <w:rFonts w:hint="eastAsia" w:eastAsia="仿宋"/>
          <w:sz w:val="28"/>
          <w:szCs w:val="28"/>
        </w:rPr>
        <w:t>赵司村赵司河水源监管范围</w:t>
      </w:r>
      <w:r>
        <w:rPr>
          <w:rFonts w:eastAsia="仿宋"/>
          <w:sz w:val="28"/>
          <w:szCs w:val="28"/>
        </w:rPr>
        <w:t>划分见附图29</w:t>
      </w:r>
      <w:r>
        <w:rPr>
          <w:rFonts w:hint="eastAsia" w:eastAsia="仿宋"/>
          <w:sz w:val="28"/>
          <w:szCs w:val="28"/>
        </w:rPr>
        <w:t>和</w:t>
      </w:r>
      <w:r>
        <w:rPr>
          <w:rFonts w:eastAsia="仿宋"/>
          <w:sz w:val="28"/>
          <w:szCs w:val="28"/>
        </w:rPr>
        <w:t>附图30。</w:t>
      </w:r>
    </w:p>
    <w:p w14:paraId="237DF92D">
      <w:pPr>
        <w:pStyle w:val="3"/>
        <w:spacing w:before="120" w:after="120" w:line="560" w:lineRule="exact"/>
        <w:ind w:left="3759" w:hanging="3759"/>
        <w:rPr>
          <w:rFonts w:eastAsia="仿宋"/>
          <w:sz w:val="32"/>
        </w:rPr>
      </w:pPr>
      <w:bookmarkStart w:id="40" w:name="_Toc60930779"/>
      <w:r>
        <w:rPr>
          <w:rFonts w:eastAsia="仿宋"/>
          <w:sz w:val="32"/>
        </w:rPr>
        <w:t>2.16</w:t>
      </w:r>
      <w:r>
        <w:rPr>
          <w:rFonts w:hint="eastAsia" w:eastAsia="仿宋"/>
          <w:sz w:val="32"/>
        </w:rPr>
        <w:t>青岩镇达夯村坡六塘集中式饮用水源</w:t>
      </w:r>
      <w:bookmarkEnd w:id="40"/>
    </w:p>
    <w:p w14:paraId="1C48576F">
      <w:pPr>
        <w:pStyle w:val="29"/>
        <w:spacing w:line="600" w:lineRule="exact"/>
        <w:ind w:right="28" w:firstLine="548" w:firstLineChars="196"/>
        <w:rPr>
          <w:rFonts w:ascii="仿宋" w:hAnsi="仿宋" w:eastAsia="仿宋"/>
          <w:sz w:val="28"/>
        </w:rPr>
      </w:pPr>
      <w:r>
        <w:rPr>
          <w:rFonts w:hint="eastAsia" w:ascii="仿宋" w:hAnsi="仿宋" w:eastAsia="仿宋"/>
          <w:sz w:val="28"/>
        </w:rPr>
        <w:t>坡六塘</w:t>
      </w:r>
      <w:r>
        <w:rPr>
          <w:rFonts w:ascii="仿宋" w:hAnsi="仿宋" w:eastAsia="仿宋"/>
          <w:sz w:val="28"/>
        </w:rPr>
        <w:t>水源</w:t>
      </w:r>
      <w:r>
        <w:rPr>
          <w:rFonts w:hint="eastAsia" w:ascii="仿宋" w:hAnsi="仿宋" w:eastAsia="仿宋"/>
          <w:sz w:val="28"/>
        </w:rPr>
        <w:t>位于花溪区青岩镇达夯村坡六塘，距青岩镇集镇</w:t>
      </w:r>
      <w:r>
        <w:rPr>
          <w:rFonts w:ascii="仿宋" w:hAnsi="仿宋" w:eastAsia="仿宋"/>
          <w:sz w:val="28"/>
        </w:rPr>
        <w:t>6.5</w:t>
      </w:r>
      <w:r>
        <w:rPr>
          <w:rFonts w:hint="eastAsia" w:ascii="仿宋" w:hAnsi="仿宋" w:eastAsia="仿宋"/>
          <w:sz w:val="28"/>
        </w:rPr>
        <w:t>km，属于地下水型水源，是花溪区青岩镇达夯村集中式饮用水水源。</w:t>
      </w:r>
      <w:r>
        <w:rPr>
          <w:rFonts w:ascii="仿宋" w:hAnsi="仿宋" w:eastAsia="仿宋"/>
          <w:sz w:val="28"/>
        </w:rPr>
        <w:t>该水源位于花溪区青岩镇龙潭集中式饮用水</w:t>
      </w:r>
      <w:r>
        <w:rPr>
          <w:rFonts w:hint="eastAsia" w:ascii="仿宋" w:hAnsi="仿宋" w:eastAsia="仿宋"/>
          <w:sz w:val="28"/>
        </w:rPr>
        <w:t>水源</w:t>
      </w:r>
      <w:r>
        <w:rPr>
          <w:rFonts w:ascii="仿宋" w:hAnsi="仿宋" w:eastAsia="仿宋"/>
          <w:sz w:val="28"/>
        </w:rPr>
        <w:t>二级保护区内</w:t>
      </w:r>
      <w:r>
        <w:rPr>
          <w:rFonts w:hint="eastAsia" w:ascii="仿宋" w:hAnsi="仿宋" w:eastAsia="仿宋"/>
          <w:sz w:val="28"/>
        </w:rPr>
        <w:t>。水源取水点位于青岩镇达夯村坡六塘，地理坐标为东经</w:t>
      </w:r>
      <w:r>
        <w:rPr>
          <w:rFonts w:ascii="仿宋" w:hAnsi="仿宋" w:eastAsia="仿宋"/>
          <w:sz w:val="28"/>
        </w:rPr>
        <w:t>106°37'54.22"</w:t>
      </w:r>
      <w:r>
        <w:rPr>
          <w:rFonts w:hint="eastAsia" w:ascii="仿宋" w:hAnsi="仿宋" w:eastAsia="仿宋"/>
          <w:sz w:val="28"/>
        </w:rPr>
        <w:t>，北纬</w:t>
      </w:r>
      <w:r>
        <w:rPr>
          <w:rFonts w:ascii="仿宋" w:hAnsi="仿宋" w:eastAsia="仿宋"/>
          <w:sz w:val="28"/>
        </w:rPr>
        <w:t>26°18'26.97"</w:t>
      </w:r>
      <w:r>
        <w:rPr>
          <w:rFonts w:hint="eastAsia" w:ascii="仿宋" w:hAnsi="仿宋" w:eastAsia="仿宋"/>
          <w:sz w:val="28"/>
        </w:rPr>
        <w:t>。坡六塘</w:t>
      </w:r>
      <w:r>
        <w:rPr>
          <w:rFonts w:ascii="仿宋" w:hAnsi="仿宋" w:eastAsia="仿宋"/>
          <w:sz w:val="28"/>
        </w:rPr>
        <w:t>水源</w:t>
      </w:r>
      <w:r>
        <w:rPr>
          <w:rFonts w:hint="eastAsia" w:ascii="仿宋" w:hAnsi="仿宋" w:eastAsia="仿宋"/>
          <w:sz w:val="28"/>
        </w:rPr>
        <w:t>是青岩镇达夯村</w:t>
      </w:r>
      <w:r>
        <w:rPr>
          <w:rFonts w:ascii="仿宋" w:hAnsi="仿宋" w:eastAsia="仿宋"/>
          <w:sz w:val="28"/>
        </w:rPr>
        <w:t>集中</w:t>
      </w:r>
      <w:r>
        <w:rPr>
          <w:rFonts w:hint="eastAsia" w:ascii="仿宋" w:hAnsi="仿宋" w:eastAsia="仿宋"/>
          <w:sz w:val="28"/>
        </w:rPr>
        <w:t>式饮用水水源，服务人口</w:t>
      </w:r>
      <w:r>
        <w:rPr>
          <w:rFonts w:ascii="仿宋" w:hAnsi="仿宋" w:eastAsia="仿宋"/>
          <w:sz w:val="28"/>
        </w:rPr>
        <w:t>1202</w:t>
      </w:r>
      <w:r>
        <w:rPr>
          <w:rFonts w:hint="eastAsia" w:ascii="仿宋" w:hAnsi="仿宋" w:eastAsia="仿宋"/>
          <w:sz w:val="28"/>
        </w:rPr>
        <w:t>人，日均供水量96立方米，供水区域为青岩镇达夯村六组</w:t>
      </w:r>
      <w:r>
        <w:rPr>
          <w:rFonts w:ascii="仿宋" w:hAnsi="仿宋" w:eastAsia="仿宋"/>
          <w:sz w:val="28"/>
        </w:rPr>
        <w:t>（</w:t>
      </w:r>
      <w:r>
        <w:rPr>
          <w:rFonts w:hint="eastAsia" w:ascii="仿宋" w:hAnsi="仿宋" w:eastAsia="仿宋"/>
          <w:sz w:val="28"/>
        </w:rPr>
        <w:t>湾子</w:t>
      </w:r>
      <w:r>
        <w:rPr>
          <w:rFonts w:ascii="仿宋" w:hAnsi="仿宋" w:eastAsia="仿宋"/>
          <w:sz w:val="28"/>
        </w:rPr>
        <w:t>组）</w:t>
      </w:r>
      <w:r>
        <w:rPr>
          <w:rFonts w:hint="eastAsia" w:ascii="仿宋" w:hAnsi="仿宋" w:eastAsia="仿宋"/>
          <w:sz w:val="28"/>
        </w:rPr>
        <w:t>、</w:t>
      </w:r>
      <w:r>
        <w:rPr>
          <w:rFonts w:ascii="仿宋" w:hAnsi="仿宋" w:eastAsia="仿宋"/>
          <w:sz w:val="28"/>
        </w:rPr>
        <w:t>七组（</w:t>
      </w:r>
      <w:r>
        <w:rPr>
          <w:rFonts w:hint="eastAsia" w:ascii="仿宋" w:hAnsi="仿宋" w:eastAsia="仿宋"/>
          <w:sz w:val="28"/>
        </w:rPr>
        <w:t>鼠场</w:t>
      </w:r>
      <w:r>
        <w:rPr>
          <w:rFonts w:ascii="仿宋" w:hAnsi="仿宋" w:eastAsia="仿宋"/>
          <w:sz w:val="28"/>
        </w:rPr>
        <w:t>组）</w:t>
      </w:r>
      <w:r>
        <w:rPr>
          <w:rFonts w:hint="eastAsia" w:ascii="仿宋" w:hAnsi="仿宋" w:eastAsia="仿宋"/>
          <w:sz w:val="28"/>
        </w:rPr>
        <w:t>、</w:t>
      </w:r>
      <w:r>
        <w:rPr>
          <w:rFonts w:ascii="仿宋" w:hAnsi="仿宋" w:eastAsia="仿宋"/>
          <w:sz w:val="28"/>
        </w:rPr>
        <w:t>八组（</w:t>
      </w:r>
      <w:r>
        <w:rPr>
          <w:rFonts w:hint="eastAsia" w:ascii="仿宋" w:hAnsi="仿宋" w:eastAsia="仿宋"/>
          <w:sz w:val="28"/>
        </w:rPr>
        <w:t>坡六塘</w:t>
      </w:r>
      <w:r>
        <w:rPr>
          <w:rFonts w:ascii="仿宋" w:hAnsi="仿宋" w:eastAsia="仿宋"/>
          <w:sz w:val="28"/>
        </w:rPr>
        <w:t>组）</w:t>
      </w:r>
      <w:r>
        <w:rPr>
          <w:rFonts w:hint="eastAsia" w:ascii="仿宋" w:hAnsi="仿宋" w:eastAsia="仿宋"/>
          <w:sz w:val="28"/>
        </w:rPr>
        <w:t>、</w:t>
      </w:r>
      <w:r>
        <w:rPr>
          <w:rFonts w:ascii="仿宋" w:hAnsi="仿宋" w:eastAsia="仿宋"/>
          <w:sz w:val="28"/>
        </w:rPr>
        <w:t>九组</w:t>
      </w:r>
      <w:r>
        <w:rPr>
          <w:rFonts w:hint="eastAsia" w:ascii="仿宋" w:hAnsi="仿宋" w:eastAsia="仿宋"/>
          <w:sz w:val="28"/>
        </w:rPr>
        <w:t>（土地关组）、十组（叉口洞组）、十一组（新村组）、十二组（吴老田组）。坡六塘</w:t>
      </w:r>
      <w:r>
        <w:rPr>
          <w:rFonts w:ascii="仿宋" w:hAnsi="仿宋" w:eastAsia="仿宋"/>
          <w:sz w:val="28"/>
        </w:rPr>
        <w:t>水源</w:t>
      </w:r>
      <w:r>
        <w:rPr>
          <w:rFonts w:hint="eastAsia" w:ascii="仿宋" w:hAnsi="仿宋" w:eastAsia="仿宋"/>
          <w:sz w:val="28"/>
        </w:rPr>
        <w:t>取水点照片见图2-</w:t>
      </w:r>
      <w:r>
        <w:rPr>
          <w:rFonts w:ascii="仿宋" w:hAnsi="仿宋" w:eastAsia="仿宋"/>
          <w:sz w:val="28"/>
        </w:rPr>
        <w:t>16</w:t>
      </w:r>
      <w:r>
        <w:rPr>
          <w:rFonts w:hint="eastAsia" w:ascii="仿宋" w:hAnsi="仿宋" w:eastAsia="仿宋"/>
          <w:sz w:val="28"/>
        </w:rPr>
        <w:t>。</w:t>
      </w:r>
    </w:p>
    <w:p w14:paraId="5298344C">
      <w:pPr>
        <w:jc w:val="center"/>
        <w:rPr>
          <w:rFonts w:eastAsia="仿宋_GB2312"/>
          <w:spacing w:val="-8"/>
          <w:szCs w:val="21"/>
        </w:rPr>
      </w:pPr>
      <w:r>
        <w:rPr>
          <w:rFonts w:eastAsia="仿宋_GB2312"/>
          <w:spacing w:val="-8"/>
          <w:szCs w:val="21"/>
        </w:rPr>
        <w:drawing>
          <wp:inline distT="0" distB="0" distL="0" distR="0">
            <wp:extent cx="2683510" cy="1996440"/>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2689855" cy="2001201"/>
                    </a:xfrm>
                    <a:prstGeom prst="rect">
                      <a:avLst/>
                    </a:prstGeom>
                    <a:noFill/>
                    <a:ln>
                      <a:noFill/>
                    </a:ln>
                  </pic:spPr>
                </pic:pic>
              </a:graphicData>
            </a:graphic>
          </wp:inline>
        </w:drawing>
      </w:r>
      <w:r>
        <w:rPr>
          <w:rFonts w:eastAsia="仿宋_GB2312"/>
          <w:spacing w:val="-8"/>
          <w:szCs w:val="21"/>
        </w:rPr>
        <w:t xml:space="preserve"> </w:t>
      </w:r>
      <w:r>
        <w:rPr>
          <w:rFonts w:eastAsia="仿宋_GB2312"/>
          <w:spacing w:val="-8"/>
          <w:szCs w:val="21"/>
        </w:rPr>
        <w:drawing>
          <wp:inline distT="0" distB="0" distL="0" distR="0">
            <wp:extent cx="2684145" cy="1996440"/>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2685322" cy="1997830"/>
                    </a:xfrm>
                    <a:prstGeom prst="rect">
                      <a:avLst/>
                    </a:prstGeom>
                    <a:noFill/>
                    <a:ln>
                      <a:noFill/>
                    </a:ln>
                  </pic:spPr>
                </pic:pic>
              </a:graphicData>
            </a:graphic>
          </wp:inline>
        </w:drawing>
      </w:r>
    </w:p>
    <w:p w14:paraId="3CD18416">
      <w:pPr>
        <w:pStyle w:val="29"/>
        <w:ind w:right="28"/>
        <w:jc w:val="center"/>
        <w:rPr>
          <w:rFonts w:eastAsia="仿宋_GB2312"/>
          <w:spacing w:val="-8"/>
        </w:rPr>
      </w:pPr>
      <w:r>
        <w:rPr>
          <w:rFonts w:eastAsia="仿宋"/>
          <w:b/>
          <w:spacing w:val="-8"/>
        </w:rPr>
        <w:t xml:space="preserve">图2-16 </w:t>
      </w:r>
      <w:r>
        <w:rPr>
          <w:rFonts w:hint="eastAsia" w:eastAsia="仿宋"/>
          <w:b/>
          <w:spacing w:val="-8"/>
        </w:rPr>
        <w:t>坡六塘水源</w:t>
      </w:r>
      <w:r>
        <w:rPr>
          <w:rFonts w:eastAsia="仿宋"/>
          <w:b/>
          <w:spacing w:val="-8"/>
        </w:rPr>
        <w:t>取水</w:t>
      </w:r>
      <w:r>
        <w:rPr>
          <w:rFonts w:hint="eastAsia" w:eastAsia="仿宋"/>
          <w:b/>
          <w:spacing w:val="-8"/>
        </w:rPr>
        <w:t>点</w:t>
      </w:r>
      <w:r>
        <w:rPr>
          <w:rFonts w:eastAsia="仿宋"/>
          <w:b/>
          <w:spacing w:val="-8"/>
        </w:rPr>
        <w:t>现场照片</w:t>
      </w:r>
    </w:p>
    <w:p w14:paraId="5AA46794">
      <w:pPr>
        <w:pStyle w:val="29"/>
        <w:spacing w:line="600" w:lineRule="exact"/>
        <w:ind w:right="28" w:firstLine="548" w:firstLineChars="196"/>
        <w:rPr>
          <w:rFonts w:eastAsia="仿宋"/>
          <w:sz w:val="28"/>
          <w:szCs w:val="28"/>
        </w:rPr>
      </w:pPr>
      <w:r>
        <w:rPr>
          <w:rFonts w:hint="eastAsia" w:eastAsia="仿宋"/>
          <w:sz w:val="28"/>
          <w:szCs w:val="28"/>
        </w:rPr>
        <w:t>坡六塘水源属于地下水型水源，其取水点位于青岩镇达夯村坡六塘，取水点位于地下水天窗</w:t>
      </w:r>
      <w:r>
        <w:rPr>
          <w:rFonts w:eastAsia="仿宋"/>
          <w:sz w:val="28"/>
          <w:szCs w:val="28"/>
        </w:rPr>
        <w:t>。</w:t>
      </w:r>
      <w:r>
        <w:rPr>
          <w:rFonts w:hint="eastAsia" w:eastAsia="仿宋"/>
          <w:sz w:val="28"/>
          <w:szCs w:val="28"/>
        </w:rPr>
        <w:t>根据1:5综合万水文地质资料显示</w:t>
      </w:r>
      <w:r>
        <w:rPr>
          <w:rFonts w:eastAsia="仿宋"/>
          <w:sz w:val="28"/>
          <w:szCs w:val="28"/>
        </w:rPr>
        <w:t>，</w:t>
      </w:r>
      <w:r>
        <w:rPr>
          <w:rFonts w:hint="eastAsia" w:eastAsia="仿宋"/>
          <w:sz w:val="28"/>
          <w:szCs w:val="28"/>
        </w:rPr>
        <w:t>该区地下水类型为裂隙溶洞水，富水性中等，地下水径流模数为3-6L/s.km</w:t>
      </w:r>
      <w:r>
        <w:rPr>
          <w:rFonts w:hint="eastAsia" w:eastAsia="仿宋"/>
          <w:sz w:val="28"/>
          <w:szCs w:val="28"/>
          <w:vertAlign w:val="superscript"/>
        </w:rPr>
        <w:t>2</w:t>
      </w:r>
      <w:r>
        <w:rPr>
          <w:rFonts w:hint="eastAsia" w:eastAsia="仿宋"/>
          <w:sz w:val="28"/>
          <w:szCs w:val="28"/>
        </w:rPr>
        <w:t>，地下水由西南流向东北。通过现场调查并走访当地的村民，了解到该</w:t>
      </w:r>
      <w:r>
        <w:rPr>
          <w:rFonts w:eastAsia="仿宋"/>
          <w:sz w:val="28"/>
          <w:szCs w:val="28"/>
        </w:rPr>
        <w:t>水源</w:t>
      </w:r>
      <w:r>
        <w:rPr>
          <w:rFonts w:hint="eastAsia" w:eastAsia="仿宋"/>
          <w:sz w:val="28"/>
          <w:szCs w:val="28"/>
        </w:rPr>
        <w:t>在暴雨后水会出现3天</w:t>
      </w:r>
      <w:r>
        <w:rPr>
          <w:rFonts w:eastAsia="仿宋"/>
          <w:sz w:val="28"/>
          <w:szCs w:val="28"/>
        </w:rPr>
        <w:t>左右的浑浊</w:t>
      </w:r>
      <w:r>
        <w:rPr>
          <w:rFonts w:hint="eastAsia" w:eastAsia="仿宋"/>
          <w:sz w:val="28"/>
          <w:szCs w:val="28"/>
        </w:rPr>
        <w:t>现象，水量随</w:t>
      </w:r>
      <w:r>
        <w:rPr>
          <w:rFonts w:eastAsia="仿宋"/>
          <w:sz w:val="28"/>
          <w:szCs w:val="28"/>
        </w:rPr>
        <w:t>季节变化</w:t>
      </w:r>
      <w:r>
        <w:rPr>
          <w:rFonts w:hint="eastAsia" w:eastAsia="仿宋"/>
          <w:sz w:val="28"/>
          <w:szCs w:val="28"/>
        </w:rPr>
        <w:t>大</w:t>
      </w:r>
      <w:r>
        <w:rPr>
          <w:rFonts w:eastAsia="仿宋"/>
          <w:sz w:val="28"/>
          <w:szCs w:val="28"/>
        </w:rPr>
        <w:t>，</w:t>
      </w:r>
      <w:r>
        <w:rPr>
          <w:rFonts w:hint="eastAsia" w:eastAsia="仿宋"/>
          <w:sz w:val="28"/>
          <w:szCs w:val="28"/>
        </w:rPr>
        <w:t>在</w:t>
      </w:r>
      <w:r>
        <w:rPr>
          <w:rFonts w:eastAsia="仿宋"/>
          <w:sz w:val="28"/>
          <w:szCs w:val="28"/>
        </w:rPr>
        <w:t>下大暴雨</w:t>
      </w:r>
      <w:r>
        <w:rPr>
          <w:rFonts w:hint="eastAsia" w:eastAsia="仿宋"/>
          <w:sz w:val="28"/>
          <w:szCs w:val="28"/>
        </w:rPr>
        <w:t>时</w:t>
      </w:r>
      <w:r>
        <w:rPr>
          <w:rFonts w:eastAsia="仿宋"/>
          <w:sz w:val="28"/>
          <w:szCs w:val="28"/>
        </w:rPr>
        <w:t>，地下水会</w:t>
      </w:r>
      <w:r>
        <w:rPr>
          <w:rFonts w:hint="eastAsia" w:eastAsia="仿宋"/>
          <w:sz w:val="28"/>
          <w:szCs w:val="28"/>
        </w:rPr>
        <w:t>涌出</w:t>
      </w:r>
      <w:r>
        <w:rPr>
          <w:rFonts w:eastAsia="仿宋"/>
          <w:sz w:val="28"/>
          <w:szCs w:val="28"/>
        </w:rPr>
        <w:t>天窗，</w:t>
      </w:r>
      <w:r>
        <w:rPr>
          <w:rFonts w:hint="eastAsia" w:eastAsia="仿宋"/>
          <w:sz w:val="28"/>
          <w:szCs w:val="28"/>
        </w:rPr>
        <w:t>流出</w:t>
      </w:r>
      <w:r>
        <w:rPr>
          <w:rFonts w:eastAsia="仿宋"/>
          <w:sz w:val="28"/>
          <w:szCs w:val="28"/>
        </w:rPr>
        <w:t>地表，</w:t>
      </w:r>
      <w:r>
        <w:rPr>
          <w:rFonts w:hint="eastAsia" w:eastAsia="仿宋"/>
          <w:sz w:val="28"/>
          <w:szCs w:val="28"/>
        </w:rPr>
        <w:t>汇成</w:t>
      </w:r>
      <w:r>
        <w:rPr>
          <w:rFonts w:eastAsia="仿宋"/>
          <w:sz w:val="28"/>
          <w:szCs w:val="28"/>
        </w:rPr>
        <w:t>地表径流，</w:t>
      </w:r>
      <w:r>
        <w:rPr>
          <w:rFonts w:hint="eastAsia" w:eastAsia="仿宋"/>
          <w:sz w:val="28"/>
          <w:szCs w:val="28"/>
        </w:rPr>
        <w:t>说明该水源与</w:t>
      </w:r>
      <w:r>
        <w:rPr>
          <w:rFonts w:eastAsia="仿宋"/>
          <w:sz w:val="28"/>
          <w:szCs w:val="28"/>
        </w:rPr>
        <w:t>地表联系</w:t>
      </w:r>
      <w:r>
        <w:rPr>
          <w:rFonts w:hint="eastAsia" w:eastAsia="仿宋"/>
          <w:sz w:val="28"/>
          <w:szCs w:val="28"/>
        </w:rPr>
        <w:t>紧密</w:t>
      </w:r>
      <w:r>
        <w:rPr>
          <w:rFonts w:eastAsia="仿宋"/>
          <w:sz w:val="28"/>
          <w:szCs w:val="28"/>
        </w:rPr>
        <w:t>，且补给来源较近，目前水质为《地下水质量标准》（GB/T 14848-2017）</w:t>
      </w:r>
      <w:r>
        <w:rPr>
          <w:rFonts w:hint="eastAsia" w:eastAsia="仿宋"/>
          <w:sz w:val="28"/>
          <w:szCs w:val="28"/>
        </w:rPr>
        <w:t>Ⅲ</w:t>
      </w:r>
      <w:r>
        <w:rPr>
          <w:rFonts w:eastAsia="仿宋"/>
          <w:sz w:val="28"/>
          <w:szCs w:val="28"/>
        </w:rPr>
        <w:t>类。</w:t>
      </w:r>
    </w:p>
    <w:p w14:paraId="072D3C16">
      <w:pPr>
        <w:pStyle w:val="29"/>
        <w:spacing w:line="600" w:lineRule="exact"/>
        <w:ind w:right="28" w:firstLine="548" w:firstLineChars="196"/>
        <w:rPr>
          <w:rFonts w:eastAsia="仿宋"/>
          <w:sz w:val="28"/>
          <w:szCs w:val="28"/>
        </w:rPr>
      </w:pPr>
      <w:r>
        <w:rPr>
          <w:rFonts w:eastAsia="仿宋"/>
          <w:sz w:val="28"/>
          <w:szCs w:val="28"/>
        </w:rPr>
        <w:t>根据《花溪区</w:t>
      </w:r>
      <w:r>
        <w:rPr>
          <w:rFonts w:hint="eastAsia" w:eastAsia="仿宋"/>
          <w:sz w:val="28"/>
          <w:szCs w:val="28"/>
        </w:rPr>
        <w:t>千人以上集中式饮用水水源监管范围划分方案</w:t>
      </w:r>
      <w:r>
        <w:rPr>
          <w:rFonts w:eastAsia="仿宋"/>
          <w:sz w:val="28"/>
          <w:szCs w:val="28"/>
        </w:rPr>
        <w:t>》，花溪区青岩镇</w:t>
      </w:r>
      <w:r>
        <w:rPr>
          <w:rFonts w:hint="eastAsia" w:eastAsia="仿宋"/>
          <w:sz w:val="28"/>
          <w:szCs w:val="28"/>
        </w:rPr>
        <w:t>达夯村坡六塘</w:t>
      </w:r>
      <w:r>
        <w:rPr>
          <w:rFonts w:eastAsia="仿宋"/>
          <w:sz w:val="28"/>
          <w:szCs w:val="28"/>
        </w:rPr>
        <w:t>集中式饮用水水源监管范围总面积为0.0003km</w:t>
      </w:r>
      <w:r>
        <w:rPr>
          <w:rFonts w:eastAsia="仿宋"/>
          <w:sz w:val="28"/>
          <w:szCs w:val="28"/>
          <w:vertAlign w:val="superscript"/>
        </w:rPr>
        <w:t>2</w:t>
      </w:r>
      <w:r>
        <w:rPr>
          <w:rFonts w:eastAsia="仿宋"/>
          <w:sz w:val="28"/>
          <w:szCs w:val="28"/>
        </w:rPr>
        <w:t>。</w:t>
      </w:r>
      <w:r>
        <w:rPr>
          <w:rFonts w:hint="eastAsia" w:eastAsia="仿宋"/>
          <w:sz w:val="28"/>
          <w:szCs w:val="28"/>
        </w:rPr>
        <w:t>坡六塘水源监管范围</w:t>
      </w:r>
      <w:r>
        <w:rPr>
          <w:rFonts w:eastAsia="仿宋"/>
          <w:sz w:val="28"/>
          <w:szCs w:val="28"/>
        </w:rPr>
        <w:t>划分见附图31</w:t>
      </w:r>
      <w:r>
        <w:rPr>
          <w:rFonts w:hint="eastAsia" w:eastAsia="仿宋"/>
          <w:sz w:val="28"/>
          <w:szCs w:val="28"/>
        </w:rPr>
        <w:t>和</w:t>
      </w:r>
      <w:r>
        <w:rPr>
          <w:rFonts w:eastAsia="仿宋"/>
          <w:sz w:val="28"/>
          <w:szCs w:val="28"/>
        </w:rPr>
        <w:t>附图32。</w:t>
      </w:r>
    </w:p>
    <w:p w14:paraId="68C6209D">
      <w:pPr>
        <w:pStyle w:val="3"/>
        <w:spacing w:before="120" w:after="120" w:line="560" w:lineRule="exact"/>
        <w:ind w:left="3759" w:hanging="3759"/>
        <w:rPr>
          <w:rFonts w:eastAsia="仿宋"/>
          <w:sz w:val="32"/>
        </w:rPr>
      </w:pPr>
      <w:bookmarkStart w:id="41" w:name="_Toc60930780"/>
      <w:r>
        <w:rPr>
          <w:rFonts w:eastAsia="仿宋"/>
          <w:sz w:val="32"/>
        </w:rPr>
        <w:t>2.17</w:t>
      </w:r>
      <w:r>
        <w:rPr>
          <w:rFonts w:hint="eastAsia" w:eastAsia="仿宋"/>
          <w:sz w:val="32"/>
        </w:rPr>
        <w:t>青岩镇龙井村集中式饮用水源</w:t>
      </w:r>
      <w:bookmarkEnd w:id="41"/>
    </w:p>
    <w:p w14:paraId="3CF3D401">
      <w:pPr>
        <w:pStyle w:val="29"/>
        <w:spacing w:line="600" w:lineRule="exact"/>
        <w:ind w:right="28" w:firstLine="548" w:firstLineChars="196"/>
        <w:rPr>
          <w:rFonts w:ascii="仿宋" w:hAnsi="仿宋" w:eastAsia="仿宋"/>
          <w:sz w:val="28"/>
        </w:rPr>
      </w:pPr>
      <w:r>
        <w:rPr>
          <w:rFonts w:ascii="仿宋" w:hAnsi="仿宋" w:eastAsia="仿宋"/>
          <w:sz w:val="28"/>
        </w:rPr>
        <w:t>龙井村水源位于花溪区青岩镇龙井村，距青岩镇集镇2.0km，属于地下水型水源，是花溪区青岩镇龙井村集中式饮用水水源。水源取水点位于青岩镇龙井村，地理坐标为东经106°40'1.36"，北纬26°20'13.97"。龙井村水源是青岩镇龙井村集中式饮用水水源，服务人口1325人，日均供水量130立方米，供水区域为青岩镇龙井村一组、二组、三组</w:t>
      </w:r>
      <w:r>
        <w:rPr>
          <w:rFonts w:hint="eastAsia" w:ascii="仿宋" w:hAnsi="仿宋" w:eastAsia="仿宋"/>
          <w:sz w:val="28"/>
        </w:rPr>
        <w:t>、四</w:t>
      </w:r>
      <w:r>
        <w:rPr>
          <w:rFonts w:ascii="仿宋" w:hAnsi="仿宋" w:eastAsia="仿宋"/>
          <w:sz w:val="28"/>
        </w:rPr>
        <w:t>组、</w:t>
      </w:r>
      <w:r>
        <w:rPr>
          <w:rFonts w:hint="eastAsia" w:ascii="仿宋" w:hAnsi="仿宋" w:eastAsia="仿宋"/>
          <w:sz w:val="28"/>
        </w:rPr>
        <w:t>五</w:t>
      </w:r>
      <w:r>
        <w:rPr>
          <w:rFonts w:ascii="仿宋" w:hAnsi="仿宋" w:eastAsia="仿宋"/>
          <w:sz w:val="28"/>
        </w:rPr>
        <w:t>组、</w:t>
      </w:r>
      <w:r>
        <w:rPr>
          <w:rFonts w:hint="eastAsia" w:ascii="仿宋" w:hAnsi="仿宋" w:eastAsia="仿宋"/>
          <w:sz w:val="28"/>
        </w:rPr>
        <w:t>六</w:t>
      </w:r>
      <w:r>
        <w:rPr>
          <w:rFonts w:ascii="仿宋" w:hAnsi="仿宋" w:eastAsia="仿宋"/>
          <w:sz w:val="28"/>
        </w:rPr>
        <w:t>组</w:t>
      </w:r>
      <w:r>
        <w:rPr>
          <w:rFonts w:hint="eastAsia" w:ascii="仿宋" w:hAnsi="仿宋" w:eastAsia="仿宋"/>
          <w:sz w:val="28"/>
        </w:rPr>
        <w:t>、</w:t>
      </w:r>
      <w:r>
        <w:rPr>
          <w:rFonts w:ascii="仿宋" w:hAnsi="仿宋" w:eastAsia="仿宋"/>
          <w:sz w:val="28"/>
        </w:rPr>
        <w:t>七组。</w:t>
      </w:r>
      <w:r>
        <w:rPr>
          <w:rFonts w:hint="eastAsia" w:ascii="仿宋" w:hAnsi="仿宋" w:eastAsia="仿宋"/>
          <w:sz w:val="28"/>
        </w:rPr>
        <w:t>龙井村</w:t>
      </w:r>
      <w:r>
        <w:rPr>
          <w:rFonts w:ascii="仿宋" w:hAnsi="仿宋" w:eastAsia="仿宋"/>
          <w:sz w:val="28"/>
        </w:rPr>
        <w:t>水源</w:t>
      </w:r>
      <w:r>
        <w:rPr>
          <w:rFonts w:hint="eastAsia" w:ascii="仿宋" w:hAnsi="仿宋" w:eastAsia="仿宋"/>
          <w:sz w:val="28"/>
        </w:rPr>
        <w:t>取水点照片见图2-</w:t>
      </w:r>
      <w:r>
        <w:rPr>
          <w:rFonts w:ascii="仿宋" w:hAnsi="仿宋" w:eastAsia="仿宋"/>
          <w:sz w:val="28"/>
        </w:rPr>
        <w:t>17</w:t>
      </w:r>
      <w:r>
        <w:rPr>
          <w:rFonts w:hint="eastAsia" w:ascii="仿宋" w:hAnsi="仿宋" w:eastAsia="仿宋"/>
          <w:sz w:val="28"/>
        </w:rPr>
        <w:t>。</w:t>
      </w:r>
    </w:p>
    <w:p w14:paraId="2E3D2667">
      <w:pPr>
        <w:jc w:val="center"/>
        <w:rPr>
          <w:rFonts w:eastAsia="仿宋_GB2312"/>
          <w:spacing w:val="-8"/>
          <w:szCs w:val="21"/>
        </w:rPr>
      </w:pPr>
      <w:r>
        <w:rPr>
          <w:rFonts w:eastAsia="仿宋_GB2312"/>
          <w:spacing w:val="-8"/>
          <w:szCs w:val="21"/>
        </w:rPr>
        <w:drawing>
          <wp:inline distT="0" distB="0" distL="0" distR="0">
            <wp:extent cx="2670175" cy="1982470"/>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2670175" cy="1982470"/>
                    </a:xfrm>
                    <a:prstGeom prst="rect">
                      <a:avLst/>
                    </a:prstGeom>
                    <a:noFill/>
                    <a:ln>
                      <a:noFill/>
                    </a:ln>
                  </pic:spPr>
                </pic:pic>
              </a:graphicData>
            </a:graphic>
          </wp:inline>
        </w:drawing>
      </w:r>
      <w:r>
        <w:rPr>
          <w:rFonts w:eastAsia="仿宋_GB2312"/>
          <w:spacing w:val="-8"/>
          <w:szCs w:val="21"/>
        </w:rPr>
        <w:t xml:space="preserve"> </w:t>
      </w:r>
      <w:r>
        <w:rPr>
          <w:rFonts w:eastAsia="仿宋_GB2312"/>
          <w:spacing w:val="-8"/>
          <w:szCs w:val="21"/>
        </w:rPr>
        <w:drawing>
          <wp:inline distT="0" distB="0" distL="0" distR="0">
            <wp:extent cx="2670175" cy="1997075"/>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2670175" cy="1997075"/>
                    </a:xfrm>
                    <a:prstGeom prst="rect">
                      <a:avLst/>
                    </a:prstGeom>
                    <a:noFill/>
                    <a:ln>
                      <a:noFill/>
                    </a:ln>
                  </pic:spPr>
                </pic:pic>
              </a:graphicData>
            </a:graphic>
          </wp:inline>
        </w:drawing>
      </w:r>
    </w:p>
    <w:p w14:paraId="264B1ADE">
      <w:pPr>
        <w:pStyle w:val="29"/>
        <w:ind w:right="28"/>
        <w:jc w:val="center"/>
        <w:rPr>
          <w:rFonts w:eastAsia="仿宋_GB2312"/>
          <w:spacing w:val="-8"/>
        </w:rPr>
      </w:pPr>
      <w:r>
        <w:rPr>
          <w:rFonts w:eastAsia="仿宋"/>
          <w:b/>
          <w:spacing w:val="-8"/>
        </w:rPr>
        <w:t xml:space="preserve">图2-17 </w:t>
      </w:r>
      <w:r>
        <w:rPr>
          <w:rFonts w:hint="eastAsia" w:eastAsia="仿宋"/>
          <w:b/>
          <w:spacing w:val="-8"/>
        </w:rPr>
        <w:t>龙井村水源</w:t>
      </w:r>
      <w:r>
        <w:rPr>
          <w:rFonts w:eastAsia="仿宋"/>
          <w:b/>
          <w:spacing w:val="-8"/>
        </w:rPr>
        <w:t>取水</w:t>
      </w:r>
      <w:r>
        <w:rPr>
          <w:rFonts w:hint="eastAsia" w:eastAsia="仿宋"/>
          <w:b/>
          <w:spacing w:val="-8"/>
        </w:rPr>
        <w:t>点</w:t>
      </w:r>
      <w:r>
        <w:rPr>
          <w:rFonts w:eastAsia="仿宋"/>
          <w:b/>
          <w:spacing w:val="-8"/>
        </w:rPr>
        <w:t>现场照片</w:t>
      </w:r>
    </w:p>
    <w:p w14:paraId="266253A7">
      <w:pPr>
        <w:pStyle w:val="29"/>
        <w:spacing w:line="600" w:lineRule="exact"/>
        <w:ind w:right="28" w:firstLine="548" w:firstLineChars="196"/>
        <w:rPr>
          <w:rFonts w:eastAsia="仿宋"/>
          <w:sz w:val="28"/>
          <w:szCs w:val="28"/>
        </w:rPr>
      </w:pPr>
      <w:r>
        <w:rPr>
          <w:rFonts w:eastAsia="仿宋"/>
          <w:sz w:val="28"/>
          <w:szCs w:val="28"/>
        </w:rPr>
        <w:t>龙井村水源属于地下水型水源，其取水点位于青岩镇龙井村，</w:t>
      </w:r>
      <w:r>
        <w:rPr>
          <w:rFonts w:hint="eastAsia" w:eastAsia="仿宋"/>
          <w:sz w:val="28"/>
          <w:szCs w:val="28"/>
        </w:rPr>
        <w:t>取水点</w:t>
      </w:r>
      <w:r>
        <w:rPr>
          <w:rFonts w:eastAsia="仿宋"/>
          <w:sz w:val="28"/>
          <w:szCs w:val="28"/>
        </w:rPr>
        <w:t>位于地下水天窗</w:t>
      </w:r>
      <w:r>
        <w:rPr>
          <w:rFonts w:hint="eastAsia" w:eastAsia="仿宋"/>
          <w:sz w:val="28"/>
          <w:szCs w:val="28"/>
        </w:rPr>
        <w:t>，距离</w:t>
      </w:r>
      <w:r>
        <w:rPr>
          <w:rFonts w:eastAsia="仿宋"/>
          <w:sz w:val="28"/>
          <w:szCs w:val="28"/>
        </w:rPr>
        <w:t>龙井地下水出口约</w:t>
      </w:r>
      <w:r>
        <w:rPr>
          <w:rFonts w:hint="eastAsia" w:eastAsia="仿宋"/>
          <w:sz w:val="28"/>
          <w:szCs w:val="28"/>
        </w:rPr>
        <w:t>65</w:t>
      </w:r>
      <w:r>
        <w:rPr>
          <w:rFonts w:eastAsia="仿宋"/>
          <w:sz w:val="28"/>
          <w:szCs w:val="28"/>
        </w:rPr>
        <w:t>m，地下水</w:t>
      </w:r>
      <w:r>
        <w:rPr>
          <w:rFonts w:hint="eastAsia" w:eastAsia="仿宋"/>
          <w:sz w:val="28"/>
          <w:szCs w:val="28"/>
        </w:rPr>
        <w:t>从</w:t>
      </w:r>
      <w:r>
        <w:rPr>
          <w:rFonts w:eastAsia="仿宋"/>
          <w:sz w:val="28"/>
          <w:szCs w:val="28"/>
        </w:rPr>
        <w:t>取水点天窗流向</w:t>
      </w:r>
      <w:r>
        <w:rPr>
          <w:rFonts w:hint="eastAsia" w:eastAsia="仿宋"/>
          <w:sz w:val="28"/>
          <w:szCs w:val="28"/>
        </w:rPr>
        <w:t>龙井</w:t>
      </w:r>
      <w:r>
        <w:rPr>
          <w:rFonts w:eastAsia="仿宋"/>
          <w:sz w:val="28"/>
          <w:szCs w:val="28"/>
        </w:rPr>
        <w:t>地下水出口，地下水于流出后，向</w:t>
      </w:r>
      <w:r>
        <w:rPr>
          <w:rFonts w:hint="eastAsia" w:eastAsia="仿宋"/>
          <w:sz w:val="28"/>
          <w:szCs w:val="28"/>
        </w:rPr>
        <w:t>东</w:t>
      </w:r>
      <w:r>
        <w:rPr>
          <w:rFonts w:eastAsia="仿宋"/>
          <w:sz w:val="28"/>
          <w:szCs w:val="28"/>
        </w:rPr>
        <w:t>流入西门河</w:t>
      </w:r>
      <w:r>
        <w:rPr>
          <w:rFonts w:hint="eastAsia" w:eastAsia="仿宋"/>
          <w:sz w:val="28"/>
          <w:szCs w:val="28"/>
        </w:rPr>
        <w:t>后</w:t>
      </w:r>
      <w:r>
        <w:rPr>
          <w:rFonts w:eastAsia="仿宋"/>
          <w:sz w:val="28"/>
          <w:szCs w:val="28"/>
        </w:rPr>
        <w:t>流入涟江</w:t>
      </w:r>
      <w:r>
        <w:rPr>
          <w:rFonts w:hint="eastAsia" w:eastAsia="仿宋"/>
          <w:sz w:val="28"/>
          <w:szCs w:val="28"/>
        </w:rPr>
        <w:t>。</w:t>
      </w:r>
      <w:r>
        <w:rPr>
          <w:rFonts w:eastAsia="仿宋"/>
          <w:sz w:val="28"/>
          <w:szCs w:val="28"/>
        </w:rPr>
        <w:t>根据1:5综合万水文地质资料显示，该区地下水类型为</w:t>
      </w:r>
      <w:r>
        <w:rPr>
          <w:rFonts w:hint="eastAsia" w:eastAsia="仿宋"/>
          <w:sz w:val="28"/>
          <w:szCs w:val="28"/>
        </w:rPr>
        <w:t>岩溶裂隙网络型地下水</w:t>
      </w:r>
      <w:r>
        <w:rPr>
          <w:rFonts w:eastAsia="仿宋"/>
          <w:sz w:val="28"/>
          <w:szCs w:val="28"/>
        </w:rPr>
        <w:t>，富水性</w:t>
      </w:r>
      <w:r>
        <w:rPr>
          <w:rFonts w:hint="eastAsia" w:eastAsia="仿宋"/>
          <w:sz w:val="28"/>
          <w:szCs w:val="28"/>
        </w:rPr>
        <w:t>中等</w:t>
      </w:r>
      <w:r>
        <w:rPr>
          <w:rFonts w:eastAsia="仿宋"/>
          <w:sz w:val="28"/>
          <w:szCs w:val="28"/>
        </w:rPr>
        <w:t>，地下水径流模数3-6L/s.km</w:t>
      </w:r>
      <w:r>
        <w:rPr>
          <w:rFonts w:eastAsia="仿宋"/>
          <w:sz w:val="28"/>
          <w:szCs w:val="28"/>
          <w:vertAlign w:val="superscript"/>
        </w:rPr>
        <w:t>2</w:t>
      </w:r>
      <w:r>
        <w:rPr>
          <w:rFonts w:eastAsia="仿宋"/>
          <w:sz w:val="28"/>
          <w:szCs w:val="28"/>
        </w:rPr>
        <w:t>，地下水由东</w:t>
      </w:r>
      <w:r>
        <w:rPr>
          <w:rFonts w:hint="eastAsia" w:eastAsia="仿宋"/>
          <w:sz w:val="28"/>
          <w:szCs w:val="28"/>
        </w:rPr>
        <w:t>流向西</w:t>
      </w:r>
      <w:r>
        <w:rPr>
          <w:rFonts w:eastAsia="仿宋"/>
          <w:sz w:val="28"/>
          <w:szCs w:val="28"/>
        </w:rPr>
        <w:t>。通过现场调查并走访当地的村民，了解到该水源暴雨时水不会出现浑浊，</w:t>
      </w:r>
      <w:r>
        <w:rPr>
          <w:rFonts w:hint="eastAsia" w:eastAsia="仿宋"/>
          <w:sz w:val="28"/>
          <w:szCs w:val="28"/>
        </w:rPr>
        <w:t>出水量</w:t>
      </w:r>
      <w:r>
        <w:rPr>
          <w:rFonts w:eastAsia="仿宋"/>
          <w:sz w:val="28"/>
          <w:szCs w:val="28"/>
        </w:rPr>
        <w:t>大，水量</w:t>
      </w:r>
      <w:r>
        <w:rPr>
          <w:rFonts w:hint="eastAsia" w:eastAsia="仿宋"/>
          <w:sz w:val="28"/>
          <w:szCs w:val="28"/>
        </w:rPr>
        <w:t>随</w:t>
      </w:r>
      <w:r>
        <w:rPr>
          <w:rFonts w:eastAsia="仿宋"/>
          <w:sz w:val="28"/>
          <w:szCs w:val="28"/>
        </w:rPr>
        <w:t>季节变化不大，说明该水源埋藏较深且补给来源较远，目前水质为《地下水质量标准》（GB/T 14848-2017）</w:t>
      </w:r>
      <w:r>
        <w:rPr>
          <w:rFonts w:hint="eastAsia" w:eastAsia="仿宋"/>
          <w:sz w:val="28"/>
          <w:szCs w:val="28"/>
        </w:rPr>
        <w:t>Ⅲ</w:t>
      </w:r>
      <w:r>
        <w:rPr>
          <w:rFonts w:eastAsia="仿宋"/>
          <w:sz w:val="28"/>
          <w:szCs w:val="28"/>
        </w:rPr>
        <w:t>类。</w:t>
      </w:r>
    </w:p>
    <w:p w14:paraId="474E1FF2">
      <w:pPr>
        <w:pStyle w:val="29"/>
        <w:spacing w:line="600" w:lineRule="exact"/>
        <w:ind w:right="28" w:firstLine="548" w:firstLineChars="196"/>
        <w:rPr>
          <w:rFonts w:eastAsia="仿宋"/>
          <w:sz w:val="28"/>
          <w:szCs w:val="28"/>
        </w:rPr>
      </w:pPr>
      <w:r>
        <w:rPr>
          <w:rFonts w:eastAsia="仿宋"/>
          <w:sz w:val="28"/>
          <w:szCs w:val="28"/>
        </w:rPr>
        <w:t>根据《花溪区</w:t>
      </w:r>
      <w:r>
        <w:rPr>
          <w:rFonts w:hint="eastAsia" w:eastAsia="仿宋"/>
          <w:sz w:val="28"/>
          <w:szCs w:val="28"/>
        </w:rPr>
        <w:t>千人以上集中式饮用水水源监管范围划分方案</w:t>
      </w:r>
      <w:r>
        <w:rPr>
          <w:rFonts w:eastAsia="仿宋"/>
          <w:sz w:val="28"/>
          <w:szCs w:val="28"/>
        </w:rPr>
        <w:t>》，花溪区青岩镇龙井村集中式饮用水水源监管范围总面积为26m</w:t>
      </w:r>
      <w:r>
        <w:rPr>
          <w:rFonts w:eastAsia="仿宋"/>
          <w:sz w:val="28"/>
          <w:szCs w:val="28"/>
          <w:vertAlign w:val="superscript"/>
        </w:rPr>
        <w:t>2</w:t>
      </w:r>
      <w:r>
        <w:rPr>
          <w:rFonts w:eastAsia="仿宋"/>
          <w:sz w:val="28"/>
          <w:szCs w:val="28"/>
        </w:rPr>
        <w:t>。龙井村水源</w:t>
      </w:r>
      <w:r>
        <w:rPr>
          <w:rFonts w:hint="eastAsia" w:eastAsia="仿宋"/>
          <w:sz w:val="28"/>
          <w:szCs w:val="28"/>
        </w:rPr>
        <w:t>监管范围</w:t>
      </w:r>
      <w:r>
        <w:rPr>
          <w:rFonts w:eastAsia="仿宋"/>
          <w:sz w:val="28"/>
          <w:szCs w:val="28"/>
        </w:rPr>
        <w:t>划分见附图33</w:t>
      </w:r>
      <w:r>
        <w:rPr>
          <w:rFonts w:hint="eastAsia" w:eastAsia="仿宋"/>
          <w:sz w:val="28"/>
          <w:szCs w:val="28"/>
        </w:rPr>
        <w:t>和</w:t>
      </w:r>
      <w:r>
        <w:rPr>
          <w:rFonts w:eastAsia="仿宋"/>
          <w:sz w:val="28"/>
          <w:szCs w:val="28"/>
        </w:rPr>
        <w:t>附图34。</w:t>
      </w:r>
    </w:p>
    <w:p w14:paraId="21D64E6D">
      <w:pPr>
        <w:pStyle w:val="3"/>
        <w:spacing w:before="120" w:after="120" w:line="560" w:lineRule="exact"/>
        <w:ind w:left="3759" w:hanging="3759"/>
        <w:rPr>
          <w:rFonts w:eastAsia="仿宋"/>
          <w:sz w:val="32"/>
        </w:rPr>
      </w:pPr>
      <w:bookmarkStart w:id="42" w:name="_Toc60930781"/>
      <w:r>
        <w:rPr>
          <w:rFonts w:eastAsia="仿宋"/>
          <w:sz w:val="32"/>
        </w:rPr>
        <w:t>2.18</w:t>
      </w:r>
      <w:r>
        <w:rPr>
          <w:rFonts w:hint="eastAsia" w:eastAsia="仿宋"/>
          <w:sz w:val="32"/>
        </w:rPr>
        <w:t>青岩镇思潜村赵司河集中式饮用水源</w:t>
      </w:r>
      <w:bookmarkEnd w:id="42"/>
    </w:p>
    <w:p w14:paraId="17CB4B67">
      <w:pPr>
        <w:pStyle w:val="29"/>
        <w:spacing w:line="600" w:lineRule="exact"/>
        <w:ind w:right="28" w:firstLine="548" w:firstLineChars="196"/>
        <w:rPr>
          <w:rFonts w:ascii="仿宋" w:hAnsi="仿宋" w:eastAsia="仿宋"/>
          <w:sz w:val="28"/>
        </w:rPr>
      </w:pPr>
      <w:r>
        <w:rPr>
          <w:rFonts w:hint="eastAsia" w:ascii="仿宋" w:hAnsi="仿宋" w:eastAsia="仿宋"/>
          <w:sz w:val="28"/>
        </w:rPr>
        <w:t>思潜村赵司河</w:t>
      </w:r>
      <w:r>
        <w:rPr>
          <w:rFonts w:ascii="仿宋" w:hAnsi="仿宋" w:eastAsia="仿宋"/>
          <w:sz w:val="28"/>
        </w:rPr>
        <w:t>水源</w:t>
      </w:r>
      <w:r>
        <w:rPr>
          <w:rFonts w:hint="eastAsia" w:ascii="仿宋" w:hAnsi="仿宋" w:eastAsia="仿宋"/>
          <w:sz w:val="28"/>
        </w:rPr>
        <w:t>位于花溪区青岩镇</w:t>
      </w:r>
      <w:r>
        <w:rPr>
          <w:rFonts w:ascii="仿宋" w:hAnsi="仿宋" w:eastAsia="仿宋"/>
          <w:sz w:val="28"/>
        </w:rPr>
        <w:t>思潜村</w:t>
      </w:r>
      <w:r>
        <w:rPr>
          <w:rFonts w:hint="eastAsia" w:ascii="仿宋" w:hAnsi="仿宋" w:eastAsia="仿宋"/>
          <w:sz w:val="28"/>
        </w:rPr>
        <w:t>大桥组，距青岩镇集镇</w:t>
      </w:r>
      <w:r>
        <w:rPr>
          <w:rFonts w:ascii="仿宋" w:hAnsi="仿宋" w:eastAsia="仿宋"/>
          <w:sz w:val="28"/>
        </w:rPr>
        <w:t>4.9</w:t>
      </w:r>
      <w:r>
        <w:rPr>
          <w:rFonts w:hint="eastAsia" w:ascii="仿宋" w:hAnsi="仿宋" w:eastAsia="仿宋"/>
          <w:sz w:val="28"/>
        </w:rPr>
        <w:t>km，属于地表水（河流）型水源，是花溪区青岩镇思潜村集中式饮用水水源。水源取水点位于青岩镇思潜村大桥</w:t>
      </w:r>
      <w:r>
        <w:rPr>
          <w:rFonts w:ascii="仿宋" w:hAnsi="仿宋" w:eastAsia="仿宋"/>
          <w:sz w:val="28"/>
        </w:rPr>
        <w:t>组</w:t>
      </w:r>
      <w:r>
        <w:rPr>
          <w:rFonts w:hint="eastAsia" w:ascii="仿宋" w:hAnsi="仿宋" w:eastAsia="仿宋"/>
          <w:sz w:val="28"/>
        </w:rPr>
        <w:t>赵司河</w:t>
      </w:r>
      <w:r>
        <w:rPr>
          <w:rFonts w:ascii="仿宋" w:hAnsi="仿宋" w:eastAsia="仿宋"/>
          <w:sz w:val="28"/>
        </w:rPr>
        <w:t>中</w:t>
      </w:r>
      <w:r>
        <w:rPr>
          <w:rFonts w:hint="eastAsia" w:ascii="仿宋" w:hAnsi="仿宋" w:eastAsia="仿宋"/>
          <w:sz w:val="28"/>
        </w:rPr>
        <w:t>，地理坐标为东经</w:t>
      </w:r>
      <w:r>
        <w:rPr>
          <w:rFonts w:ascii="仿宋" w:hAnsi="仿宋" w:eastAsia="仿宋"/>
          <w:sz w:val="28"/>
        </w:rPr>
        <w:t>106°43'25.81"</w:t>
      </w:r>
      <w:r>
        <w:rPr>
          <w:rFonts w:hint="eastAsia" w:ascii="仿宋" w:hAnsi="仿宋" w:eastAsia="仿宋"/>
          <w:sz w:val="28"/>
        </w:rPr>
        <w:t>，北纬</w:t>
      </w:r>
      <w:r>
        <w:rPr>
          <w:rFonts w:ascii="仿宋" w:hAnsi="仿宋" w:eastAsia="仿宋"/>
          <w:sz w:val="28"/>
        </w:rPr>
        <w:t>26°18'29.16"</w:t>
      </w:r>
      <w:r>
        <w:rPr>
          <w:rFonts w:hint="eastAsia" w:ascii="仿宋" w:hAnsi="仿宋" w:eastAsia="仿宋"/>
          <w:sz w:val="28"/>
        </w:rPr>
        <w:t>。思潜村赵司河</w:t>
      </w:r>
      <w:r>
        <w:rPr>
          <w:rFonts w:ascii="仿宋" w:hAnsi="仿宋" w:eastAsia="仿宋"/>
          <w:sz w:val="28"/>
        </w:rPr>
        <w:t>水源</w:t>
      </w:r>
      <w:r>
        <w:rPr>
          <w:rFonts w:hint="eastAsia" w:ascii="仿宋" w:hAnsi="仿宋" w:eastAsia="仿宋"/>
          <w:sz w:val="28"/>
        </w:rPr>
        <w:t>是青岩镇</w:t>
      </w:r>
      <w:r>
        <w:rPr>
          <w:rFonts w:ascii="仿宋" w:hAnsi="仿宋" w:eastAsia="仿宋"/>
          <w:sz w:val="28"/>
        </w:rPr>
        <w:t>思潜村集中</w:t>
      </w:r>
      <w:r>
        <w:rPr>
          <w:rFonts w:hint="eastAsia" w:ascii="仿宋" w:hAnsi="仿宋" w:eastAsia="仿宋"/>
          <w:sz w:val="28"/>
        </w:rPr>
        <w:t>式饮用水水源，服务人口</w:t>
      </w:r>
      <w:r>
        <w:rPr>
          <w:rFonts w:ascii="仿宋" w:hAnsi="仿宋" w:eastAsia="仿宋"/>
          <w:sz w:val="28"/>
        </w:rPr>
        <w:t>2954</w:t>
      </w:r>
      <w:r>
        <w:rPr>
          <w:rFonts w:hint="eastAsia" w:ascii="仿宋" w:hAnsi="仿宋" w:eastAsia="仿宋"/>
          <w:sz w:val="28"/>
        </w:rPr>
        <w:t>人，日均供水量</w:t>
      </w:r>
      <w:r>
        <w:rPr>
          <w:rFonts w:ascii="仿宋" w:hAnsi="仿宋" w:eastAsia="仿宋"/>
          <w:sz w:val="28"/>
        </w:rPr>
        <w:t>225</w:t>
      </w:r>
      <w:r>
        <w:rPr>
          <w:rFonts w:hint="eastAsia" w:ascii="仿宋" w:hAnsi="仿宋" w:eastAsia="仿宋"/>
          <w:sz w:val="28"/>
        </w:rPr>
        <w:t>立方米，供水区域为青岩镇思潜村一组（大桥）、二组（栗木山）、三组（高寨）、四组、五组、六组（大寨）、十组（花冲</w:t>
      </w:r>
      <w:r>
        <w:rPr>
          <w:rFonts w:ascii="仿宋" w:hAnsi="仿宋" w:eastAsia="仿宋"/>
          <w:sz w:val="28"/>
        </w:rPr>
        <w:t>）</w:t>
      </w:r>
      <w:r>
        <w:rPr>
          <w:rFonts w:hint="eastAsia" w:ascii="仿宋" w:hAnsi="仿宋" w:eastAsia="仿宋"/>
          <w:sz w:val="28"/>
        </w:rPr>
        <w:t>、十一组、十二组。</w:t>
      </w:r>
    </w:p>
    <w:p w14:paraId="5997D5D9">
      <w:pPr>
        <w:pStyle w:val="29"/>
        <w:spacing w:line="600" w:lineRule="exact"/>
        <w:ind w:right="28" w:firstLine="548" w:firstLineChars="196"/>
        <w:rPr>
          <w:rFonts w:ascii="仿宋" w:hAnsi="仿宋" w:eastAsia="仿宋"/>
          <w:sz w:val="28"/>
        </w:rPr>
      </w:pPr>
      <w:r>
        <w:rPr>
          <w:rFonts w:hint="eastAsia" w:ascii="仿宋" w:hAnsi="仿宋" w:eastAsia="仿宋"/>
          <w:sz w:val="28"/>
        </w:rPr>
        <w:t>思潜村赵司河</w:t>
      </w:r>
      <w:r>
        <w:rPr>
          <w:rFonts w:ascii="仿宋" w:hAnsi="仿宋" w:eastAsia="仿宋"/>
          <w:sz w:val="28"/>
        </w:rPr>
        <w:t>水源</w:t>
      </w:r>
      <w:r>
        <w:rPr>
          <w:rFonts w:hint="eastAsia" w:ascii="仿宋" w:hAnsi="仿宋" w:eastAsia="仿宋"/>
          <w:sz w:val="28"/>
        </w:rPr>
        <w:t>取水点照片见图2-</w:t>
      </w:r>
      <w:r>
        <w:rPr>
          <w:rFonts w:ascii="仿宋" w:hAnsi="仿宋" w:eastAsia="仿宋"/>
          <w:sz w:val="28"/>
        </w:rPr>
        <w:t>18</w:t>
      </w:r>
      <w:r>
        <w:rPr>
          <w:rFonts w:hint="eastAsia" w:ascii="仿宋" w:hAnsi="仿宋" w:eastAsia="仿宋"/>
          <w:sz w:val="28"/>
        </w:rPr>
        <w:t>。</w:t>
      </w:r>
    </w:p>
    <w:p w14:paraId="213E281E">
      <w:pPr>
        <w:jc w:val="center"/>
        <w:rPr>
          <w:rFonts w:eastAsia="仿宋_GB2312"/>
          <w:spacing w:val="-8"/>
          <w:szCs w:val="21"/>
        </w:rPr>
      </w:pPr>
      <w:r>
        <w:rPr>
          <w:rFonts w:eastAsia="仿宋_GB2312"/>
          <w:spacing w:val="-8"/>
          <w:szCs w:val="21"/>
          <w:bdr w:val="single" w:color="FFFFFF" w:sz="4" w:space="0"/>
        </w:rPr>
        <w:drawing>
          <wp:inline distT="0" distB="0" distL="0" distR="0">
            <wp:extent cx="2676525" cy="1772285"/>
            <wp:effectExtent l="19050" t="19050" r="9525"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2684411" cy="1777321"/>
                    </a:xfrm>
                    <a:prstGeom prst="rect">
                      <a:avLst/>
                    </a:prstGeom>
                    <a:noFill/>
                    <a:ln w="6350" cmpd="sng">
                      <a:solidFill>
                        <a:schemeClr val="bg1">
                          <a:lumMod val="100000"/>
                          <a:lumOff val="0"/>
                        </a:schemeClr>
                      </a:solidFill>
                      <a:miter lim="800000"/>
                      <a:headEnd/>
                      <a:tailEnd/>
                    </a:ln>
                    <a:effectLst/>
                  </pic:spPr>
                </pic:pic>
              </a:graphicData>
            </a:graphic>
          </wp:inline>
        </w:drawing>
      </w:r>
      <w:r>
        <w:rPr>
          <w:rFonts w:eastAsia="仿宋_GB2312"/>
          <w:spacing w:val="-8"/>
          <w:szCs w:val="21"/>
          <w:bdr w:val="single" w:color="FFFFFF" w:sz="8" w:space="0"/>
        </w:rPr>
        <w:drawing>
          <wp:inline distT="0" distB="0" distL="0" distR="0">
            <wp:extent cx="2643505" cy="1764030"/>
            <wp:effectExtent l="19050" t="19050" r="4445" b="762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2645375" cy="1765635"/>
                    </a:xfrm>
                    <a:prstGeom prst="rect">
                      <a:avLst/>
                    </a:prstGeom>
                    <a:noFill/>
                    <a:ln w="12700" cmpd="sng">
                      <a:solidFill>
                        <a:schemeClr val="bg1">
                          <a:lumMod val="100000"/>
                          <a:lumOff val="0"/>
                        </a:schemeClr>
                      </a:solidFill>
                      <a:miter lim="800000"/>
                      <a:headEnd/>
                      <a:tailEnd/>
                    </a:ln>
                    <a:effectLst/>
                  </pic:spPr>
                </pic:pic>
              </a:graphicData>
            </a:graphic>
          </wp:inline>
        </w:drawing>
      </w:r>
    </w:p>
    <w:p w14:paraId="7E99937B">
      <w:pPr>
        <w:pStyle w:val="29"/>
        <w:ind w:right="28"/>
        <w:jc w:val="center"/>
        <w:rPr>
          <w:rFonts w:eastAsia="仿宋_GB2312"/>
          <w:spacing w:val="-8"/>
        </w:rPr>
      </w:pPr>
      <w:r>
        <w:rPr>
          <w:rFonts w:eastAsia="仿宋"/>
          <w:b/>
          <w:spacing w:val="-8"/>
        </w:rPr>
        <w:t xml:space="preserve">图2-18 </w:t>
      </w:r>
      <w:r>
        <w:rPr>
          <w:rFonts w:hint="eastAsia" w:eastAsia="仿宋"/>
          <w:b/>
          <w:spacing w:val="-8"/>
        </w:rPr>
        <w:t>思潜村赵司河水源</w:t>
      </w:r>
      <w:r>
        <w:rPr>
          <w:rFonts w:eastAsia="仿宋"/>
          <w:b/>
          <w:spacing w:val="-8"/>
        </w:rPr>
        <w:t>取水</w:t>
      </w:r>
      <w:r>
        <w:rPr>
          <w:rFonts w:hint="eastAsia" w:eastAsia="仿宋"/>
          <w:b/>
          <w:spacing w:val="-8"/>
        </w:rPr>
        <w:t>点</w:t>
      </w:r>
      <w:r>
        <w:rPr>
          <w:rFonts w:eastAsia="仿宋"/>
          <w:b/>
          <w:spacing w:val="-8"/>
        </w:rPr>
        <w:t>现场照片</w:t>
      </w:r>
    </w:p>
    <w:p w14:paraId="006AF5B9">
      <w:pPr>
        <w:pStyle w:val="29"/>
        <w:spacing w:line="600" w:lineRule="exact"/>
        <w:ind w:right="28" w:firstLine="548" w:firstLineChars="196"/>
        <w:rPr>
          <w:rFonts w:eastAsia="仿宋"/>
          <w:sz w:val="28"/>
          <w:szCs w:val="28"/>
        </w:rPr>
      </w:pPr>
      <w:r>
        <w:rPr>
          <w:rFonts w:hint="eastAsia" w:eastAsia="仿宋"/>
          <w:sz w:val="28"/>
          <w:szCs w:val="28"/>
        </w:rPr>
        <w:t>思潜村赵司河水源</w:t>
      </w:r>
      <w:r>
        <w:rPr>
          <w:rFonts w:eastAsia="仿宋"/>
          <w:sz w:val="28"/>
          <w:szCs w:val="28"/>
        </w:rPr>
        <w:t>取水点位于花溪区青岩镇思潜村</w:t>
      </w:r>
      <w:r>
        <w:rPr>
          <w:rFonts w:hint="eastAsia" w:eastAsia="仿宋"/>
          <w:sz w:val="28"/>
          <w:szCs w:val="28"/>
        </w:rPr>
        <w:t>大桥组</w:t>
      </w:r>
      <w:r>
        <w:rPr>
          <w:rFonts w:eastAsia="仿宋"/>
          <w:sz w:val="28"/>
          <w:szCs w:val="28"/>
        </w:rPr>
        <w:t>赵司河</w:t>
      </w:r>
      <w:r>
        <w:rPr>
          <w:rFonts w:hint="eastAsia" w:eastAsia="仿宋"/>
          <w:sz w:val="28"/>
          <w:szCs w:val="28"/>
        </w:rPr>
        <w:t>中，目前水质为《地表水环境质量标准》（GB 3838-2002）Ⅲ类。</w:t>
      </w:r>
    </w:p>
    <w:p w14:paraId="063BBEA9">
      <w:pPr>
        <w:pStyle w:val="29"/>
        <w:spacing w:line="600" w:lineRule="exact"/>
        <w:ind w:right="28" w:firstLine="548" w:firstLineChars="196"/>
        <w:rPr>
          <w:rFonts w:eastAsia="仿宋"/>
          <w:sz w:val="28"/>
          <w:szCs w:val="28"/>
        </w:rPr>
      </w:pPr>
      <w:r>
        <w:rPr>
          <w:rFonts w:eastAsia="仿宋"/>
          <w:sz w:val="28"/>
          <w:szCs w:val="28"/>
        </w:rPr>
        <w:t>根据《花溪区</w:t>
      </w:r>
      <w:r>
        <w:rPr>
          <w:rFonts w:hint="eastAsia" w:eastAsia="仿宋"/>
          <w:sz w:val="28"/>
          <w:szCs w:val="28"/>
        </w:rPr>
        <w:t>千人以上集中式饮用水水源监管范围划分方案</w:t>
      </w:r>
      <w:r>
        <w:rPr>
          <w:rFonts w:eastAsia="仿宋"/>
          <w:sz w:val="28"/>
          <w:szCs w:val="28"/>
        </w:rPr>
        <w:t>》，花溪区青岩镇思潜村赵司河集中式饮用水水源监管范围总面积为0.0905km</w:t>
      </w:r>
      <w:r>
        <w:rPr>
          <w:rFonts w:eastAsia="仿宋"/>
          <w:sz w:val="28"/>
          <w:szCs w:val="28"/>
          <w:vertAlign w:val="superscript"/>
        </w:rPr>
        <w:t>2</w:t>
      </w:r>
      <w:r>
        <w:rPr>
          <w:rFonts w:eastAsia="仿宋"/>
          <w:sz w:val="28"/>
          <w:szCs w:val="28"/>
        </w:rPr>
        <w:t>。</w:t>
      </w:r>
      <w:r>
        <w:rPr>
          <w:rFonts w:hint="eastAsia" w:eastAsia="仿宋"/>
          <w:sz w:val="28"/>
          <w:szCs w:val="28"/>
        </w:rPr>
        <w:t>思潜村赵司河水源监管范围</w:t>
      </w:r>
      <w:r>
        <w:rPr>
          <w:rFonts w:eastAsia="仿宋"/>
          <w:sz w:val="28"/>
          <w:szCs w:val="28"/>
        </w:rPr>
        <w:t>划分见附图35</w:t>
      </w:r>
      <w:r>
        <w:rPr>
          <w:rFonts w:hint="eastAsia" w:eastAsia="仿宋"/>
          <w:sz w:val="28"/>
          <w:szCs w:val="28"/>
        </w:rPr>
        <w:t>和</w:t>
      </w:r>
      <w:r>
        <w:rPr>
          <w:rFonts w:eastAsia="仿宋"/>
          <w:sz w:val="28"/>
          <w:szCs w:val="28"/>
        </w:rPr>
        <w:t>附图36。</w:t>
      </w:r>
    </w:p>
    <w:p w14:paraId="46AE6B44">
      <w:pPr>
        <w:pStyle w:val="3"/>
        <w:spacing w:before="120" w:after="120" w:line="560" w:lineRule="exact"/>
        <w:ind w:left="3759" w:hanging="3759"/>
        <w:rPr>
          <w:rFonts w:eastAsia="仿宋"/>
          <w:sz w:val="32"/>
        </w:rPr>
      </w:pPr>
      <w:bookmarkStart w:id="43" w:name="_Toc60930782"/>
      <w:r>
        <w:rPr>
          <w:rFonts w:eastAsia="仿宋"/>
          <w:sz w:val="32"/>
        </w:rPr>
        <w:t>2.19</w:t>
      </w:r>
      <w:r>
        <w:rPr>
          <w:rFonts w:hint="eastAsia" w:eastAsia="仿宋"/>
          <w:sz w:val="32"/>
        </w:rPr>
        <w:t>青岩镇西门河集中式饮用水源</w:t>
      </w:r>
      <w:bookmarkEnd w:id="43"/>
    </w:p>
    <w:p w14:paraId="62CF5374">
      <w:pPr>
        <w:pStyle w:val="29"/>
        <w:spacing w:line="600" w:lineRule="exact"/>
        <w:ind w:right="28" w:firstLine="548" w:firstLineChars="196"/>
        <w:rPr>
          <w:rFonts w:ascii="仿宋" w:hAnsi="仿宋" w:eastAsia="仿宋"/>
          <w:sz w:val="28"/>
        </w:rPr>
      </w:pPr>
      <w:r>
        <w:rPr>
          <w:rFonts w:hint="eastAsia" w:ascii="仿宋" w:hAnsi="仿宋" w:eastAsia="仿宋"/>
          <w:sz w:val="28"/>
        </w:rPr>
        <w:t>西门河</w:t>
      </w:r>
      <w:r>
        <w:rPr>
          <w:rFonts w:ascii="仿宋" w:hAnsi="仿宋" w:eastAsia="仿宋"/>
          <w:sz w:val="28"/>
        </w:rPr>
        <w:t>水源</w:t>
      </w:r>
      <w:r>
        <w:rPr>
          <w:rFonts w:hint="eastAsia" w:ascii="仿宋" w:hAnsi="仿宋" w:eastAsia="仿宋"/>
          <w:sz w:val="28"/>
        </w:rPr>
        <w:t>位于花溪区青岩镇西街村青岩水厂，位于青岩镇集镇北侧，属于地表水（河流）型水源，是花溪区青岩镇集中式饮用水水源。水源取水点位于青岩镇西街村青岩水厂西门河</w:t>
      </w:r>
      <w:r>
        <w:rPr>
          <w:rFonts w:ascii="仿宋" w:hAnsi="仿宋" w:eastAsia="仿宋"/>
          <w:sz w:val="28"/>
        </w:rPr>
        <w:t>中</w:t>
      </w:r>
      <w:r>
        <w:rPr>
          <w:rFonts w:hint="eastAsia" w:ascii="仿宋" w:hAnsi="仿宋" w:eastAsia="仿宋"/>
          <w:sz w:val="28"/>
        </w:rPr>
        <w:t>，地理坐标为东经</w:t>
      </w:r>
      <w:r>
        <w:rPr>
          <w:rFonts w:ascii="仿宋" w:hAnsi="仿宋" w:eastAsia="仿宋"/>
          <w:sz w:val="28"/>
        </w:rPr>
        <w:t>106°40'42.51"</w:t>
      </w:r>
      <w:r>
        <w:rPr>
          <w:rFonts w:hint="eastAsia" w:ascii="仿宋" w:hAnsi="仿宋" w:eastAsia="仿宋"/>
          <w:sz w:val="28"/>
        </w:rPr>
        <w:t>，北纬</w:t>
      </w:r>
      <w:r>
        <w:rPr>
          <w:rFonts w:ascii="仿宋" w:hAnsi="仿宋" w:eastAsia="仿宋"/>
          <w:sz w:val="28"/>
        </w:rPr>
        <w:t>26°20'12.81"</w:t>
      </w:r>
      <w:r>
        <w:rPr>
          <w:rFonts w:hint="eastAsia" w:ascii="仿宋" w:hAnsi="仿宋" w:eastAsia="仿宋"/>
          <w:sz w:val="28"/>
        </w:rPr>
        <w:t>。西门河</w:t>
      </w:r>
      <w:r>
        <w:rPr>
          <w:rFonts w:ascii="仿宋" w:hAnsi="仿宋" w:eastAsia="仿宋"/>
          <w:sz w:val="28"/>
        </w:rPr>
        <w:t>水源</w:t>
      </w:r>
      <w:r>
        <w:rPr>
          <w:rFonts w:hint="eastAsia" w:ascii="仿宋" w:hAnsi="仿宋" w:eastAsia="仿宋"/>
          <w:sz w:val="28"/>
        </w:rPr>
        <w:t>是青岩镇</w:t>
      </w:r>
      <w:r>
        <w:rPr>
          <w:rFonts w:ascii="仿宋" w:hAnsi="仿宋" w:eastAsia="仿宋"/>
          <w:sz w:val="28"/>
        </w:rPr>
        <w:t>集中</w:t>
      </w:r>
      <w:r>
        <w:rPr>
          <w:rFonts w:hint="eastAsia" w:ascii="仿宋" w:hAnsi="仿宋" w:eastAsia="仿宋"/>
          <w:sz w:val="28"/>
        </w:rPr>
        <w:t>式饮用水水源，服务人口</w:t>
      </w:r>
      <w:r>
        <w:rPr>
          <w:rFonts w:ascii="仿宋" w:hAnsi="仿宋" w:eastAsia="仿宋"/>
          <w:sz w:val="28"/>
        </w:rPr>
        <w:t>13545</w:t>
      </w:r>
      <w:r>
        <w:rPr>
          <w:rFonts w:hint="eastAsia" w:ascii="仿宋" w:hAnsi="仿宋" w:eastAsia="仿宋"/>
          <w:sz w:val="28"/>
        </w:rPr>
        <w:t>人，日均供水量</w:t>
      </w:r>
      <w:r>
        <w:rPr>
          <w:rFonts w:ascii="仿宋" w:hAnsi="仿宋" w:eastAsia="仿宋"/>
          <w:sz w:val="28"/>
        </w:rPr>
        <w:t>721</w:t>
      </w:r>
      <w:r>
        <w:rPr>
          <w:rFonts w:hint="eastAsia" w:ascii="仿宋" w:hAnsi="仿宋" w:eastAsia="仿宋"/>
          <w:sz w:val="28"/>
        </w:rPr>
        <w:t>立方米，供水区域为青岩镇歪脚村一组（大寨）、二组（大寨）、三组（大寨）、四组（高寨河）、五组（羊昌沟）、六组（云上坡）、七组（狮子山）、八组（大八块），南街村一组（塘上）、二组（南山苑）、三组（塘上）、四组（大次窝）、五组（大次窝）、六组（书院街）、七组（南山苑），西街村一组（城里头）、二组（城里头）、三组（城外头）、四组（城外头）、五组（栗木山）、六组（坝子头）、七组（基田），北街村一组（瓦窑井）、二组（卡子门、阁上山）、三组、四组（交通路）、五组（青岩堡）、六组、七组、八组、九组（玉带青城、青岩堡）、十组（姚家关）、十一组（姚家关） 、十二组（小西冲），摆早村四组（兰花关）、七组（弓腰寨）、八组（弓腰寨），新哨村八组（大坡），明清居委会一至</w:t>
      </w:r>
      <w:r>
        <w:rPr>
          <w:rFonts w:ascii="仿宋" w:hAnsi="仿宋" w:eastAsia="仿宋"/>
          <w:sz w:val="28"/>
        </w:rPr>
        <w:t>十组</w:t>
      </w:r>
      <w:r>
        <w:rPr>
          <w:rFonts w:hint="eastAsia" w:ascii="仿宋" w:hAnsi="仿宋" w:eastAsia="仿宋"/>
          <w:sz w:val="28"/>
        </w:rPr>
        <w:t>，东街居委会一</w:t>
      </w:r>
      <w:r>
        <w:rPr>
          <w:rFonts w:ascii="仿宋" w:hAnsi="仿宋" w:eastAsia="仿宋"/>
          <w:sz w:val="28"/>
        </w:rPr>
        <w:t>至十二组</w:t>
      </w:r>
      <w:r>
        <w:rPr>
          <w:rFonts w:hint="eastAsia" w:ascii="仿宋" w:hAnsi="仿宋" w:eastAsia="仿宋"/>
          <w:sz w:val="28"/>
        </w:rPr>
        <w:t>。</w:t>
      </w:r>
    </w:p>
    <w:p w14:paraId="7E5F8BA6">
      <w:pPr>
        <w:pStyle w:val="29"/>
        <w:spacing w:line="600" w:lineRule="exact"/>
        <w:ind w:right="28" w:firstLine="548" w:firstLineChars="196"/>
        <w:rPr>
          <w:rFonts w:ascii="仿宋" w:hAnsi="仿宋" w:eastAsia="仿宋"/>
          <w:sz w:val="28"/>
        </w:rPr>
      </w:pPr>
      <w:r>
        <w:rPr>
          <w:rFonts w:hint="eastAsia" w:ascii="仿宋" w:hAnsi="仿宋" w:eastAsia="仿宋"/>
          <w:sz w:val="28"/>
        </w:rPr>
        <w:t>西门河</w:t>
      </w:r>
      <w:r>
        <w:rPr>
          <w:rFonts w:ascii="仿宋" w:hAnsi="仿宋" w:eastAsia="仿宋"/>
          <w:sz w:val="28"/>
        </w:rPr>
        <w:t>水源</w:t>
      </w:r>
      <w:r>
        <w:rPr>
          <w:rFonts w:hint="eastAsia" w:ascii="仿宋" w:hAnsi="仿宋" w:eastAsia="仿宋"/>
          <w:sz w:val="28"/>
        </w:rPr>
        <w:t>取水点照片见图2-</w:t>
      </w:r>
      <w:r>
        <w:rPr>
          <w:rFonts w:ascii="仿宋" w:hAnsi="仿宋" w:eastAsia="仿宋"/>
          <w:sz w:val="28"/>
        </w:rPr>
        <w:t>19</w:t>
      </w:r>
      <w:r>
        <w:rPr>
          <w:rFonts w:hint="eastAsia" w:ascii="仿宋" w:hAnsi="仿宋" w:eastAsia="仿宋"/>
          <w:sz w:val="28"/>
        </w:rPr>
        <w:t>。</w:t>
      </w:r>
    </w:p>
    <w:p w14:paraId="4B4A73EE">
      <w:pPr>
        <w:jc w:val="center"/>
        <w:rPr>
          <w:rFonts w:eastAsia="仿宋_GB2312"/>
          <w:b/>
          <w:spacing w:val="-8"/>
        </w:rPr>
      </w:pPr>
      <w:r>
        <w:rPr>
          <w:rFonts w:eastAsia="仿宋_GB2312"/>
          <w:spacing w:val="-8"/>
          <w:szCs w:val="21"/>
        </w:rPr>
        <w:drawing>
          <wp:inline distT="0" distB="0" distL="0" distR="0">
            <wp:extent cx="2647950" cy="1969770"/>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2653067" cy="1973833"/>
                    </a:xfrm>
                    <a:prstGeom prst="rect">
                      <a:avLst/>
                    </a:prstGeom>
                    <a:noFill/>
                    <a:ln>
                      <a:noFill/>
                    </a:ln>
                  </pic:spPr>
                </pic:pic>
              </a:graphicData>
            </a:graphic>
          </wp:inline>
        </w:drawing>
      </w:r>
      <w:r>
        <w:rPr>
          <w:rFonts w:eastAsia="仿宋_GB2312"/>
          <w:spacing w:val="-8"/>
          <w:szCs w:val="21"/>
        </w:rPr>
        <w:t xml:space="preserve"> </w:t>
      </w:r>
      <w:r>
        <w:rPr>
          <w:rFonts w:eastAsia="仿宋_GB2312"/>
          <w:spacing w:val="-8"/>
          <w:szCs w:val="21"/>
        </w:rPr>
        <w:drawing>
          <wp:inline distT="0" distB="0" distL="0" distR="0">
            <wp:extent cx="2644775" cy="1967230"/>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2645941" cy="1968531"/>
                    </a:xfrm>
                    <a:prstGeom prst="rect">
                      <a:avLst/>
                    </a:prstGeom>
                    <a:noFill/>
                    <a:ln>
                      <a:noFill/>
                    </a:ln>
                  </pic:spPr>
                </pic:pic>
              </a:graphicData>
            </a:graphic>
          </wp:inline>
        </w:drawing>
      </w:r>
    </w:p>
    <w:p w14:paraId="2A2BEA0F">
      <w:pPr>
        <w:pStyle w:val="29"/>
        <w:ind w:right="28"/>
        <w:jc w:val="center"/>
        <w:rPr>
          <w:rFonts w:eastAsia="仿宋_GB2312"/>
          <w:spacing w:val="-8"/>
        </w:rPr>
      </w:pPr>
      <w:r>
        <w:rPr>
          <w:rFonts w:eastAsia="仿宋"/>
          <w:b/>
          <w:spacing w:val="-8"/>
        </w:rPr>
        <w:t xml:space="preserve">图2-19 </w:t>
      </w:r>
      <w:r>
        <w:rPr>
          <w:rFonts w:hint="eastAsia" w:eastAsia="仿宋"/>
          <w:b/>
          <w:spacing w:val="-8"/>
        </w:rPr>
        <w:t>西门河水源</w:t>
      </w:r>
      <w:r>
        <w:rPr>
          <w:rFonts w:eastAsia="仿宋"/>
          <w:b/>
          <w:spacing w:val="-8"/>
        </w:rPr>
        <w:t>取水</w:t>
      </w:r>
      <w:r>
        <w:rPr>
          <w:rFonts w:hint="eastAsia" w:eastAsia="仿宋"/>
          <w:b/>
          <w:spacing w:val="-8"/>
        </w:rPr>
        <w:t>点</w:t>
      </w:r>
      <w:r>
        <w:rPr>
          <w:rFonts w:eastAsia="仿宋"/>
          <w:b/>
          <w:spacing w:val="-8"/>
        </w:rPr>
        <w:t>现场照片</w:t>
      </w:r>
    </w:p>
    <w:p w14:paraId="16619745">
      <w:pPr>
        <w:pStyle w:val="29"/>
        <w:spacing w:line="600" w:lineRule="exact"/>
        <w:ind w:right="28" w:firstLine="548" w:firstLineChars="196"/>
        <w:rPr>
          <w:rFonts w:eastAsia="仿宋"/>
          <w:sz w:val="28"/>
          <w:szCs w:val="28"/>
        </w:rPr>
      </w:pPr>
      <w:r>
        <w:rPr>
          <w:rFonts w:hint="eastAsia" w:eastAsia="仿宋"/>
          <w:sz w:val="28"/>
          <w:szCs w:val="28"/>
        </w:rPr>
        <w:t>西门河水源</w:t>
      </w:r>
      <w:r>
        <w:rPr>
          <w:rFonts w:eastAsia="仿宋"/>
          <w:sz w:val="28"/>
          <w:szCs w:val="28"/>
        </w:rPr>
        <w:t>取水点位于花溪区青岩镇</w:t>
      </w:r>
      <w:r>
        <w:rPr>
          <w:rFonts w:hint="eastAsia" w:eastAsia="仿宋"/>
          <w:sz w:val="28"/>
          <w:szCs w:val="28"/>
        </w:rPr>
        <w:t>西街村青岩</w:t>
      </w:r>
      <w:r>
        <w:rPr>
          <w:rFonts w:eastAsia="仿宋"/>
          <w:sz w:val="28"/>
          <w:szCs w:val="28"/>
        </w:rPr>
        <w:t>水厂</w:t>
      </w:r>
      <w:r>
        <w:rPr>
          <w:rFonts w:hint="eastAsia" w:eastAsia="仿宋"/>
          <w:sz w:val="28"/>
          <w:szCs w:val="28"/>
        </w:rPr>
        <w:t>西门河</w:t>
      </w:r>
      <w:r>
        <w:rPr>
          <w:rFonts w:eastAsia="仿宋"/>
          <w:sz w:val="28"/>
          <w:szCs w:val="28"/>
        </w:rPr>
        <w:t>中</w:t>
      </w:r>
      <w:r>
        <w:rPr>
          <w:rFonts w:hint="eastAsia" w:eastAsia="仿宋"/>
          <w:sz w:val="28"/>
          <w:szCs w:val="28"/>
        </w:rPr>
        <w:t>，目前水质为《地表水环境质量标准》（GB 3838-2002）Ⅲ类。</w:t>
      </w:r>
    </w:p>
    <w:p w14:paraId="05184311">
      <w:pPr>
        <w:pStyle w:val="29"/>
        <w:spacing w:line="600" w:lineRule="exact"/>
        <w:ind w:right="28" w:firstLine="548" w:firstLineChars="196"/>
        <w:rPr>
          <w:rFonts w:eastAsia="仿宋"/>
          <w:sz w:val="28"/>
          <w:szCs w:val="28"/>
        </w:rPr>
      </w:pPr>
      <w:r>
        <w:rPr>
          <w:rFonts w:eastAsia="仿宋"/>
          <w:sz w:val="28"/>
          <w:szCs w:val="28"/>
        </w:rPr>
        <w:t>根据《花溪区</w:t>
      </w:r>
      <w:r>
        <w:rPr>
          <w:rFonts w:hint="eastAsia" w:eastAsia="仿宋"/>
          <w:sz w:val="28"/>
          <w:szCs w:val="28"/>
        </w:rPr>
        <w:t>千人以上集中式饮用水水源监管范围划分方案</w:t>
      </w:r>
      <w:r>
        <w:rPr>
          <w:rFonts w:eastAsia="仿宋"/>
          <w:sz w:val="28"/>
          <w:szCs w:val="28"/>
        </w:rPr>
        <w:t>》，花溪区</w:t>
      </w:r>
      <w:r>
        <w:rPr>
          <w:rFonts w:hint="eastAsia" w:eastAsia="仿宋"/>
          <w:sz w:val="28"/>
          <w:szCs w:val="28"/>
        </w:rPr>
        <w:t>青岩镇</w:t>
      </w:r>
      <w:r>
        <w:rPr>
          <w:rFonts w:eastAsia="仿宋"/>
          <w:sz w:val="28"/>
          <w:szCs w:val="28"/>
        </w:rPr>
        <w:t>西门河集中式饮用水水源监管范围总面积为0.0328km</w:t>
      </w:r>
      <w:r>
        <w:rPr>
          <w:rFonts w:eastAsia="仿宋"/>
          <w:sz w:val="28"/>
          <w:szCs w:val="28"/>
          <w:vertAlign w:val="superscript"/>
        </w:rPr>
        <w:t>2</w:t>
      </w:r>
      <w:r>
        <w:rPr>
          <w:rFonts w:eastAsia="仿宋"/>
          <w:sz w:val="28"/>
          <w:szCs w:val="28"/>
        </w:rPr>
        <w:t>。</w:t>
      </w:r>
      <w:r>
        <w:rPr>
          <w:rFonts w:hint="eastAsia" w:eastAsia="仿宋"/>
          <w:sz w:val="28"/>
          <w:szCs w:val="28"/>
        </w:rPr>
        <w:t>西门河水源监管范围</w:t>
      </w:r>
      <w:r>
        <w:rPr>
          <w:rFonts w:eastAsia="仿宋"/>
          <w:sz w:val="28"/>
          <w:szCs w:val="28"/>
        </w:rPr>
        <w:t>划分见附图37</w:t>
      </w:r>
      <w:r>
        <w:rPr>
          <w:rFonts w:hint="eastAsia" w:eastAsia="仿宋"/>
          <w:sz w:val="28"/>
          <w:szCs w:val="28"/>
        </w:rPr>
        <w:t>和</w:t>
      </w:r>
      <w:r>
        <w:rPr>
          <w:rFonts w:eastAsia="仿宋"/>
          <w:sz w:val="28"/>
          <w:szCs w:val="28"/>
        </w:rPr>
        <w:t>附图38。</w:t>
      </w:r>
    </w:p>
    <w:p w14:paraId="1747A2E8">
      <w:pPr>
        <w:pStyle w:val="3"/>
        <w:spacing w:before="120" w:after="120" w:line="560" w:lineRule="exact"/>
        <w:ind w:left="3759" w:hanging="3759"/>
        <w:rPr>
          <w:rFonts w:eastAsia="仿宋"/>
          <w:sz w:val="32"/>
        </w:rPr>
      </w:pPr>
      <w:bookmarkStart w:id="44" w:name="_Toc60930783"/>
      <w:r>
        <w:rPr>
          <w:rFonts w:eastAsia="仿宋"/>
          <w:sz w:val="32"/>
        </w:rPr>
        <w:t>2.20</w:t>
      </w:r>
      <w:r>
        <w:rPr>
          <w:rFonts w:hint="eastAsia" w:eastAsia="仿宋"/>
          <w:sz w:val="32"/>
        </w:rPr>
        <w:t>青岩镇新楼村集中式饮用水源</w:t>
      </w:r>
      <w:bookmarkEnd w:id="44"/>
    </w:p>
    <w:p w14:paraId="77C229F5">
      <w:pPr>
        <w:pStyle w:val="29"/>
        <w:spacing w:line="600" w:lineRule="exact"/>
        <w:ind w:right="28" w:firstLine="548" w:firstLineChars="196"/>
        <w:rPr>
          <w:rFonts w:ascii="仿宋" w:hAnsi="仿宋" w:eastAsia="仿宋"/>
          <w:sz w:val="28"/>
        </w:rPr>
      </w:pPr>
      <w:r>
        <w:rPr>
          <w:rFonts w:ascii="仿宋" w:hAnsi="仿宋" w:eastAsia="仿宋"/>
          <w:sz w:val="28"/>
        </w:rPr>
        <w:t>新楼村水源位于花溪区青岩镇新楼村，距青岩镇集镇8.2km，属于地下水型水源，是花溪区青岩镇新楼村集中式饮用水水源。水源取水点位于青岩镇新楼村</w:t>
      </w:r>
      <w:r>
        <w:rPr>
          <w:rFonts w:hint="eastAsia" w:ascii="仿宋" w:hAnsi="仿宋" w:eastAsia="仿宋"/>
          <w:sz w:val="28"/>
        </w:rPr>
        <w:t>湾河旁</w:t>
      </w:r>
      <w:r>
        <w:rPr>
          <w:rFonts w:ascii="仿宋" w:hAnsi="仿宋" w:eastAsia="仿宋"/>
          <w:sz w:val="28"/>
        </w:rPr>
        <w:t>地下水出水点，地理坐标为东经106°38'12.21"，北纬26°16'48.33"。新楼村水源是青岩镇新楼村集中式饮用水水源，服务人口1372人，日均供水量109立方米，供水区域为</w:t>
      </w:r>
      <w:r>
        <w:rPr>
          <w:rFonts w:hint="eastAsia" w:ascii="仿宋" w:hAnsi="仿宋" w:eastAsia="仿宋"/>
          <w:sz w:val="28"/>
        </w:rPr>
        <w:t>青岩镇新楼村一组（小寨）、二组（大寨）、三组（大寨）、四组（大寨）、五组（简麻）、六组（芭茅冲）、七组（三中队）。</w:t>
      </w:r>
    </w:p>
    <w:p w14:paraId="0E6C5A0F">
      <w:pPr>
        <w:pStyle w:val="29"/>
        <w:spacing w:line="600" w:lineRule="exact"/>
        <w:ind w:right="28" w:firstLine="548" w:firstLineChars="196"/>
        <w:rPr>
          <w:rFonts w:ascii="仿宋" w:hAnsi="仿宋" w:eastAsia="仿宋"/>
          <w:sz w:val="28"/>
        </w:rPr>
      </w:pPr>
      <w:r>
        <w:rPr>
          <w:rFonts w:hint="eastAsia" w:ascii="仿宋" w:hAnsi="仿宋" w:eastAsia="仿宋"/>
          <w:sz w:val="28"/>
        </w:rPr>
        <w:t>新楼村</w:t>
      </w:r>
      <w:r>
        <w:rPr>
          <w:rFonts w:ascii="仿宋" w:hAnsi="仿宋" w:eastAsia="仿宋"/>
          <w:sz w:val="28"/>
        </w:rPr>
        <w:t>水源</w:t>
      </w:r>
      <w:r>
        <w:rPr>
          <w:rFonts w:hint="eastAsia" w:ascii="仿宋" w:hAnsi="仿宋" w:eastAsia="仿宋"/>
          <w:sz w:val="28"/>
        </w:rPr>
        <w:t>取水点照片见图2-</w:t>
      </w:r>
      <w:r>
        <w:rPr>
          <w:rFonts w:ascii="仿宋" w:hAnsi="仿宋" w:eastAsia="仿宋"/>
          <w:sz w:val="28"/>
        </w:rPr>
        <w:t>20</w:t>
      </w:r>
      <w:r>
        <w:rPr>
          <w:rFonts w:hint="eastAsia" w:ascii="仿宋" w:hAnsi="仿宋" w:eastAsia="仿宋"/>
          <w:sz w:val="28"/>
        </w:rPr>
        <w:t>。</w:t>
      </w:r>
    </w:p>
    <w:p w14:paraId="4D9B05CE">
      <w:pPr>
        <w:jc w:val="center"/>
        <w:rPr>
          <w:rFonts w:eastAsia="仿宋_GB2312"/>
          <w:spacing w:val="-8"/>
          <w:szCs w:val="21"/>
        </w:rPr>
      </w:pPr>
      <w:r>
        <w:rPr>
          <w:rFonts w:eastAsia="仿宋_GB2312"/>
          <w:spacing w:val="-8"/>
          <w:szCs w:val="21"/>
        </w:rPr>
        <w:drawing>
          <wp:inline distT="0" distB="0" distL="0" distR="0">
            <wp:extent cx="2581910" cy="1920875"/>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2583105" cy="1921782"/>
                    </a:xfrm>
                    <a:prstGeom prst="rect">
                      <a:avLst/>
                    </a:prstGeom>
                    <a:noFill/>
                    <a:ln>
                      <a:noFill/>
                    </a:ln>
                  </pic:spPr>
                </pic:pic>
              </a:graphicData>
            </a:graphic>
          </wp:inline>
        </w:drawing>
      </w:r>
      <w:r>
        <w:rPr>
          <w:rFonts w:eastAsia="仿宋_GB2312"/>
          <w:spacing w:val="-8"/>
          <w:szCs w:val="21"/>
        </w:rPr>
        <w:t xml:space="preserve"> </w:t>
      </w:r>
      <w:r>
        <w:rPr>
          <w:rFonts w:eastAsia="仿宋_GB2312"/>
          <w:spacing w:val="-8"/>
          <w:szCs w:val="21"/>
        </w:rPr>
        <w:drawing>
          <wp:inline distT="0" distB="0" distL="0" distR="0">
            <wp:extent cx="2585720" cy="1923415"/>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2586813" cy="1924541"/>
                    </a:xfrm>
                    <a:prstGeom prst="rect">
                      <a:avLst/>
                    </a:prstGeom>
                    <a:noFill/>
                    <a:ln>
                      <a:noFill/>
                    </a:ln>
                  </pic:spPr>
                </pic:pic>
              </a:graphicData>
            </a:graphic>
          </wp:inline>
        </w:drawing>
      </w:r>
    </w:p>
    <w:p w14:paraId="55BC79F6">
      <w:pPr>
        <w:pStyle w:val="29"/>
        <w:ind w:right="28"/>
        <w:jc w:val="center"/>
        <w:rPr>
          <w:rFonts w:eastAsia="仿宋_GB2312"/>
          <w:spacing w:val="-8"/>
        </w:rPr>
      </w:pPr>
      <w:r>
        <w:rPr>
          <w:rFonts w:eastAsia="仿宋"/>
          <w:b/>
          <w:spacing w:val="-8"/>
        </w:rPr>
        <w:t xml:space="preserve">图2-20 </w:t>
      </w:r>
      <w:r>
        <w:rPr>
          <w:rFonts w:hint="eastAsia" w:eastAsia="仿宋"/>
          <w:b/>
          <w:spacing w:val="-8"/>
        </w:rPr>
        <w:t>新楼村水源</w:t>
      </w:r>
      <w:r>
        <w:rPr>
          <w:rFonts w:eastAsia="仿宋"/>
          <w:b/>
          <w:spacing w:val="-8"/>
        </w:rPr>
        <w:t>取水</w:t>
      </w:r>
      <w:r>
        <w:rPr>
          <w:rFonts w:hint="eastAsia" w:eastAsia="仿宋"/>
          <w:b/>
          <w:spacing w:val="-8"/>
        </w:rPr>
        <w:t>点</w:t>
      </w:r>
      <w:r>
        <w:rPr>
          <w:rFonts w:eastAsia="仿宋"/>
          <w:b/>
          <w:spacing w:val="-8"/>
        </w:rPr>
        <w:t>现场照片</w:t>
      </w:r>
    </w:p>
    <w:p w14:paraId="6619BBD8">
      <w:pPr>
        <w:pStyle w:val="29"/>
        <w:spacing w:line="600" w:lineRule="exact"/>
        <w:ind w:right="28" w:firstLine="548" w:firstLineChars="196"/>
        <w:rPr>
          <w:rFonts w:eastAsia="仿宋"/>
          <w:sz w:val="28"/>
          <w:szCs w:val="28"/>
        </w:rPr>
      </w:pPr>
      <w:r>
        <w:rPr>
          <w:rFonts w:eastAsia="仿宋"/>
          <w:sz w:val="28"/>
          <w:szCs w:val="28"/>
        </w:rPr>
        <w:t>新楼村水源属于地下水型水源，其取水点位于青岩镇新楼村</w:t>
      </w:r>
      <w:r>
        <w:rPr>
          <w:rFonts w:hint="eastAsia" w:eastAsia="仿宋"/>
          <w:sz w:val="28"/>
          <w:szCs w:val="28"/>
        </w:rPr>
        <w:t>湾河</w:t>
      </w:r>
      <w:r>
        <w:rPr>
          <w:rFonts w:eastAsia="仿宋"/>
          <w:sz w:val="28"/>
          <w:szCs w:val="28"/>
        </w:rPr>
        <w:t>旁地下水出水点，</w:t>
      </w:r>
      <w:r>
        <w:rPr>
          <w:rFonts w:hint="eastAsia" w:eastAsia="仿宋"/>
          <w:sz w:val="28"/>
          <w:szCs w:val="28"/>
        </w:rPr>
        <w:t>该</w:t>
      </w:r>
      <w:r>
        <w:rPr>
          <w:rFonts w:eastAsia="仿宋"/>
          <w:sz w:val="28"/>
          <w:szCs w:val="28"/>
        </w:rPr>
        <w:t>水源是从出水点用管道引流至湾河旁泵站后</w:t>
      </w:r>
      <w:r>
        <w:rPr>
          <w:rFonts w:hint="eastAsia" w:eastAsia="仿宋"/>
          <w:sz w:val="28"/>
          <w:szCs w:val="28"/>
        </w:rPr>
        <w:t>再</w:t>
      </w:r>
      <w:r>
        <w:rPr>
          <w:rFonts w:eastAsia="仿宋"/>
          <w:sz w:val="28"/>
          <w:szCs w:val="28"/>
        </w:rPr>
        <w:t>直接抽水至高位水池</w:t>
      </w:r>
      <w:r>
        <w:rPr>
          <w:rFonts w:hint="eastAsia" w:eastAsia="仿宋"/>
          <w:sz w:val="28"/>
          <w:szCs w:val="28"/>
        </w:rPr>
        <w:t>，未</w:t>
      </w:r>
      <w:r>
        <w:rPr>
          <w:rFonts w:eastAsia="仿宋"/>
          <w:sz w:val="28"/>
          <w:szCs w:val="28"/>
        </w:rPr>
        <w:t>抽完的地下水直接流入湾河河流中，</w:t>
      </w:r>
      <w:r>
        <w:rPr>
          <w:rFonts w:hint="eastAsia" w:eastAsia="仿宋"/>
          <w:sz w:val="28"/>
          <w:szCs w:val="28"/>
        </w:rPr>
        <w:t>湾河</w:t>
      </w:r>
      <w:r>
        <w:rPr>
          <w:rFonts w:eastAsia="仿宋"/>
          <w:sz w:val="28"/>
          <w:szCs w:val="28"/>
        </w:rPr>
        <w:t>是马林河左岸支流，马林河是</w:t>
      </w:r>
      <w:r>
        <w:rPr>
          <w:rFonts w:hint="eastAsia" w:eastAsia="仿宋"/>
          <w:sz w:val="28"/>
          <w:szCs w:val="28"/>
        </w:rPr>
        <w:t>红水河</w:t>
      </w:r>
      <w:r>
        <w:rPr>
          <w:rFonts w:eastAsia="仿宋"/>
          <w:sz w:val="28"/>
          <w:szCs w:val="28"/>
        </w:rPr>
        <w:t>流域涟江</w:t>
      </w:r>
      <w:r>
        <w:rPr>
          <w:rFonts w:hint="eastAsia" w:eastAsia="仿宋"/>
          <w:sz w:val="28"/>
          <w:szCs w:val="28"/>
        </w:rPr>
        <w:t>右岸</w:t>
      </w:r>
      <w:r>
        <w:rPr>
          <w:rFonts w:eastAsia="仿宋"/>
          <w:sz w:val="28"/>
          <w:szCs w:val="28"/>
        </w:rPr>
        <w:t>支流</w:t>
      </w:r>
      <w:r>
        <w:rPr>
          <w:rFonts w:hint="eastAsia" w:eastAsia="仿宋"/>
          <w:sz w:val="28"/>
          <w:szCs w:val="28"/>
        </w:rPr>
        <w:t>。</w:t>
      </w:r>
      <w:r>
        <w:rPr>
          <w:rFonts w:eastAsia="仿宋"/>
          <w:sz w:val="28"/>
          <w:szCs w:val="28"/>
        </w:rPr>
        <w:t>根据1:5综合万水文地质资料显示，该区地下水类型为</w:t>
      </w:r>
      <w:r>
        <w:rPr>
          <w:rFonts w:hint="eastAsia" w:eastAsia="仿宋"/>
          <w:sz w:val="28"/>
          <w:szCs w:val="28"/>
        </w:rPr>
        <w:t>岩溶裂隙网络型地下水</w:t>
      </w:r>
      <w:r>
        <w:rPr>
          <w:rFonts w:eastAsia="仿宋"/>
          <w:sz w:val="28"/>
          <w:szCs w:val="28"/>
        </w:rPr>
        <w:t>，富水性</w:t>
      </w:r>
      <w:r>
        <w:rPr>
          <w:rFonts w:hint="eastAsia" w:eastAsia="仿宋"/>
          <w:sz w:val="28"/>
          <w:szCs w:val="28"/>
        </w:rPr>
        <w:t>中等</w:t>
      </w:r>
      <w:r>
        <w:rPr>
          <w:rFonts w:eastAsia="仿宋"/>
          <w:sz w:val="28"/>
          <w:szCs w:val="28"/>
        </w:rPr>
        <w:t>，地下水径流模数3-6L/s.km2，地下水</w:t>
      </w:r>
      <w:r>
        <w:rPr>
          <w:rFonts w:hint="eastAsia" w:eastAsia="仿宋"/>
          <w:sz w:val="28"/>
          <w:szCs w:val="28"/>
        </w:rPr>
        <w:t>总体</w:t>
      </w:r>
      <w:r>
        <w:rPr>
          <w:rFonts w:eastAsia="仿宋"/>
          <w:sz w:val="28"/>
          <w:szCs w:val="28"/>
        </w:rPr>
        <w:t>流向是由</w:t>
      </w:r>
      <w:r>
        <w:rPr>
          <w:rFonts w:hint="eastAsia" w:eastAsia="仿宋"/>
          <w:sz w:val="28"/>
          <w:szCs w:val="28"/>
        </w:rPr>
        <w:t>东北流向西南</w:t>
      </w:r>
      <w:r>
        <w:rPr>
          <w:rFonts w:eastAsia="仿宋"/>
          <w:sz w:val="28"/>
          <w:szCs w:val="28"/>
        </w:rPr>
        <w:t>。通过现场调查并走访当地的村民，了解到该水源</w:t>
      </w:r>
      <w:r>
        <w:rPr>
          <w:rFonts w:hint="eastAsia" w:eastAsia="仿宋"/>
          <w:sz w:val="28"/>
          <w:szCs w:val="28"/>
        </w:rPr>
        <w:t>在</w:t>
      </w:r>
      <w:r>
        <w:rPr>
          <w:rFonts w:eastAsia="仿宋"/>
          <w:sz w:val="28"/>
          <w:szCs w:val="28"/>
        </w:rPr>
        <w:t>暴雨</w:t>
      </w:r>
      <w:r>
        <w:rPr>
          <w:rFonts w:hint="eastAsia" w:eastAsia="仿宋"/>
          <w:sz w:val="28"/>
          <w:szCs w:val="28"/>
        </w:rPr>
        <w:t>后</w:t>
      </w:r>
      <w:r>
        <w:rPr>
          <w:rFonts w:eastAsia="仿宋"/>
          <w:sz w:val="28"/>
          <w:szCs w:val="28"/>
        </w:rPr>
        <w:t>水不会出现浑浊，水量</w:t>
      </w:r>
      <w:r>
        <w:rPr>
          <w:rFonts w:hint="eastAsia" w:eastAsia="仿宋"/>
          <w:sz w:val="28"/>
          <w:szCs w:val="28"/>
        </w:rPr>
        <w:t>随</w:t>
      </w:r>
      <w:r>
        <w:rPr>
          <w:rFonts w:eastAsia="仿宋"/>
          <w:sz w:val="28"/>
          <w:szCs w:val="28"/>
        </w:rPr>
        <w:t>季节变化不大，说明该水源埋藏较深且补给来源较远，目前水质为《地下水质量标准》（GB/T 14848-2017）</w:t>
      </w:r>
      <w:r>
        <w:rPr>
          <w:rFonts w:hint="eastAsia" w:eastAsia="仿宋"/>
          <w:sz w:val="28"/>
          <w:szCs w:val="28"/>
        </w:rPr>
        <w:t>Ⅲ</w:t>
      </w:r>
      <w:r>
        <w:rPr>
          <w:rFonts w:eastAsia="仿宋"/>
          <w:sz w:val="28"/>
          <w:szCs w:val="28"/>
        </w:rPr>
        <w:t>类</w:t>
      </w:r>
      <w:r>
        <w:rPr>
          <w:rFonts w:hint="eastAsia" w:eastAsia="仿宋"/>
          <w:sz w:val="28"/>
          <w:szCs w:val="28"/>
        </w:rPr>
        <w:t>。</w:t>
      </w:r>
    </w:p>
    <w:p w14:paraId="07EA269E">
      <w:pPr>
        <w:pStyle w:val="29"/>
        <w:spacing w:line="600" w:lineRule="exact"/>
        <w:ind w:right="28" w:firstLine="548" w:firstLineChars="196"/>
        <w:rPr>
          <w:rFonts w:eastAsia="仿宋"/>
          <w:sz w:val="28"/>
          <w:szCs w:val="28"/>
        </w:rPr>
      </w:pPr>
      <w:r>
        <w:rPr>
          <w:rFonts w:eastAsia="仿宋"/>
          <w:sz w:val="28"/>
          <w:szCs w:val="28"/>
        </w:rPr>
        <w:t>根据《花溪区</w:t>
      </w:r>
      <w:r>
        <w:rPr>
          <w:rFonts w:hint="eastAsia" w:eastAsia="仿宋"/>
          <w:sz w:val="28"/>
          <w:szCs w:val="28"/>
        </w:rPr>
        <w:t>千人以上集中式饮用水水源监管范围划分方案</w:t>
      </w:r>
      <w:r>
        <w:rPr>
          <w:rFonts w:eastAsia="仿宋"/>
          <w:sz w:val="28"/>
          <w:szCs w:val="28"/>
        </w:rPr>
        <w:t>》，花溪区</w:t>
      </w:r>
      <w:r>
        <w:rPr>
          <w:rFonts w:hint="eastAsia" w:eastAsia="仿宋"/>
          <w:sz w:val="28"/>
          <w:szCs w:val="28"/>
        </w:rPr>
        <w:t>青岩镇新楼村</w:t>
      </w:r>
      <w:r>
        <w:rPr>
          <w:rFonts w:eastAsia="仿宋"/>
          <w:sz w:val="28"/>
          <w:szCs w:val="28"/>
        </w:rPr>
        <w:t>集中式饮用水水源监管范围总面积为0.0001km</w:t>
      </w:r>
      <w:r>
        <w:rPr>
          <w:rFonts w:eastAsia="仿宋"/>
          <w:sz w:val="28"/>
          <w:szCs w:val="28"/>
          <w:vertAlign w:val="superscript"/>
        </w:rPr>
        <w:t>2</w:t>
      </w:r>
      <w:r>
        <w:rPr>
          <w:rFonts w:eastAsia="仿宋"/>
          <w:sz w:val="28"/>
          <w:szCs w:val="28"/>
        </w:rPr>
        <w:t>。新楼村水源</w:t>
      </w:r>
      <w:r>
        <w:rPr>
          <w:rFonts w:hint="eastAsia" w:eastAsia="仿宋"/>
          <w:sz w:val="28"/>
          <w:szCs w:val="28"/>
        </w:rPr>
        <w:t>监管范围</w:t>
      </w:r>
      <w:r>
        <w:rPr>
          <w:rFonts w:eastAsia="仿宋"/>
          <w:sz w:val="28"/>
          <w:szCs w:val="28"/>
        </w:rPr>
        <w:t>划分见附图39</w:t>
      </w:r>
      <w:r>
        <w:rPr>
          <w:rFonts w:hint="eastAsia" w:eastAsia="仿宋"/>
          <w:sz w:val="28"/>
          <w:szCs w:val="28"/>
        </w:rPr>
        <w:t>和</w:t>
      </w:r>
      <w:r>
        <w:rPr>
          <w:rFonts w:eastAsia="仿宋"/>
          <w:sz w:val="28"/>
          <w:szCs w:val="28"/>
        </w:rPr>
        <w:t>附图40。</w:t>
      </w:r>
    </w:p>
    <w:p w14:paraId="4FA46F2E">
      <w:pPr>
        <w:pStyle w:val="3"/>
        <w:spacing w:before="120" w:after="120" w:line="560" w:lineRule="exact"/>
        <w:ind w:left="3759" w:hanging="3759"/>
        <w:rPr>
          <w:rFonts w:eastAsia="仿宋"/>
          <w:sz w:val="32"/>
        </w:rPr>
      </w:pPr>
      <w:bookmarkStart w:id="45" w:name="_Toc60930784"/>
      <w:r>
        <w:rPr>
          <w:rFonts w:eastAsia="仿宋"/>
          <w:sz w:val="32"/>
        </w:rPr>
        <w:t>2.21</w:t>
      </w:r>
      <w:r>
        <w:rPr>
          <w:rFonts w:hint="eastAsia" w:eastAsia="仿宋"/>
          <w:sz w:val="32"/>
        </w:rPr>
        <w:t>清溪街道9</w:t>
      </w:r>
      <w:r>
        <w:rPr>
          <w:rFonts w:eastAsia="仿宋"/>
          <w:sz w:val="32"/>
        </w:rPr>
        <w:t>855</w:t>
      </w:r>
      <w:r>
        <w:rPr>
          <w:rFonts w:hint="eastAsia" w:eastAsia="仿宋"/>
          <w:sz w:val="32"/>
        </w:rPr>
        <w:t>厂集中式饮用水源</w:t>
      </w:r>
      <w:bookmarkEnd w:id="45"/>
    </w:p>
    <w:p w14:paraId="62CB57C0">
      <w:pPr>
        <w:pStyle w:val="29"/>
        <w:spacing w:line="600" w:lineRule="exact"/>
        <w:ind w:right="28" w:firstLine="548" w:firstLineChars="196"/>
        <w:rPr>
          <w:rFonts w:ascii="仿宋" w:hAnsi="仿宋" w:eastAsia="仿宋"/>
          <w:sz w:val="28"/>
        </w:rPr>
      </w:pPr>
      <w:r>
        <w:rPr>
          <w:rFonts w:hint="eastAsia" w:ascii="仿宋" w:hAnsi="仿宋" w:eastAsia="仿宋"/>
          <w:sz w:val="28"/>
        </w:rPr>
        <w:t>9855厂</w:t>
      </w:r>
      <w:r>
        <w:rPr>
          <w:rFonts w:ascii="仿宋" w:hAnsi="仿宋" w:eastAsia="仿宋"/>
          <w:sz w:val="28"/>
        </w:rPr>
        <w:t>水源</w:t>
      </w:r>
      <w:r>
        <w:rPr>
          <w:rFonts w:hint="eastAsia" w:ascii="仿宋" w:hAnsi="仿宋" w:eastAsia="仿宋"/>
          <w:sz w:val="28"/>
        </w:rPr>
        <w:t>位于花溪区清溪街道桐木岭村9855水厂，属于地表水（河流）型水源，是花溪区清溪街道九联集团、桐木岭村三组集中式饮用水水源。水源取水点位于清溪街道桐木岭村9855水厂的涟江上游中，地理坐标为东经</w:t>
      </w:r>
      <w:r>
        <w:rPr>
          <w:rFonts w:ascii="仿宋" w:hAnsi="仿宋" w:eastAsia="仿宋"/>
          <w:sz w:val="28"/>
        </w:rPr>
        <w:t>106°40'24.87"</w:t>
      </w:r>
      <w:r>
        <w:rPr>
          <w:rFonts w:hint="eastAsia" w:ascii="仿宋" w:hAnsi="仿宋" w:eastAsia="仿宋"/>
          <w:sz w:val="28"/>
        </w:rPr>
        <w:t>，北纬</w:t>
      </w:r>
      <w:r>
        <w:rPr>
          <w:rFonts w:ascii="仿宋" w:hAnsi="仿宋" w:eastAsia="仿宋"/>
          <w:sz w:val="28"/>
        </w:rPr>
        <w:t>26°21'58.50"</w:t>
      </w:r>
      <w:r>
        <w:rPr>
          <w:rFonts w:hint="eastAsia" w:ascii="仿宋" w:hAnsi="仿宋" w:eastAsia="仿宋"/>
          <w:sz w:val="28"/>
        </w:rPr>
        <w:t>。9855厂</w:t>
      </w:r>
      <w:r>
        <w:rPr>
          <w:rFonts w:ascii="仿宋" w:hAnsi="仿宋" w:eastAsia="仿宋"/>
          <w:sz w:val="28"/>
        </w:rPr>
        <w:t>水源</w:t>
      </w:r>
      <w:r>
        <w:rPr>
          <w:rFonts w:hint="eastAsia" w:ascii="仿宋" w:hAnsi="仿宋" w:eastAsia="仿宋"/>
          <w:sz w:val="28"/>
        </w:rPr>
        <w:t>是清溪街道</w:t>
      </w:r>
      <w:r>
        <w:rPr>
          <w:rFonts w:ascii="仿宋" w:hAnsi="仿宋" w:eastAsia="仿宋"/>
          <w:sz w:val="28"/>
        </w:rPr>
        <w:t>集中</w:t>
      </w:r>
      <w:r>
        <w:rPr>
          <w:rFonts w:hint="eastAsia" w:ascii="仿宋" w:hAnsi="仿宋" w:eastAsia="仿宋"/>
          <w:sz w:val="28"/>
        </w:rPr>
        <w:t>式饮用水水源，服务人口</w:t>
      </w:r>
      <w:r>
        <w:rPr>
          <w:rFonts w:ascii="仿宋" w:hAnsi="仿宋" w:eastAsia="仿宋"/>
          <w:sz w:val="28"/>
        </w:rPr>
        <w:t>1523</w:t>
      </w:r>
      <w:r>
        <w:rPr>
          <w:rFonts w:hint="eastAsia" w:ascii="仿宋" w:hAnsi="仿宋" w:eastAsia="仿宋"/>
          <w:sz w:val="28"/>
        </w:rPr>
        <w:t>人，日均供水量</w:t>
      </w:r>
      <w:r>
        <w:rPr>
          <w:rFonts w:ascii="仿宋" w:hAnsi="仿宋" w:eastAsia="仿宋"/>
          <w:sz w:val="28"/>
        </w:rPr>
        <w:t>130</w:t>
      </w:r>
      <w:r>
        <w:rPr>
          <w:rFonts w:hint="eastAsia" w:ascii="仿宋" w:hAnsi="仿宋" w:eastAsia="仿宋"/>
          <w:sz w:val="28"/>
        </w:rPr>
        <w:t>立方米，供水区域为清溪街道九联集团、桐木岭村三组。9</w:t>
      </w:r>
      <w:r>
        <w:rPr>
          <w:rFonts w:ascii="仿宋" w:hAnsi="仿宋" w:eastAsia="仿宋"/>
          <w:sz w:val="28"/>
        </w:rPr>
        <w:t>855</w:t>
      </w:r>
      <w:r>
        <w:rPr>
          <w:rFonts w:hint="eastAsia" w:ascii="仿宋" w:hAnsi="仿宋" w:eastAsia="仿宋"/>
          <w:sz w:val="28"/>
        </w:rPr>
        <w:t>厂</w:t>
      </w:r>
      <w:r>
        <w:rPr>
          <w:rFonts w:ascii="仿宋" w:hAnsi="仿宋" w:eastAsia="仿宋"/>
          <w:sz w:val="28"/>
        </w:rPr>
        <w:t>水源</w:t>
      </w:r>
      <w:r>
        <w:rPr>
          <w:rFonts w:hint="eastAsia" w:ascii="仿宋" w:hAnsi="仿宋" w:eastAsia="仿宋"/>
          <w:sz w:val="28"/>
        </w:rPr>
        <w:t>取水点照片见图2-</w:t>
      </w:r>
      <w:r>
        <w:rPr>
          <w:rFonts w:ascii="仿宋" w:hAnsi="仿宋" w:eastAsia="仿宋"/>
          <w:sz w:val="28"/>
        </w:rPr>
        <w:t>21</w:t>
      </w:r>
      <w:r>
        <w:rPr>
          <w:rFonts w:hint="eastAsia" w:ascii="仿宋" w:hAnsi="仿宋" w:eastAsia="仿宋"/>
          <w:sz w:val="28"/>
        </w:rPr>
        <w:t>。</w:t>
      </w:r>
    </w:p>
    <w:p w14:paraId="6D295623">
      <w:pPr>
        <w:jc w:val="center"/>
        <w:rPr>
          <w:rFonts w:eastAsia="仿宋_GB2312"/>
          <w:spacing w:val="-8"/>
          <w:szCs w:val="21"/>
        </w:rPr>
      </w:pPr>
      <w:r>
        <w:rPr>
          <w:rFonts w:eastAsia="仿宋_GB2312"/>
          <w:spacing w:val="-8"/>
          <w:szCs w:val="21"/>
        </w:rPr>
        <w:drawing>
          <wp:inline distT="0" distB="0" distL="0" distR="0">
            <wp:extent cx="2618740" cy="1948180"/>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2620281" cy="1949440"/>
                    </a:xfrm>
                    <a:prstGeom prst="rect">
                      <a:avLst/>
                    </a:prstGeom>
                    <a:noFill/>
                    <a:ln>
                      <a:noFill/>
                    </a:ln>
                  </pic:spPr>
                </pic:pic>
              </a:graphicData>
            </a:graphic>
          </wp:inline>
        </w:drawing>
      </w:r>
      <w:r>
        <w:rPr>
          <w:rFonts w:eastAsia="仿宋_GB2312"/>
          <w:spacing w:val="-8"/>
          <w:szCs w:val="21"/>
        </w:rPr>
        <w:t xml:space="preserve"> </w:t>
      </w:r>
      <w:r>
        <w:rPr>
          <w:rFonts w:eastAsia="仿宋_GB2312"/>
          <w:spacing w:val="-8"/>
          <w:szCs w:val="21"/>
        </w:rPr>
        <w:drawing>
          <wp:inline distT="0" distB="0" distL="0" distR="0">
            <wp:extent cx="2618740" cy="1948180"/>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2619095" cy="1948558"/>
                    </a:xfrm>
                    <a:prstGeom prst="rect">
                      <a:avLst/>
                    </a:prstGeom>
                    <a:noFill/>
                    <a:ln>
                      <a:noFill/>
                    </a:ln>
                  </pic:spPr>
                </pic:pic>
              </a:graphicData>
            </a:graphic>
          </wp:inline>
        </w:drawing>
      </w:r>
    </w:p>
    <w:p w14:paraId="5961DB83">
      <w:pPr>
        <w:pStyle w:val="29"/>
        <w:ind w:right="28"/>
        <w:jc w:val="center"/>
        <w:rPr>
          <w:rFonts w:eastAsia="仿宋_GB2312"/>
          <w:spacing w:val="-8"/>
        </w:rPr>
      </w:pPr>
      <w:r>
        <w:rPr>
          <w:rFonts w:eastAsia="仿宋"/>
          <w:b/>
          <w:spacing w:val="-8"/>
        </w:rPr>
        <w:t xml:space="preserve">图2-21  </w:t>
      </w:r>
      <w:r>
        <w:rPr>
          <w:rFonts w:hint="eastAsia" w:eastAsia="仿宋"/>
          <w:b/>
          <w:spacing w:val="-8"/>
        </w:rPr>
        <w:t>9</w:t>
      </w:r>
      <w:r>
        <w:rPr>
          <w:rFonts w:eastAsia="仿宋"/>
          <w:b/>
          <w:spacing w:val="-8"/>
        </w:rPr>
        <w:t>855</w:t>
      </w:r>
      <w:r>
        <w:rPr>
          <w:rFonts w:hint="eastAsia" w:eastAsia="仿宋"/>
          <w:b/>
          <w:spacing w:val="-8"/>
        </w:rPr>
        <w:t>厂水源</w:t>
      </w:r>
      <w:r>
        <w:rPr>
          <w:rFonts w:eastAsia="仿宋"/>
          <w:b/>
          <w:spacing w:val="-8"/>
        </w:rPr>
        <w:t>取水</w:t>
      </w:r>
      <w:r>
        <w:rPr>
          <w:rFonts w:hint="eastAsia" w:eastAsia="仿宋"/>
          <w:b/>
          <w:spacing w:val="-8"/>
        </w:rPr>
        <w:t>点</w:t>
      </w:r>
      <w:r>
        <w:rPr>
          <w:rFonts w:eastAsia="仿宋"/>
          <w:b/>
          <w:spacing w:val="-8"/>
        </w:rPr>
        <w:t>现场照片</w:t>
      </w:r>
    </w:p>
    <w:p w14:paraId="244B63D9">
      <w:pPr>
        <w:pStyle w:val="29"/>
        <w:spacing w:line="600" w:lineRule="exact"/>
        <w:ind w:right="28" w:firstLine="548" w:firstLineChars="196"/>
        <w:rPr>
          <w:rFonts w:eastAsia="仿宋"/>
          <w:sz w:val="28"/>
          <w:szCs w:val="28"/>
        </w:rPr>
      </w:pPr>
      <w:r>
        <w:rPr>
          <w:rFonts w:hint="eastAsia" w:eastAsia="仿宋"/>
          <w:sz w:val="28"/>
          <w:szCs w:val="28"/>
        </w:rPr>
        <w:t>9855厂水源</w:t>
      </w:r>
      <w:r>
        <w:rPr>
          <w:rFonts w:eastAsia="仿宋"/>
          <w:sz w:val="28"/>
          <w:szCs w:val="28"/>
        </w:rPr>
        <w:t>取水点位于花溪区</w:t>
      </w:r>
      <w:r>
        <w:rPr>
          <w:rFonts w:hint="eastAsia" w:eastAsia="仿宋"/>
          <w:sz w:val="28"/>
          <w:szCs w:val="28"/>
        </w:rPr>
        <w:t>清溪街道桐木岭村9855水厂的涟江上游中，目前水质为《地表水环境质量标准》（GB 3838-2002）Ⅲ类。</w:t>
      </w:r>
    </w:p>
    <w:p w14:paraId="7B8C338B">
      <w:pPr>
        <w:pStyle w:val="29"/>
        <w:spacing w:line="600" w:lineRule="exact"/>
        <w:ind w:right="28" w:firstLine="548" w:firstLineChars="196"/>
        <w:rPr>
          <w:rFonts w:eastAsia="仿宋"/>
          <w:sz w:val="28"/>
          <w:szCs w:val="28"/>
        </w:rPr>
      </w:pPr>
      <w:r>
        <w:rPr>
          <w:rFonts w:eastAsia="仿宋"/>
          <w:sz w:val="28"/>
          <w:szCs w:val="28"/>
        </w:rPr>
        <w:t>根据《花溪区</w:t>
      </w:r>
      <w:r>
        <w:rPr>
          <w:rFonts w:hint="eastAsia" w:eastAsia="仿宋"/>
          <w:sz w:val="28"/>
          <w:szCs w:val="28"/>
        </w:rPr>
        <w:t>千人以上集中式饮用水水源监管范围划分方案</w:t>
      </w:r>
      <w:r>
        <w:rPr>
          <w:rFonts w:eastAsia="仿宋"/>
          <w:sz w:val="28"/>
          <w:szCs w:val="28"/>
        </w:rPr>
        <w:t>》，花溪区</w:t>
      </w:r>
      <w:r>
        <w:rPr>
          <w:rFonts w:hint="eastAsia" w:eastAsia="仿宋"/>
          <w:sz w:val="28"/>
          <w:szCs w:val="28"/>
        </w:rPr>
        <w:t>清溪街道9</w:t>
      </w:r>
      <w:r>
        <w:rPr>
          <w:rFonts w:eastAsia="仿宋"/>
          <w:sz w:val="28"/>
          <w:szCs w:val="28"/>
        </w:rPr>
        <w:t>855</w:t>
      </w:r>
      <w:r>
        <w:rPr>
          <w:rFonts w:hint="eastAsia" w:eastAsia="仿宋"/>
          <w:sz w:val="28"/>
          <w:szCs w:val="28"/>
        </w:rPr>
        <w:t>厂</w:t>
      </w:r>
      <w:r>
        <w:rPr>
          <w:rFonts w:eastAsia="仿宋"/>
          <w:sz w:val="28"/>
          <w:szCs w:val="28"/>
        </w:rPr>
        <w:t>集中式饮用水水源监管范围总面积为0.0303km</w:t>
      </w:r>
      <w:r>
        <w:rPr>
          <w:rFonts w:eastAsia="仿宋"/>
          <w:sz w:val="28"/>
          <w:szCs w:val="28"/>
          <w:vertAlign w:val="superscript"/>
        </w:rPr>
        <w:t>2</w:t>
      </w:r>
      <w:r>
        <w:rPr>
          <w:rFonts w:eastAsia="仿宋"/>
          <w:sz w:val="28"/>
          <w:szCs w:val="28"/>
        </w:rPr>
        <w:t>。</w:t>
      </w:r>
      <w:r>
        <w:rPr>
          <w:rFonts w:hint="eastAsia" w:eastAsia="仿宋"/>
          <w:sz w:val="28"/>
          <w:szCs w:val="28"/>
        </w:rPr>
        <w:t>9855厂水源监管范围</w:t>
      </w:r>
      <w:r>
        <w:rPr>
          <w:rFonts w:eastAsia="仿宋"/>
          <w:sz w:val="28"/>
          <w:szCs w:val="28"/>
        </w:rPr>
        <w:t>划分见附图41</w:t>
      </w:r>
      <w:r>
        <w:rPr>
          <w:rFonts w:hint="eastAsia" w:eastAsia="仿宋"/>
          <w:sz w:val="28"/>
          <w:szCs w:val="28"/>
        </w:rPr>
        <w:t>和</w:t>
      </w:r>
      <w:r>
        <w:rPr>
          <w:rFonts w:eastAsia="仿宋"/>
          <w:sz w:val="28"/>
          <w:szCs w:val="28"/>
        </w:rPr>
        <w:t>附图42。</w:t>
      </w:r>
    </w:p>
    <w:p w14:paraId="02FFEB16">
      <w:pPr>
        <w:pStyle w:val="3"/>
        <w:spacing w:before="120" w:after="120" w:line="560" w:lineRule="exact"/>
        <w:ind w:left="3759" w:hanging="3759"/>
        <w:rPr>
          <w:rFonts w:eastAsia="仿宋"/>
          <w:sz w:val="32"/>
        </w:rPr>
      </w:pPr>
      <w:bookmarkStart w:id="46" w:name="_Toc60930785"/>
      <w:r>
        <w:rPr>
          <w:rFonts w:eastAsia="仿宋"/>
          <w:sz w:val="32"/>
        </w:rPr>
        <w:t>2.22</w:t>
      </w:r>
      <w:r>
        <w:rPr>
          <w:rFonts w:hint="eastAsia" w:eastAsia="仿宋"/>
          <w:sz w:val="32"/>
        </w:rPr>
        <w:t>清溪街道机械厂集中式饮用水源</w:t>
      </w:r>
      <w:bookmarkEnd w:id="46"/>
    </w:p>
    <w:p w14:paraId="2258F65C">
      <w:pPr>
        <w:pStyle w:val="29"/>
        <w:spacing w:line="600" w:lineRule="exact"/>
        <w:ind w:right="28" w:firstLine="548" w:firstLineChars="196"/>
        <w:rPr>
          <w:rFonts w:ascii="仿宋" w:hAnsi="仿宋" w:eastAsia="仿宋"/>
          <w:sz w:val="28"/>
        </w:rPr>
      </w:pPr>
      <w:r>
        <w:rPr>
          <w:rFonts w:ascii="仿宋" w:hAnsi="仿宋" w:eastAsia="仿宋"/>
          <w:sz w:val="28"/>
        </w:rPr>
        <w:t>机械厂水源位于花溪区清溪街道</w:t>
      </w:r>
      <w:r>
        <w:rPr>
          <w:rFonts w:hint="eastAsia" w:ascii="仿宋" w:hAnsi="仿宋" w:eastAsia="仿宋"/>
          <w:sz w:val="28"/>
        </w:rPr>
        <w:t>桐木岭村</w:t>
      </w:r>
      <w:r>
        <w:rPr>
          <w:rFonts w:ascii="仿宋" w:hAnsi="仿宋" w:eastAsia="仿宋"/>
          <w:sz w:val="28"/>
        </w:rPr>
        <w:t>机械厂</w:t>
      </w:r>
      <w:r>
        <w:rPr>
          <w:rFonts w:hint="eastAsia" w:ascii="仿宋" w:hAnsi="仿宋" w:eastAsia="仿宋"/>
          <w:sz w:val="28"/>
        </w:rPr>
        <w:t>内</w:t>
      </w:r>
      <w:r>
        <w:rPr>
          <w:rFonts w:ascii="仿宋" w:hAnsi="仿宋" w:eastAsia="仿宋"/>
          <w:sz w:val="28"/>
        </w:rPr>
        <w:t>，距清溪街道集镇</w:t>
      </w:r>
      <w:r>
        <w:rPr>
          <w:rFonts w:hint="eastAsia" w:ascii="仿宋" w:hAnsi="仿宋" w:eastAsia="仿宋"/>
          <w:sz w:val="28"/>
        </w:rPr>
        <w:t>8.0</w:t>
      </w:r>
      <w:r>
        <w:rPr>
          <w:rFonts w:ascii="仿宋" w:hAnsi="仿宋" w:eastAsia="仿宋"/>
          <w:sz w:val="28"/>
        </w:rPr>
        <w:t>km，属于地下水型水源，是花溪区清溪街道机械厂</w:t>
      </w:r>
      <w:r>
        <w:rPr>
          <w:rFonts w:hint="eastAsia" w:ascii="仿宋" w:hAnsi="仿宋" w:eastAsia="仿宋"/>
          <w:sz w:val="28"/>
        </w:rPr>
        <w:t>、桐木岭村二组</w:t>
      </w:r>
      <w:r>
        <w:rPr>
          <w:rFonts w:ascii="仿宋" w:hAnsi="仿宋" w:eastAsia="仿宋"/>
          <w:sz w:val="28"/>
        </w:rPr>
        <w:t>集中式饮用水水源。水源取水点位于清溪街道</w:t>
      </w:r>
      <w:r>
        <w:rPr>
          <w:rFonts w:hint="eastAsia" w:ascii="仿宋" w:hAnsi="仿宋" w:eastAsia="仿宋"/>
          <w:sz w:val="28"/>
        </w:rPr>
        <w:t>桐木岭村</w:t>
      </w:r>
      <w:r>
        <w:rPr>
          <w:rFonts w:ascii="仿宋" w:hAnsi="仿宋" w:eastAsia="仿宋"/>
          <w:sz w:val="28"/>
        </w:rPr>
        <w:t>机械厂，地理坐标为东经106°40'14.99"，北纬26°21'46.71"。机械厂水源是清溪街道机械厂集中式饮用水水源，服务人口2926人，日均供水量200立方米，供水区域为</w:t>
      </w:r>
      <w:r>
        <w:rPr>
          <w:rFonts w:hint="eastAsia" w:ascii="仿宋" w:hAnsi="仿宋" w:eastAsia="仿宋"/>
          <w:sz w:val="28"/>
        </w:rPr>
        <w:t>清溪</w:t>
      </w:r>
      <w:r>
        <w:rPr>
          <w:rFonts w:ascii="仿宋" w:hAnsi="仿宋" w:eastAsia="仿宋"/>
          <w:sz w:val="28"/>
        </w:rPr>
        <w:t>街道机械厂</w:t>
      </w:r>
      <w:r>
        <w:rPr>
          <w:rFonts w:hint="eastAsia" w:ascii="仿宋" w:hAnsi="仿宋" w:eastAsia="仿宋"/>
          <w:sz w:val="28"/>
        </w:rPr>
        <w:t>、</w:t>
      </w:r>
      <w:r>
        <w:rPr>
          <w:rFonts w:ascii="仿宋" w:hAnsi="仿宋" w:eastAsia="仿宋"/>
          <w:sz w:val="28"/>
        </w:rPr>
        <w:t>桐木岭村二组。</w:t>
      </w:r>
      <w:r>
        <w:rPr>
          <w:rFonts w:hint="eastAsia" w:ascii="仿宋" w:hAnsi="仿宋" w:eastAsia="仿宋"/>
          <w:sz w:val="28"/>
        </w:rPr>
        <w:t>9</w:t>
      </w:r>
      <w:r>
        <w:rPr>
          <w:rFonts w:ascii="仿宋" w:hAnsi="仿宋" w:eastAsia="仿宋"/>
          <w:sz w:val="28"/>
        </w:rPr>
        <w:t>855</w:t>
      </w:r>
      <w:r>
        <w:rPr>
          <w:rFonts w:hint="eastAsia" w:ascii="仿宋" w:hAnsi="仿宋" w:eastAsia="仿宋"/>
          <w:sz w:val="28"/>
        </w:rPr>
        <w:t>厂</w:t>
      </w:r>
      <w:r>
        <w:rPr>
          <w:rFonts w:ascii="仿宋" w:hAnsi="仿宋" w:eastAsia="仿宋"/>
          <w:sz w:val="28"/>
        </w:rPr>
        <w:t>水源</w:t>
      </w:r>
      <w:r>
        <w:rPr>
          <w:rFonts w:hint="eastAsia" w:ascii="仿宋" w:hAnsi="仿宋" w:eastAsia="仿宋"/>
          <w:sz w:val="28"/>
        </w:rPr>
        <w:t>取水点照片见图2-</w:t>
      </w:r>
      <w:r>
        <w:rPr>
          <w:rFonts w:ascii="仿宋" w:hAnsi="仿宋" w:eastAsia="仿宋"/>
          <w:sz w:val="28"/>
        </w:rPr>
        <w:t>22</w:t>
      </w:r>
      <w:r>
        <w:rPr>
          <w:rFonts w:hint="eastAsia" w:ascii="仿宋" w:hAnsi="仿宋" w:eastAsia="仿宋"/>
          <w:sz w:val="28"/>
        </w:rPr>
        <w:t>。</w:t>
      </w:r>
    </w:p>
    <w:p w14:paraId="65A538CF">
      <w:pPr>
        <w:jc w:val="center"/>
        <w:rPr>
          <w:rFonts w:eastAsia="仿宋_GB2312"/>
          <w:spacing w:val="-8"/>
          <w:szCs w:val="21"/>
        </w:rPr>
      </w:pPr>
      <w:r>
        <w:rPr>
          <w:rFonts w:eastAsia="仿宋_GB2312"/>
          <w:spacing w:val="-8"/>
          <w:szCs w:val="21"/>
        </w:rPr>
        <w:drawing>
          <wp:inline distT="0" distB="0" distL="0" distR="0">
            <wp:extent cx="2794000" cy="1864995"/>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2797664" cy="1867575"/>
                    </a:xfrm>
                    <a:prstGeom prst="rect">
                      <a:avLst/>
                    </a:prstGeom>
                    <a:noFill/>
                    <a:ln>
                      <a:noFill/>
                    </a:ln>
                  </pic:spPr>
                </pic:pic>
              </a:graphicData>
            </a:graphic>
          </wp:inline>
        </w:drawing>
      </w:r>
      <w:r>
        <w:rPr>
          <w:rFonts w:eastAsia="仿宋_GB2312"/>
          <w:spacing w:val="-8"/>
          <w:szCs w:val="21"/>
        </w:rPr>
        <w:t xml:space="preserve"> </w:t>
      </w:r>
      <w:r>
        <w:rPr>
          <w:rFonts w:eastAsia="仿宋_GB2312"/>
          <w:spacing w:val="-8"/>
          <w:szCs w:val="21"/>
        </w:rPr>
        <w:drawing>
          <wp:inline distT="0" distB="0" distL="0" distR="0">
            <wp:extent cx="2500630" cy="1864995"/>
            <wp:effectExtent l="0" t="0" r="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2505527" cy="1868393"/>
                    </a:xfrm>
                    <a:prstGeom prst="rect">
                      <a:avLst/>
                    </a:prstGeom>
                    <a:noFill/>
                    <a:ln>
                      <a:noFill/>
                    </a:ln>
                  </pic:spPr>
                </pic:pic>
              </a:graphicData>
            </a:graphic>
          </wp:inline>
        </w:drawing>
      </w:r>
    </w:p>
    <w:p w14:paraId="67007574">
      <w:pPr>
        <w:pStyle w:val="29"/>
        <w:ind w:right="28"/>
        <w:jc w:val="center"/>
        <w:rPr>
          <w:rFonts w:eastAsia="仿宋_GB2312"/>
          <w:spacing w:val="-8"/>
        </w:rPr>
      </w:pPr>
      <w:r>
        <w:rPr>
          <w:rFonts w:eastAsia="仿宋"/>
          <w:b/>
          <w:spacing w:val="-8"/>
        </w:rPr>
        <w:t xml:space="preserve">图2-22 </w:t>
      </w:r>
      <w:r>
        <w:rPr>
          <w:rFonts w:hint="eastAsia" w:eastAsia="仿宋"/>
          <w:b/>
          <w:spacing w:val="-8"/>
        </w:rPr>
        <w:t>机械厂水源</w:t>
      </w:r>
      <w:r>
        <w:rPr>
          <w:rFonts w:eastAsia="仿宋"/>
          <w:b/>
          <w:spacing w:val="-8"/>
        </w:rPr>
        <w:t>取水</w:t>
      </w:r>
      <w:r>
        <w:rPr>
          <w:rFonts w:hint="eastAsia" w:eastAsia="仿宋"/>
          <w:b/>
          <w:spacing w:val="-8"/>
        </w:rPr>
        <w:t>点</w:t>
      </w:r>
      <w:r>
        <w:rPr>
          <w:rFonts w:eastAsia="仿宋"/>
          <w:b/>
          <w:spacing w:val="-8"/>
        </w:rPr>
        <w:t>现场照片</w:t>
      </w:r>
    </w:p>
    <w:p w14:paraId="682E75FC">
      <w:pPr>
        <w:pStyle w:val="29"/>
        <w:spacing w:line="600" w:lineRule="exact"/>
        <w:ind w:right="28" w:firstLine="548" w:firstLineChars="196"/>
        <w:rPr>
          <w:rFonts w:eastAsia="仿宋"/>
          <w:sz w:val="28"/>
          <w:szCs w:val="28"/>
        </w:rPr>
      </w:pPr>
      <w:r>
        <w:rPr>
          <w:rFonts w:eastAsia="仿宋"/>
          <w:sz w:val="28"/>
          <w:szCs w:val="28"/>
        </w:rPr>
        <w:t>机械厂水源属于地下水型水源，是以机井形式开采地下水，其取水点位于花溪区清溪街道</w:t>
      </w:r>
      <w:r>
        <w:rPr>
          <w:rFonts w:hint="eastAsia" w:eastAsia="仿宋"/>
          <w:sz w:val="28"/>
          <w:szCs w:val="28"/>
        </w:rPr>
        <w:t>桐木岭村</w:t>
      </w:r>
      <w:r>
        <w:rPr>
          <w:rFonts w:eastAsia="仿宋"/>
          <w:sz w:val="28"/>
          <w:szCs w:val="28"/>
        </w:rPr>
        <w:t>机械厂</w:t>
      </w:r>
      <w:r>
        <w:rPr>
          <w:rFonts w:hint="eastAsia" w:eastAsia="仿宋"/>
          <w:sz w:val="28"/>
          <w:szCs w:val="28"/>
        </w:rPr>
        <w:t>内</w:t>
      </w:r>
      <w:r>
        <w:rPr>
          <w:rFonts w:eastAsia="仿宋"/>
          <w:sz w:val="28"/>
          <w:szCs w:val="28"/>
        </w:rPr>
        <w:t>，目前水质为《地下水质量标准》（GB/T 14848-2017）</w:t>
      </w:r>
      <w:r>
        <w:rPr>
          <w:rFonts w:hint="eastAsia" w:eastAsia="仿宋"/>
          <w:sz w:val="28"/>
          <w:szCs w:val="28"/>
        </w:rPr>
        <w:t>Ⅲ</w:t>
      </w:r>
      <w:r>
        <w:rPr>
          <w:rFonts w:eastAsia="仿宋"/>
          <w:sz w:val="28"/>
          <w:szCs w:val="28"/>
        </w:rPr>
        <w:t>类。</w:t>
      </w:r>
    </w:p>
    <w:p w14:paraId="1F1AFC9F">
      <w:pPr>
        <w:pStyle w:val="29"/>
        <w:spacing w:line="600" w:lineRule="exact"/>
        <w:ind w:right="28" w:firstLine="548" w:firstLineChars="196"/>
        <w:rPr>
          <w:rFonts w:eastAsia="仿宋"/>
          <w:sz w:val="28"/>
          <w:szCs w:val="28"/>
        </w:rPr>
      </w:pPr>
      <w:r>
        <w:rPr>
          <w:rFonts w:eastAsia="仿宋"/>
          <w:sz w:val="28"/>
          <w:szCs w:val="28"/>
        </w:rPr>
        <w:t>根据《花溪区</w:t>
      </w:r>
      <w:r>
        <w:rPr>
          <w:rFonts w:hint="eastAsia" w:eastAsia="仿宋"/>
          <w:sz w:val="28"/>
          <w:szCs w:val="28"/>
        </w:rPr>
        <w:t>千人以上集中式饮用水水源监管范围划分方案</w:t>
      </w:r>
      <w:r>
        <w:rPr>
          <w:rFonts w:eastAsia="仿宋"/>
          <w:sz w:val="28"/>
          <w:szCs w:val="28"/>
        </w:rPr>
        <w:t>》，花溪区</w:t>
      </w:r>
      <w:r>
        <w:rPr>
          <w:rFonts w:hint="eastAsia" w:eastAsia="仿宋"/>
          <w:sz w:val="28"/>
          <w:szCs w:val="28"/>
        </w:rPr>
        <w:t>清溪街道机械厂</w:t>
      </w:r>
      <w:r>
        <w:rPr>
          <w:rFonts w:eastAsia="仿宋"/>
          <w:sz w:val="28"/>
          <w:szCs w:val="28"/>
        </w:rPr>
        <w:t>集中式饮用水水源监管范围总面积为0.0004km</w:t>
      </w:r>
      <w:r>
        <w:rPr>
          <w:rFonts w:eastAsia="仿宋"/>
          <w:sz w:val="28"/>
          <w:szCs w:val="28"/>
          <w:vertAlign w:val="superscript"/>
        </w:rPr>
        <w:t>2</w:t>
      </w:r>
      <w:r>
        <w:rPr>
          <w:rFonts w:eastAsia="仿宋"/>
          <w:sz w:val="28"/>
          <w:szCs w:val="28"/>
        </w:rPr>
        <w:t>。机械厂水源</w:t>
      </w:r>
      <w:r>
        <w:rPr>
          <w:rFonts w:hint="eastAsia" w:eastAsia="仿宋"/>
          <w:sz w:val="28"/>
          <w:szCs w:val="28"/>
        </w:rPr>
        <w:t>监管范围</w:t>
      </w:r>
      <w:r>
        <w:rPr>
          <w:rFonts w:eastAsia="仿宋"/>
          <w:sz w:val="28"/>
          <w:szCs w:val="28"/>
        </w:rPr>
        <w:t>划分见附图43</w:t>
      </w:r>
      <w:r>
        <w:rPr>
          <w:rFonts w:hint="eastAsia" w:eastAsia="仿宋"/>
          <w:sz w:val="28"/>
          <w:szCs w:val="28"/>
        </w:rPr>
        <w:t>和</w:t>
      </w:r>
      <w:r>
        <w:rPr>
          <w:rFonts w:eastAsia="仿宋"/>
          <w:sz w:val="28"/>
          <w:szCs w:val="28"/>
        </w:rPr>
        <w:t>附图44。</w:t>
      </w:r>
    </w:p>
    <w:p w14:paraId="4947392D">
      <w:pPr>
        <w:pStyle w:val="3"/>
        <w:spacing w:before="120" w:after="120" w:line="560" w:lineRule="exact"/>
        <w:ind w:left="3759" w:hanging="3759"/>
        <w:rPr>
          <w:rFonts w:eastAsia="仿宋"/>
          <w:sz w:val="32"/>
        </w:rPr>
      </w:pPr>
      <w:bookmarkStart w:id="47" w:name="_Toc60930786"/>
      <w:r>
        <w:rPr>
          <w:rFonts w:eastAsia="仿宋"/>
          <w:sz w:val="32"/>
        </w:rPr>
        <w:t>2.23</w:t>
      </w:r>
      <w:r>
        <w:rPr>
          <w:rFonts w:hint="eastAsia" w:eastAsia="仿宋"/>
          <w:sz w:val="32"/>
        </w:rPr>
        <w:t>石板镇盖冗村集中式饮用水源</w:t>
      </w:r>
      <w:bookmarkEnd w:id="47"/>
    </w:p>
    <w:p w14:paraId="4C154C61">
      <w:pPr>
        <w:pStyle w:val="29"/>
        <w:spacing w:line="600" w:lineRule="exact"/>
        <w:ind w:right="28" w:firstLine="548" w:firstLineChars="196"/>
        <w:rPr>
          <w:rFonts w:ascii="仿宋" w:hAnsi="仿宋" w:eastAsia="仿宋"/>
          <w:sz w:val="28"/>
        </w:rPr>
      </w:pPr>
      <w:r>
        <w:rPr>
          <w:rFonts w:hint="eastAsia" w:ascii="仿宋" w:hAnsi="仿宋" w:eastAsia="仿宋"/>
          <w:sz w:val="28"/>
        </w:rPr>
        <w:t>盖冗村</w:t>
      </w:r>
      <w:r>
        <w:rPr>
          <w:rFonts w:ascii="仿宋" w:hAnsi="仿宋" w:eastAsia="仿宋"/>
          <w:sz w:val="28"/>
        </w:rPr>
        <w:t>水源</w:t>
      </w:r>
      <w:r>
        <w:rPr>
          <w:rFonts w:hint="eastAsia" w:ascii="仿宋" w:hAnsi="仿宋" w:eastAsia="仿宋"/>
          <w:sz w:val="28"/>
        </w:rPr>
        <w:t>位于花溪区石板镇盖冗村，属于地表水（河流）型水源，是花溪区石板镇盖冗村集中式饮用水水源。水源取水点位于石板镇盖冗村的清水河上游，地理坐标为东经</w:t>
      </w:r>
      <w:r>
        <w:rPr>
          <w:rFonts w:ascii="仿宋" w:hAnsi="仿宋" w:eastAsia="仿宋"/>
          <w:sz w:val="28"/>
        </w:rPr>
        <w:t>106°34'34.73"</w:t>
      </w:r>
      <w:r>
        <w:rPr>
          <w:rFonts w:hint="eastAsia" w:ascii="仿宋" w:hAnsi="仿宋" w:eastAsia="仿宋"/>
          <w:sz w:val="28"/>
        </w:rPr>
        <w:t>，北纬</w:t>
      </w:r>
      <w:r>
        <w:rPr>
          <w:rFonts w:ascii="仿宋" w:hAnsi="仿宋" w:eastAsia="仿宋"/>
          <w:sz w:val="28"/>
        </w:rPr>
        <w:t>26°25'3.62"</w:t>
      </w:r>
      <w:r>
        <w:rPr>
          <w:rFonts w:hint="eastAsia" w:ascii="仿宋" w:hAnsi="仿宋" w:eastAsia="仿宋"/>
          <w:sz w:val="28"/>
        </w:rPr>
        <w:t>。盖冗村</w:t>
      </w:r>
      <w:r>
        <w:rPr>
          <w:rFonts w:ascii="仿宋" w:hAnsi="仿宋" w:eastAsia="仿宋"/>
          <w:sz w:val="28"/>
        </w:rPr>
        <w:t>水源</w:t>
      </w:r>
      <w:r>
        <w:rPr>
          <w:rFonts w:hint="eastAsia" w:ascii="仿宋" w:hAnsi="仿宋" w:eastAsia="仿宋"/>
          <w:sz w:val="28"/>
        </w:rPr>
        <w:t>是石板镇盖冗村</w:t>
      </w:r>
      <w:r>
        <w:rPr>
          <w:rFonts w:ascii="仿宋" w:hAnsi="仿宋" w:eastAsia="仿宋"/>
          <w:sz w:val="28"/>
        </w:rPr>
        <w:t>集中</w:t>
      </w:r>
      <w:r>
        <w:rPr>
          <w:rFonts w:hint="eastAsia" w:ascii="仿宋" w:hAnsi="仿宋" w:eastAsia="仿宋"/>
          <w:sz w:val="28"/>
        </w:rPr>
        <w:t>式饮用水水源，服务人口</w:t>
      </w:r>
      <w:r>
        <w:rPr>
          <w:rFonts w:ascii="仿宋" w:hAnsi="仿宋" w:eastAsia="仿宋"/>
          <w:sz w:val="28"/>
        </w:rPr>
        <w:t>1514</w:t>
      </w:r>
      <w:r>
        <w:rPr>
          <w:rFonts w:hint="eastAsia" w:ascii="仿宋" w:hAnsi="仿宋" w:eastAsia="仿宋"/>
          <w:sz w:val="28"/>
        </w:rPr>
        <w:t>人，日均供水量</w:t>
      </w:r>
      <w:r>
        <w:rPr>
          <w:rFonts w:ascii="仿宋" w:hAnsi="仿宋" w:eastAsia="仿宋"/>
          <w:sz w:val="28"/>
        </w:rPr>
        <w:t>150</w:t>
      </w:r>
      <w:r>
        <w:rPr>
          <w:rFonts w:hint="eastAsia" w:ascii="仿宋" w:hAnsi="仿宋" w:eastAsia="仿宋"/>
          <w:sz w:val="28"/>
        </w:rPr>
        <w:t>立方米，供水区域为石板镇盖冗村</w:t>
      </w:r>
      <w:r>
        <w:rPr>
          <w:rFonts w:ascii="仿宋" w:hAnsi="仿宋" w:eastAsia="仿宋"/>
          <w:sz w:val="28"/>
        </w:rPr>
        <w:t>一至十一组</w:t>
      </w:r>
      <w:r>
        <w:rPr>
          <w:rFonts w:hint="eastAsia" w:ascii="仿宋" w:hAnsi="仿宋" w:eastAsia="仿宋"/>
          <w:sz w:val="28"/>
        </w:rPr>
        <w:t>。</w:t>
      </w:r>
    </w:p>
    <w:p w14:paraId="6C77F605">
      <w:pPr>
        <w:pStyle w:val="29"/>
        <w:spacing w:line="600" w:lineRule="exact"/>
        <w:ind w:right="28" w:firstLine="548" w:firstLineChars="196"/>
        <w:rPr>
          <w:rFonts w:ascii="仿宋" w:hAnsi="仿宋" w:eastAsia="仿宋"/>
          <w:sz w:val="28"/>
        </w:rPr>
      </w:pPr>
      <w:r>
        <w:rPr>
          <w:rFonts w:hint="eastAsia" w:ascii="仿宋" w:hAnsi="仿宋" w:eastAsia="仿宋"/>
          <w:sz w:val="28"/>
        </w:rPr>
        <w:t>盖冗村</w:t>
      </w:r>
      <w:r>
        <w:rPr>
          <w:rFonts w:ascii="仿宋" w:hAnsi="仿宋" w:eastAsia="仿宋"/>
          <w:sz w:val="28"/>
        </w:rPr>
        <w:t>水源</w:t>
      </w:r>
      <w:r>
        <w:rPr>
          <w:rFonts w:hint="eastAsia" w:ascii="仿宋" w:hAnsi="仿宋" w:eastAsia="仿宋"/>
          <w:sz w:val="28"/>
        </w:rPr>
        <w:t>取水点照片见图2-</w:t>
      </w:r>
      <w:r>
        <w:rPr>
          <w:rFonts w:ascii="仿宋" w:hAnsi="仿宋" w:eastAsia="仿宋"/>
          <w:sz w:val="28"/>
        </w:rPr>
        <w:t>23</w:t>
      </w:r>
      <w:r>
        <w:rPr>
          <w:rFonts w:hint="eastAsia" w:ascii="仿宋" w:hAnsi="仿宋" w:eastAsia="仿宋"/>
          <w:sz w:val="28"/>
        </w:rPr>
        <w:t>。</w:t>
      </w:r>
    </w:p>
    <w:p w14:paraId="6C9CEEE9">
      <w:pPr>
        <w:jc w:val="center"/>
        <w:rPr>
          <w:rFonts w:eastAsia="仿宋_GB2312"/>
          <w:spacing w:val="-8"/>
          <w:szCs w:val="21"/>
        </w:rPr>
      </w:pPr>
      <w:r>
        <w:rPr>
          <w:rFonts w:eastAsia="仿宋_GB2312"/>
          <w:spacing w:val="-8"/>
          <w:szCs w:val="21"/>
        </w:rPr>
        <w:drawing>
          <wp:inline distT="0" distB="0" distL="0" distR="0">
            <wp:extent cx="2875280" cy="1892935"/>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2880105" cy="1896141"/>
                    </a:xfrm>
                    <a:prstGeom prst="rect">
                      <a:avLst/>
                    </a:prstGeom>
                    <a:noFill/>
                    <a:ln>
                      <a:noFill/>
                    </a:ln>
                  </pic:spPr>
                </pic:pic>
              </a:graphicData>
            </a:graphic>
          </wp:inline>
        </w:drawing>
      </w:r>
      <w:r>
        <w:rPr>
          <w:rFonts w:eastAsia="仿宋_GB2312"/>
          <w:spacing w:val="-8"/>
          <w:szCs w:val="21"/>
        </w:rPr>
        <w:t xml:space="preserve"> </w:t>
      </w:r>
      <w:r>
        <w:rPr>
          <w:rFonts w:eastAsia="仿宋_GB2312"/>
          <w:spacing w:val="-8"/>
          <w:szCs w:val="21"/>
        </w:rPr>
        <w:drawing>
          <wp:inline distT="0" distB="0" distL="0" distR="0">
            <wp:extent cx="2497455" cy="1886585"/>
            <wp:effectExtent l="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2498181" cy="1887651"/>
                    </a:xfrm>
                    <a:prstGeom prst="rect">
                      <a:avLst/>
                    </a:prstGeom>
                    <a:noFill/>
                    <a:ln>
                      <a:noFill/>
                    </a:ln>
                  </pic:spPr>
                </pic:pic>
              </a:graphicData>
            </a:graphic>
          </wp:inline>
        </w:drawing>
      </w:r>
    </w:p>
    <w:p w14:paraId="0CA7C205">
      <w:pPr>
        <w:pStyle w:val="29"/>
        <w:ind w:right="28"/>
        <w:jc w:val="center"/>
        <w:rPr>
          <w:rFonts w:eastAsia="仿宋_GB2312"/>
          <w:spacing w:val="-8"/>
        </w:rPr>
      </w:pPr>
      <w:r>
        <w:rPr>
          <w:rFonts w:eastAsia="仿宋"/>
          <w:b/>
          <w:spacing w:val="-8"/>
        </w:rPr>
        <w:t xml:space="preserve">图2-23 </w:t>
      </w:r>
      <w:r>
        <w:rPr>
          <w:rFonts w:hint="eastAsia" w:eastAsia="仿宋"/>
          <w:b/>
          <w:spacing w:val="-8"/>
        </w:rPr>
        <w:t>盖冗村水源</w:t>
      </w:r>
      <w:r>
        <w:rPr>
          <w:rFonts w:eastAsia="仿宋"/>
          <w:b/>
          <w:spacing w:val="-8"/>
        </w:rPr>
        <w:t>取水</w:t>
      </w:r>
      <w:r>
        <w:rPr>
          <w:rFonts w:hint="eastAsia" w:eastAsia="仿宋"/>
          <w:b/>
          <w:spacing w:val="-8"/>
        </w:rPr>
        <w:t>点</w:t>
      </w:r>
      <w:r>
        <w:rPr>
          <w:rFonts w:eastAsia="仿宋"/>
          <w:b/>
          <w:spacing w:val="-8"/>
        </w:rPr>
        <w:t>现场照片</w:t>
      </w:r>
    </w:p>
    <w:p w14:paraId="418829A5">
      <w:pPr>
        <w:pStyle w:val="29"/>
        <w:spacing w:line="600" w:lineRule="exact"/>
        <w:ind w:right="28" w:firstLine="548" w:firstLineChars="196"/>
        <w:rPr>
          <w:rFonts w:eastAsia="仿宋"/>
          <w:sz w:val="28"/>
          <w:szCs w:val="28"/>
        </w:rPr>
      </w:pPr>
      <w:r>
        <w:rPr>
          <w:rFonts w:hint="eastAsia" w:eastAsia="仿宋"/>
          <w:sz w:val="28"/>
          <w:szCs w:val="28"/>
        </w:rPr>
        <w:t>盖冗村水源</w:t>
      </w:r>
      <w:r>
        <w:rPr>
          <w:rFonts w:eastAsia="仿宋"/>
          <w:sz w:val="28"/>
          <w:szCs w:val="28"/>
        </w:rPr>
        <w:t>取水点位于花溪区</w:t>
      </w:r>
      <w:r>
        <w:rPr>
          <w:rFonts w:hint="eastAsia" w:eastAsia="仿宋"/>
          <w:sz w:val="28"/>
          <w:szCs w:val="28"/>
        </w:rPr>
        <w:t>石板镇</w:t>
      </w:r>
      <w:r>
        <w:rPr>
          <w:rFonts w:eastAsia="仿宋"/>
          <w:sz w:val="28"/>
          <w:szCs w:val="28"/>
        </w:rPr>
        <w:t>盖冗村的清水河</w:t>
      </w:r>
      <w:r>
        <w:rPr>
          <w:rFonts w:hint="eastAsia" w:eastAsia="仿宋"/>
          <w:sz w:val="28"/>
          <w:szCs w:val="28"/>
        </w:rPr>
        <w:t>上游，且</w:t>
      </w:r>
      <w:r>
        <w:rPr>
          <w:rFonts w:eastAsia="仿宋"/>
          <w:sz w:val="28"/>
          <w:szCs w:val="28"/>
        </w:rPr>
        <w:t>位于花溪水库二级保护区内，</w:t>
      </w:r>
      <w:r>
        <w:rPr>
          <w:rFonts w:hint="eastAsia" w:eastAsia="仿宋"/>
          <w:sz w:val="28"/>
          <w:szCs w:val="28"/>
        </w:rPr>
        <w:t>目前水质为《地表水环境质量标准》（GB 3838-2002）Ⅲ类。</w:t>
      </w:r>
    </w:p>
    <w:p w14:paraId="75337208">
      <w:pPr>
        <w:pStyle w:val="29"/>
        <w:spacing w:line="600" w:lineRule="exact"/>
        <w:ind w:right="28" w:firstLine="548" w:firstLineChars="196"/>
        <w:rPr>
          <w:rFonts w:eastAsia="仿宋"/>
          <w:sz w:val="28"/>
          <w:szCs w:val="28"/>
        </w:rPr>
      </w:pPr>
      <w:r>
        <w:rPr>
          <w:rFonts w:eastAsia="仿宋"/>
          <w:sz w:val="28"/>
          <w:szCs w:val="28"/>
        </w:rPr>
        <w:t>根据《花溪区</w:t>
      </w:r>
      <w:r>
        <w:rPr>
          <w:rFonts w:hint="eastAsia" w:eastAsia="仿宋"/>
          <w:sz w:val="28"/>
          <w:szCs w:val="28"/>
        </w:rPr>
        <w:t>千人以上集中式饮用水水源监管范围划分方案</w:t>
      </w:r>
      <w:r>
        <w:rPr>
          <w:rFonts w:eastAsia="仿宋"/>
          <w:sz w:val="28"/>
          <w:szCs w:val="28"/>
        </w:rPr>
        <w:t>》，花溪区</w:t>
      </w:r>
      <w:r>
        <w:rPr>
          <w:rFonts w:hint="eastAsia" w:eastAsia="仿宋"/>
          <w:sz w:val="28"/>
          <w:szCs w:val="28"/>
        </w:rPr>
        <w:t>石板镇盖冗村</w:t>
      </w:r>
      <w:r>
        <w:rPr>
          <w:rFonts w:eastAsia="仿宋"/>
          <w:sz w:val="28"/>
          <w:szCs w:val="28"/>
        </w:rPr>
        <w:t>集中式饮用水水源监管范围总面积为0.1635km</w:t>
      </w:r>
      <w:r>
        <w:rPr>
          <w:rFonts w:eastAsia="仿宋"/>
          <w:sz w:val="28"/>
          <w:szCs w:val="28"/>
          <w:vertAlign w:val="superscript"/>
        </w:rPr>
        <w:t>2</w:t>
      </w:r>
      <w:r>
        <w:rPr>
          <w:rFonts w:eastAsia="仿宋"/>
          <w:sz w:val="28"/>
          <w:szCs w:val="28"/>
        </w:rPr>
        <w:t>。</w:t>
      </w:r>
      <w:r>
        <w:rPr>
          <w:rFonts w:hint="eastAsia" w:eastAsia="仿宋"/>
          <w:sz w:val="28"/>
          <w:szCs w:val="28"/>
        </w:rPr>
        <w:t>盖冗村水源监管范围</w:t>
      </w:r>
      <w:r>
        <w:rPr>
          <w:rFonts w:eastAsia="仿宋"/>
          <w:sz w:val="28"/>
          <w:szCs w:val="28"/>
        </w:rPr>
        <w:t>划分见附图45</w:t>
      </w:r>
      <w:r>
        <w:rPr>
          <w:rFonts w:hint="eastAsia" w:eastAsia="仿宋"/>
          <w:sz w:val="28"/>
          <w:szCs w:val="28"/>
        </w:rPr>
        <w:t>和</w:t>
      </w:r>
      <w:r>
        <w:rPr>
          <w:rFonts w:eastAsia="仿宋"/>
          <w:sz w:val="28"/>
          <w:szCs w:val="28"/>
        </w:rPr>
        <w:t>附图46。</w:t>
      </w:r>
    </w:p>
    <w:p w14:paraId="6052493E">
      <w:pPr>
        <w:pStyle w:val="3"/>
        <w:spacing w:before="120" w:after="120" w:line="560" w:lineRule="exact"/>
        <w:ind w:left="3759" w:hanging="3759"/>
        <w:rPr>
          <w:rFonts w:eastAsia="仿宋"/>
          <w:sz w:val="32"/>
        </w:rPr>
      </w:pPr>
      <w:bookmarkStart w:id="48" w:name="_Toc60930787"/>
      <w:r>
        <w:rPr>
          <w:rFonts w:eastAsia="仿宋"/>
          <w:sz w:val="32"/>
        </w:rPr>
        <w:t>2.24</w:t>
      </w:r>
      <w:r>
        <w:rPr>
          <w:rFonts w:hint="eastAsia" w:eastAsia="仿宋"/>
          <w:sz w:val="32"/>
        </w:rPr>
        <w:t>燕楼镇坝楼村集中式饮用水源</w:t>
      </w:r>
      <w:bookmarkEnd w:id="48"/>
    </w:p>
    <w:p w14:paraId="122A27D4">
      <w:pPr>
        <w:pStyle w:val="29"/>
        <w:spacing w:line="600" w:lineRule="exact"/>
        <w:ind w:right="28" w:firstLine="548" w:firstLineChars="196"/>
        <w:rPr>
          <w:rFonts w:ascii="仿宋" w:hAnsi="仿宋" w:eastAsia="仿宋"/>
          <w:sz w:val="28"/>
        </w:rPr>
      </w:pPr>
      <w:r>
        <w:rPr>
          <w:rFonts w:ascii="仿宋" w:hAnsi="仿宋" w:eastAsia="仿宋"/>
          <w:sz w:val="28"/>
        </w:rPr>
        <w:t>坝楼村水源位于花溪区燕楼镇坝楼村，距燕楼镇集镇1.5km，属于地下水型水源，是花溪区燕楼镇坝楼村集中式饮用水水源。水源取水点位于燕楼镇坝楼村，地理坐标为东经106°37'42.72"，北纬26°19'8.83"。坝楼村水源是燕楼镇坝楼村集中式饮用水水源，服务人口1513人，日均供水量50立方米，供水区域为坝楼村。</w:t>
      </w:r>
    </w:p>
    <w:p w14:paraId="1AC09B1C">
      <w:pPr>
        <w:pStyle w:val="29"/>
        <w:spacing w:line="600" w:lineRule="exact"/>
        <w:ind w:right="28" w:firstLine="548" w:firstLineChars="196"/>
        <w:rPr>
          <w:rFonts w:ascii="仿宋" w:hAnsi="仿宋" w:eastAsia="仿宋"/>
          <w:sz w:val="28"/>
        </w:rPr>
      </w:pPr>
      <w:r>
        <w:rPr>
          <w:rFonts w:hint="eastAsia" w:ascii="仿宋" w:hAnsi="仿宋" w:eastAsia="仿宋"/>
          <w:sz w:val="28"/>
        </w:rPr>
        <w:t>坝楼村</w:t>
      </w:r>
      <w:r>
        <w:rPr>
          <w:rFonts w:ascii="仿宋" w:hAnsi="仿宋" w:eastAsia="仿宋"/>
          <w:sz w:val="28"/>
        </w:rPr>
        <w:t>水源</w:t>
      </w:r>
      <w:r>
        <w:rPr>
          <w:rFonts w:hint="eastAsia" w:ascii="仿宋" w:hAnsi="仿宋" w:eastAsia="仿宋"/>
          <w:sz w:val="28"/>
        </w:rPr>
        <w:t>取水点照片见图2-</w:t>
      </w:r>
      <w:r>
        <w:rPr>
          <w:rFonts w:ascii="仿宋" w:hAnsi="仿宋" w:eastAsia="仿宋"/>
          <w:sz w:val="28"/>
        </w:rPr>
        <w:t>24</w:t>
      </w:r>
      <w:r>
        <w:rPr>
          <w:rFonts w:hint="eastAsia" w:ascii="仿宋" w:hAnsi="仿宋" w:eastAsia="仿宋"/>
          <w:sz w:val="28"/>
        </w:rPr>
        <w:t>。</w:t>
      </w:r>
    </w:p>
    <w:p w14:paraId="57A05214">
      <w:pPr>
        <w:jc w:val="center"/>
        <w:rPr>
          <w:rFonts w:eastAsia="仿宋_GB2312"/>
          <w:spacing w:val="-8"/>
          <w:szCs w:val="21"/>
        </w:rPr>
      </w:pPr>
      <w:r>
        <w:rPr>
          <w:rFonts w:eastAsia="仿宋_GB2312"/>
          <w:spacing w:val="-8"/>
          <w:szCs w:val="21"/>
        </w:rPr>
        <w:drawing>
          <wp:inline distT="0" distB="0" distL="0" distR="0">
            <wp:extent cx="2795270" cy="1851660"/>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2801015" cy="1855910"/>
                    </a:xfrm>
                    <a:prstGeom prst="rect">
                      <a:avLst/>
                    </a:prstGeom>
                    <a:noFill/>
                    <a:ln>
                      <a:noFill/>
                    </a:ln>
                  </pic:spPr>
                </pic:pic>
              </a:graphicData>
            </a:graphic>
          </wp:inline>
        </w:drawing>
      </w:r>
      <w:r>
        <w:rPr>
          <w:rFonts w:eastAsia="仿宋_GB2312"/>
          <w:spacing w:val="-8"/>
          <w:szCs w:val="21"/>
        </w:rPr>
        <w:t xml:space="preserve"> </w:t>
      </w:r>
      <w:r>
        <w:rPr>
          <w:rFonts w:eastAsia="仿宋_GB2312"/>
          <w:spacing w:val="-8"/>
          <w:szCs w:val="21"/>
        </w:rPr>
        <w:drawing>
          <wp:inline distT="0" distB="0" distL="0" distR="0">
            <wp:extent cx="2481580" cy="1850390"/>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2481862" cy="1850746"/>
                    </a:xfrm>
                    <a:prstGeom prst="rect">
                      <a:avLst/>
                    </a:prstGeom>
                    <a:noFill/>
                    <a:ln>
                      <a:noFill/>
                    </a:ln>
                  </pic:spPr>
                </pic:pic>
              </a:graphicData>
            </a:graphic>
          </wp:inline>
        </w:drawing>
      </w:r>
    </w:p>
    <w:p w14:paraId="2C332679">
      <w:pPr>
        <w:pStyle w:val="29"/>
        <w:ind w:right="28"/>
        <w:jc w:val="center"/>
        <w:rPr>
          <w:rFonts w:eastAsia="仿宋_GB2312"/>
          <w:spacing w:val="-8"/>
        </w:rPr>
      </w:pPr>
      <w:r>
        <w:rPr>
          <w:rFonts w:eastAsia="仿宋"/>
          <w:b/>
          <w:spacing w:val="-8"/>
        </w:rPr>
        <w:t xml:space="preserve">图2-24 </w:t>
      </w:r>
      <w:r>
        <w:rPr>
          <w:rFonts w:hint="eastAsia" w:eastAsia="仿宋"/>
          <w:b/>
          <w:spacing w:val="-8"/>
        </w:rPr>
        <w:t>坝楼村水源</w:t>
      </w:r>
      <w:r>
        <w:rPr>
          <w:rFonts w:eastAsia="仿宋"/>
          <w:b/>
          <w:spacing w:val="-8"/>
        </w:rPr>
        <w:t>取水</w:t>
      </w:r>
      <w:r>
        <w:rPr>
          <w:rFonts w:hint="eastAsia" w:eastAsia="仿宋"/>
          <w:b/>
          <w:spacing w:val="-8"/>
        </w:rPr>
        <w:t>点</w:t>
      </w:r>
      <w:r>
        <w:rPr>
          <w:rFonts w:eastAsia="仿宋"/>
          <w:b/>
          <w:spacing w:val="-8"/>
        </w:rPr>
        <w:t>现场照片</w:t>
      </w:r>
    </w:p>
    <w:p w14:paraId="66F0D9D2">
      <w:pPr>
        <w:pStyle w:val="29"/>
        <w:spacing w:line="600" w:lineRule="exact"/>
        <w:ind w:right="28" w:firstLine="548" w:firstLineChars="196"/>
        <w:rPr>
          <w:rFonts w:eastAsia="仿宋"/>
          <w:sz w:val="28"/>
          <w:szCs w:val="28"/>
        </w:rPr>
      </w:pPr>
      <w:r>
        <w:rPr>
          <w:rFonts w:eastAsia="仿宋"/>
          <w:sz w:val="28"/>
          <w:szCs w:val="28"/>
        </w:rPr>
        <w:t>坝楼村水源属于地下水型水源，是以机井形式开采地下水，</w:t>
      </w:r>
      <w:r>
        <w:rPr>
          <w:rFonts w:hint="eastAsia" w:eastAsia="仿宋"/>
          <w:sz w:val="28"/>
          <w:szCs w:val="28"/>
        </w:rPr>
        <w:t>机井</w:t>
      </w:r>
      <w:r>
        <w:rPr>
          <w:rFonts w:eastAsia="仿宋"/>
          <w:sz w:val="28"/>
          <w:szCs w:val="28"/>
        </w:rPr>
        <w:t>深</w:t>
      </w:r>
      <w:r>
        <w:rPr>
          <w:rFonts w:hint="eastAsia" w:eastAsia="仿宋"/>
          <w:sz w:val="28"/>
          <w:szCs w:val="28"/>
        </w:rPr>
        <w:t>180</w:t>
      </w:r>
      <w:r>
        <w:rPr>
          <w:rFonts w:eastAsia="仿宋"/>
          <w:sz w:val="28"/>
          <w:szCs w:val="28"/>
        </w:rPr>
        <w:t>m左右</w:t>
      </w:r>
      <w:r>
        <w:rPr>
          <w:rFonts w:hint="eastAsia" w:eastAsia="仿宋"/>
          <w:sz w:val="28"/>
          <w:szCs w:val="28"/>
        </w:rPr>
        <w:t>，</w:t>
      </w:r>
      <w:r>
        <w:rPr>
          <w:rFonts w:eastAsia="仿宋"/>
          <w:sz w:val="28"/>
          <w:szCs w:val="28"/>
        </w:rPr>
        <w:t>其取水点位于花溪区燕楼镇坝楼村，目前水质为《地下水质量标准》（GB/T 14848-2017）</w:t>
      </w:r>
      <w:r>
        <w:rPr>
          <w:rFonts w:hint="eastAsia" w:eastAsia="仿宋"/>
          <w:sz w:val="28"/>
          <w:szCs w:val="28"/>
        </w:rPr>
        <w:t>Ⅲ</w:t>
      </w:r>
      <w:r>
        <w:rPr>
          <w:rFonts w:eastAsia="仿宋"/>
          <w:sz w:val="28"/>
          <w:szCs w:val="28"/>
        </w:rPr>
        <w:t>类。</w:t>
      </w:r>
    </w:p>
    <w:p w14:paraId="597E248B">
      <w:pPr>
        <w:pStyle w:val="29"/>
        <w:spacing w:line="600" w:lineRule="exact"/>
        <w:ind w:right="28" w:firstLine="548" w:firstLineChars="196"/>
        <w:rPr>
          <w:rFonts w:eastAsia="仿宋"/>
          <w:sz w:val="28"/>
          <w:szCs w:val="28"/>
        </w:rPr>
      </w:pPr>
      <w:r>
        <w:rPr>
          <w:rFonts w:eastAsia="仿宋"/>
          <w:sz w:val="28"/>
          <w:szCs w:val="28"/>
        </w:rPr>
        <w:t>根据《花溪区</w:t>
      </w:r>
      <w:r>
        <w:rPr>
          <w:rFonts w:hint="eastAsia" w:eastAsia="仿宋"/>
          <w:sz w:val="28"/>
          <w:szCs w:val="28"/>
        </w:rPr>
        <w:t>千人以上集中式饮用水水源监管范围划分方案</w:t>
      </w:r>
      <w:r>
        <w:rPr>
          <w:rFonts w:eastAsia="仿宋"/>
          <w:sz w:val="28"/>
          <w:szCs w:val="28"/>
        </w:rPr>
        <w:t>》，花溪区燕楼镇坝楼村集中式饮用水水源监管范围总面积为0.0003km2。坝楼村</w:t>
      </w:r>
      <w:r>
        <w:rPr>
          <w:rFonts w:hint="eastAsia" w:eastAsia="仿宋"/>
          <w:sz w:val="28"/>
          <w:szCs w:val="28"/>
        </w:rPr>
        <w:t>水源监管范围</w:t>
      </w:r>
      <w:r>
        <w:rPr>
          <w:rFonts w:eastAsia="仿宋"/>
          <w:sz w:val="28"/>
          <w:szCs w:val="28"/>
        </w:rPr>
        <w:t>划分见附图47</w:t>
      </w:r>
      <w:r>
        <w:rPr>
          <w:rFonts w:hint="eastAsia" w:eastAsia="仿宋"/>
          <w:sz w:val="28"/>
          <w:szCs w:val="28"/>
        </w:rPr>
        <w:t>和</w:t>
      </w:r>
      <w:r>
        <w:rPr>
          <w:rFonts w:eastAsia="仿宋"/>
          <w:sz w:val="28"/>
          <w:szCs w:val="28"/>
        </w:rPr>
        <w:t>附图48。</w:t>
      </w:r>
    </w:p>
    <w:p w14:paraId="432B899F">
      <w:pPr>
        <w:pStyle w:val="3"/>
        <w:spacing w:before="120" w:after="120" w:line="560" w:lineRule="exact"/>
        <w:ind w:left="3759" w:hanging="3759"/>
        <w:rPr>
          <w:rFonts w:eastAsia="仿宋"/>
          <w:sz w:val="32"/>
        </w:rPr>
      </w:pPr>
      <w:bookmarkStart w:id="49" w:name="_Toc60930788"/>
      <w:r>
        <w:rPr>
          <w:rFonts w:eastAsia="仿宋"/>
          <w:sz w:val="32"/>
        </w:rPr>
        <w:t>2.25</w:t>
      </w:r>
      <w:r>
        <w:rPr>
          <w:rFonts w:hint="eastAsia" w:eastAsia="仿宋"/>
          <w:sz w:val="32"/>
        </w:rPr>
        <w:t>燕楼镇槐舟村集中式饮用水源</w:t>
      </w:r>
      <w:bookmarkEnd w:id="49"/>
    </w:p>
    <w:p w14:paraId="4919E7F7">
      <w:pPr>
        <w:pStyle w:val="29"/>
        <w:spacing w:line="600" w:lineRule="exact"/>
        <w:ind w:right="28" w:firstLine="548" w:firstLineChars="196"/>
        <w:rPr>
          <w:rFonts w:eastAsia="仿宋_GB2312"/>
          <w:sz w:val="32"/>
          <w:szCs w:val="32"/>
        </w:rPr>
      </w:pPr>
      <w:r>
        <w:rPr>
          <w:rFonts w:ascii="仿宋" w:hAnsi="仿宋" w:eastAsia="仿宋"/>
          <w:sz w:val="28"/>
        </w:rPr>
        <w:t>槐舟村水源</w:t>
      </w:r>
      <w:r>
        <w:rPr>
          <w:rFonts w:hint="eastAsia" w:ascii="仿宋" w:hAnsi="仿宋" w:eastAsia="仿宋"/>
          <w:sz w:val="28"/>
        </w:rPr>
        <w:t>有</w:t>
      </w:r>
      <w:r>
        <w:rPr>
          <w:rFonts w:ascii="仿宋" w:hAnsi="仿宋" w:eastAsia="仿宋"/>
          <w:sz w:val="28"/>
        </w:rPr>
        <w:t>两个取水点</w:t>
      </w:r>
      <w:r>
        <w:rPr>
          <w:rFonts w:hint="eastAsia" w:ascii="仿宋" w:hAnsi="仿宋" w:eastAsia="仿宋"/>
          <w:sz w:val="28"/>
        </w:rPr>
        <w:t>，</w:t>
      </w:r>
      <w:r>
        <w:rPr>
          <w:rFonts w:ascii="仿宋" w:hAnsi="仿宋" w:eastAsia="仿宋"/>
          <w:sz w:val="28"/>
        </w:rPr>
        <w:t>均位于花溪区燕楼镇槐舟村，</w:t>
      </w:r>
      <w:r>
        <w:rPr>
          <w:rFonts w:hint="eastAsia" w:ascii="仿宋" w:hAnsi="仿宋" w:eastAsia="仿宋"/>
          <w:sz w:val="28"/>
        </w:rPr>
        <w:t>两个取水点</w:t>
      </w:r>
      <w:r>
        <w:rPr>
          <w:rFonts w:ascii="仿宋" w:hAnsi="仿宋" w:eastAsia="仿宋"/>
          <w:sz w:val="28"/>
        </w:rPr>
        <w:t>距燕楼镇集镇</w:t>
      </w:r>
      <w:r>
        <w:rPr>
          <w:rFonts w:hint="eastAsia" w:ascii="仿宋" w:hAnsi="仿宋" w:eastAsia="仿宋"/>
          <w:sz w:val="28"/>
        </w:rPr>
        <w:t>约5.2</w:t>
      </w:r>
      <w:r>
        <w:rPr>
          <w:rFonts w:ascii="仿宋" w:hAnsi="仿宋" w:eastAsia="仿宋"/>
          <w:sz w:val="28"/>
        </w:rPr>
        <w:t>km，均属于地下水型水源，是燕楼镇槐舟村集中式饮用水水源。</w:t>
      </w:r>
      <w:r>
        <w:rPr>
          <w:rFonts w:hint="eastAsia" w:ascii="仿宋" w:hAnsi="仿宋" w:eastAsia="仿宋"/>
          <w:sz w:val="28"/>
        </w:rPr>
        <w:t>槐舟村H</w:t>
      </w:r>
      <w:r>
        <w:rPr>
          <w:rFonts w:ascii="仿宋" w:hAnsi="仿宋" w:eastAsia="仿宋"/>
          <w:sz w:val="28"/>
        </w:rPr>
        <w:t>1</w:t>
      </w:r>
      <w:r>
        <w:rPr>
          <w:rFonts w:hint="eastAsia" w:ascii="仿宋" w:hAnsi="仿宋" w:eastAsia="仿宋"/>
          <w:sz w:val="28"/>
        </w:rPr>
        <w:t>水源取水口</w:t>
      </w:r>
      <w:r>
        <w:rPr>
          <w:rFonts w:ascii="仿宋" w:hAnsi="仿宋" w:eastAsia="仿宋"/>
          <w:sz w:val="28"/>
        </w:rPr>
        <w:t>地理坐标为东经106°34'19.00"，北纬26°18'7.65"</w:t>
      </w:r>
      <w:r>
        <w:rPr>
          <w:rFonts w:hint="eastAsia" w:ascii="仿宋" w:hAnsi="仿宋" w:eastAsia="仿宋"/>
          <w:sz w:val="28"/>
        </w:rPr>
        <w:t>，槐舟村H</w:t>
      </w:r>
      <w:r>
        <w:rPr>
          <w:rFonts w:ascii="仿宋" w:hAnsi="仿宋" w:eastAsia="仿宋"/>
          <w:sz w:val="28"/>
        </w:rPr>
        <w:t>2</w:t>
      </w:r>
      <w:r>
        <w:rPr>
          <w:rFonts w:hint="eastAsia" w:ascii="仿宋" w:hAnsi="仿宋" w:eastAsia="仿宋"/>
          <w:sz w:val="28"/>
        </w:rPr>
        <w:t>水源取水口地理坐标为东经</w:t>
      </w:r>
      <w:r>
        <w:rPr>
          <w:rFonts w:ascii="仿宋" w:hAnsi="仿宋" w:eastAsia="仿宋"/>
          <w:sz w:val="28"/>
        </w:rPr>
        <w:t>106°34'14.82"</w:t>
      </w:r>
      <w:r>
        <w:rPr>
          <w:rFonts w:hint="eastAsia" w:ascii="仿宋" w:hAnsi="仿宋" w:eastAsia="仿宋"/>
          <w:sz w:val="28"/>
        </w:rPr>
        <w:t>，北纬</w:t>
      </w:r>
      <w:r>
        <w:rPr>
          <w:rFonts w:ascii="仿宋" w:hAnsi="仿宋" w:eastAsia="仿宋"/>
          <w:sz w:val="28"/>
        </w:rPr>
        <w:t>26°18'3.13"。槐舟村水源是燕楼镇槐舟村集中式饮用水水源，服务人口1800人，日均供水量100立方米，供水区域为槐舟村。</w:t>
      </w:r>
    </w:p>
    <w:p w14:paraId="6D5F223A">
      <w:pPr>
        <w:pStyle w:val="29"/>
        <w:spacing w:line="600" w:lineRule="exact"/>
        <w:ind w:right="28" w:firstLine="548" w:firstLineChars="196"/>
        <w:rPr>
          <w:rFonts w:ascii="仿宋" w:hAnsi="仿宋" w:eastAsia="仿宋"/>
          <w:sz w:val="28"/>
        </w:rPr>
      </w:pPr>
      <w:r>
        <w:rPr>
          <w:rFonts w:ascii="仿宋" w:hAnsi="仿宋" w:eastAsia="仿宋"/>
          <w:sz w:val="28"/>
        </w:rPr>
        <w:t>槐舟村</w:t>
      </w:r>
      <w:r>
        <w:rPr>
          <w:rFonts w:hint="eastAsia" w:ascii="仿宋" w:hAnsi="仿宋" w:eastAsia="仿宋"/>
          <w:sz w:val="28"/>
        </w:rPr>
        <w:t>H</w:t>
      </w:r>
      <w:r>
        <w:rPr>
          <w:rFonts w:ascii="仿宋" w:hAnsi="仿宋" w:eastAsia="仿宋"/>
          <w:sz w:val="28"/>
        </w:rPr>
        <w:t>1</w:t>
      </w:r>
      <w:r>
        <w:rPr>
          <w:rFonts w:hint="eastAsia" w:ascii="仿宋" w:hAnsi="仿宋" w:eastAsia="仿宋"/>
          <w:sz w:val="28"/>
        </w:rPr>
        <w:t>和H</w:t>
      </w:r>
      <w:r>
        <w:rPr>
          <w:rFonts w:ascii="仿宋" w:hAnsi="仿宋" w:eastAsia="仿宋"/>
          <w:sz w:val="28"/>
        </w:rPr>
        <w:t>2水源</w:t>
      </w:r>
      <w:r>
        <w:rPr>
          <w:rFonts w:hint="eastAsia" w:ascii="仿宋" w:hAnsi="仿宋" w:eastAsia="仿宋"/>
          <w:sz w:val="28"/>
        </w:rPr>
        <w:t>取水点照片见图2-</w:t>
      </w:r>
      <w:r>
        <w:rPr>
          <w:rFonts w:ascii="仿宋" w:hAnsi="仿宋" w:eastAsia="仿宋"/>
          <w:sz w:val="28"/>
        </w:rPr>
        <w:t>25</w:t>
      </w:r>
      <w:r>
        <w:rPr>
          <w:rFonts w:hint="eastAsia" w:ascii="仿宋" w:hAnsi="仿宋" w:eastAsia="仿宋"/>
          <w:sz w:val="28"/>
        </w:rPr>
        <w:t>和图2-2</w:t>
      </w:r>
      <w:r>
        <w:rPr>
          <w:rFonts w:ascii="仿宋" w:hAnsi="仿宋" w:eastAsia="仿宋"/>
          <w:sz w:val="28"/>
        </w:rPr>
        <w:t>6</w:t>
      </w:r>
      <w:r>
        <w:rPr>
          <w:rFonts w:hint="eastAsia" w:ascii="仿宋" w:hAnsi="仿宋" w:eastAsia="仿宋"/>
          <w:sz w:val="28"/>
        </w:rPr>
        <w:t>。</w:t>
      </w:r>
    </w:p>
    <w:p w14:paraId="078457EF">
      <w:pPr>
        <w:jc w:val="center"/>
        <w:rPr>
          <w:rFonts w:eastAsia="仿宋_GB2312"/>
          <w:spacing w:val="-8"/>
          <w:szCs w:val="21"/>
        </w:rPr>
      </w:pPr>
      <w:r>
        <w:rPr>
          <w:rFonts w:eastAsia="仿宋_GB2312"/>
          <w:spacing w:val="-8"/>
          <w:szCs w:val="21"/>
        </w:rPr>
        <w:drawing>
          <wp:inline distT="0" distB="0" distL="0" distR="0">
            <wp:extent cx="4373880" cy="2777490"/>
            <wp:effectExtent l="0" t="0" r="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4401660" cy="2795305"/>
                    </a:xfrm>
                    <a:prstGeom prst="rect">
                      <a:avLst/>
                    </a:prstGeom>
                    <a:noFill/>
                    <a:ln>
                      <a:noFill/>
                    </a:ln>
                  </pic:spPr>
                </pic:pic>
              </a:graphicData>
            </a:graphic>
          </wp:inline>
        </w:drawing>
      </w:r>
    </w:p>
    <w:p w14:paraId="5C187628">
      <w:pPr>
        <w:pStyle w:val="29"/>
        <w:ind w:right="28"/>
        <w:jc w:val="center"/>
        <w:rPr>
          <w:rFonts w:eastAsia="仿宋_GB2312"/>
          <w:spacing w:val="-8"/>
        </w:rPr>
      </w:pPr>
      <w:r>
        <w:rPr>
          <w:rFonts w:eastAsia="仿宋"/>
          <w:b/>
          <w:spacing w:val="-8"/>
        </w:rPr>
        <w:t xml:space="preserve">图2-25 </w:t>
      </w:r>
      <w:r>
        <w:rPr>
          <w:rFonts w:hint="eastAsia" w:eastAsia="仿宋"/>
          <w:b/>
          <w:spacing w:val="-8"/>
        </w:rPr>
        <w:t>槐舟村H</w:t>
      </w:r>
      <w:r>
        <w:rPr>
          <w:rFonts w:eastAsia="仿宋"/>
          <w:b/>
          <w:spacing w:val="-8"/>
        </w:rPr>
        <w:t>1</w:t>
      </w:r>
      <w:r>
        <w:rPr>
          <w:rFonts w:hint="eastAsia" w:eastAsia="仿宋"/>
          <w:b/>
          <w:spacing w:val="-8"/>
        </w:rPr>
        <w:t>水源</w:t>
      </w:r>
      <w:r>
        <w:rPr>
          <w:rFonts w:eastAsia="仿宋"/>
          <w:b/>
          <w:spacing w:val="-8"/>
        </w:rPr>
        <w:t>取水</w:t>
      </w:r>
      <w:r>
        <w:rPr>
          <w:rFonts w:hint="eastAsia" w:eastAsia="仿宋"/>
          <w:b/>
          <w:spacing w:val="-8"/>
        </w:rPr>
        <w:t>点</w:t>
      </w:r>
      <w:r>
        <w:rPr>
          <w:rFonts w:eastAsia="仿宋"/>
          <w:b/>
          <w:spacing w:val="-8"/>
        </w:rPr>
        <w:t>现场照片</w:t>
      </w:r>
    </w:p>
    <w:p w14:paraId="6A77F79B">
      <w:pPr>
        <w:jc w:val="center"/>
        <w:rPr>
          <w:rFonts w:eastAsia="仿宋_GB2312"/>
          <w:spacing w:val="-8"/>
          <w:szCs w:val="21"/>
        </w:rPr>
      </w:pPr>
      <w:r>
        <w:rPr>
          <w:rFonts w:eastAsia="仿宋_GB2312"/>
          <w:spacing w:val="-8"/>
          <w:szCs w:val="21"/>
        </w:rPr>
        <w:drawing>
          <wp:inline distT="0" distB="0" distL="0" distR="0">
            <wp:extent cx="4474845" cy="3167380"/>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4492426" cy="3179494"/>
                    </a:xfrm>
                    <a:prstGeom prst="rect">
                      <a:avLst/>
                    </a:prstGeom>
                    <a:noFill/>
                    <a:ln>
                      <a:noFill/>
                    </a:ln>
                  </pic:spPr>
                </pic:pic>
              </a:graphicData>
            </a:graphic>
          </wp:inline>
        </w:drawing>
      </w:r>
    </w:p>
    <w:p w14:paraId="26A9BB85">
      <w:pPr>
        <w:pStyle w:val="29"/>
        <w:ind w:right="28"/>
        <w:jc w:val="center"/>
        <w:rPr>
          <w:rFonts w:eastAsia="仿宋_GB2312"/>
          <w:spacing w:val="-8"/>
        </w:rPr>
      </w:pPr>
      <w:r>
        <w:rPr>
          <w:rFonts w:eastAsia="仿宋"/>
          <w:b/>
          <w:spacing w:val="-8"/>
        </w:rPr>
        <w:t xml:space="preserve">图2-26 </w:t>
      </w:r>
      <w:r>
        <w:rPr>
          <w:rFonts w:hint="eastAsia" w:eastAsia="仿宋"/>
          <w:b/>
          <w:spacing w:val="-8"/>
        </w:rPr>
        <w:t>槐舟村H</w:t>
      </w:r>
      <w:r>
        <w:rPr>
          <w:rFonts w:eastAsia="仿宋"/>
          <w:b/>
          <w:spacing w:val="-8"/>
        </w:rPr>
        <w:t>2</w:t>
      </w:r>
      <w:r>
        <w:rPr>
          <w:rFonts w:hint="eastAsia" w:eastAsia="仿宋"/>
          <w:b/>
          <w:spacing w:val="-8"/>
        </w:rPr>
        <w:t>水源</w:t>
      </w:r>
      <w:r>
        <w:rPr>
          <w:rFonts w:eastAsia="仿宋"/>
          <w:b/>
          <w:spacing w:val="-8"/>
        </w:rPr>
        <w:t>取水</w:t>
      </w:r>
      <w:r>
        <w:rPr>
          <w:rFonts w:hint="eastAsia" w:eastAsia="仿宋"/>
          <w:b/>
          <w:spacing w:val="-8"/>
        </w:rPr>
        <w:t>点</w:t>
      </w:r>
      <w:r>
        <w:rPr>
          <w:rFonts w:eastAsia="仿宋"/>
          <w:b/>
          <w:spacing w:val="-8"/>
        </w:rPr>
        <w:t>现场照片</w:t>
      </w:r>
    </w:p>
    <w:p w14:paraId="5DD7F142">
      <w:pPr>
        <w:pStyle w:val="29"/>
        <w:spacing w:line="600" w:lineRule="exact"/>
        <w:ind w:right="28" w:firstLine="548" w:firstLineChars="196"/>
        <w:rPr>
          <w:rFonts w:eastAsia="仿宋"/>
          <w:sz w:val="28"/>
          <w:szCs w:val="28"/>
        </w:rPr>
      </w:pPr>
      <w:r>
        <w:rPr>
          <w:rFonts w:hint="eastAsia" w:eastAsia="仿宋"/>
          <w:sz w:val="28"/>
          <w:szCs w:val="28"/>
        </w:rPr>
        <w:t>槐舟村水源属于地下水型水源，两个</w:t>
      </w:r>
      <w:r>
        <w:rPr>
          <w:rFonts w:eastAsia="仿宋"/>
          <w:sz w:val="28"/>
          <w:szCs w:val="28"/>
        </w:rPr>
        <w:t>取水点</w:t>
      </w:r>
      <w:r>
        <w:rPr>
          <w:rFonts w:hint="eastAsia" w:eastAsia="仿宋"/>
          <w:sz w:val="28"/>
          <w:szCs w:val="28"/>
        </w:rPr>
        <w:t>均位于燕楼镇槐舟村，</w:t>
      </w:r>
      <w:r>
        <w:rPr>
          <w:rFonts w:eastAsia="仿宋"/>
          <w:sz w:val="28"/>
          <w:szCs w:val="28"/>
        </w:rPr>
        <w:t>水源</w:t>
      </w:r>
      <w:r>
        <w:rPr>
          <w:rFonts w:hint="eastAsia" w:eastAsia="仿宋"/>
          <w:sz w:val="28"/>
          <w:szCs w:val="28"/>
        </w:rPr>
        <w:t>泵站位</w:t>
      </w:r>
      <w:r>
        <w:rPr>
          <w:rFonts w:eastAsia="仿宋"/>
          <w:sz w:val="28"/>
          <w:szCs w:val="28"/>
        </w:rPr>
        <w:t>于H1</w:t>
      </w:r>
      <w:r>
        <w:rPr>
          <w:rFonts w:hint="eastAsia" w:eastAsia="仿宋"/>
          <w:sz w:val="28"/>
          <w:szCs w:val="28"/>
        </w:rPr>
        <w:t>水源</w:t>
      </w:r>
      <w:r>
        <w:rPr>
          <w:rFonts w:eastAsia="仿宋"/>
          <w:sz w:val="28"/>
          <w:szCs w:val="28"/>
        </w:rPr>
        <w:t>旁，</w:t>
      </w:r>
      <w:r>
        <w:rPr>
          <w:rFonts w:hint="eastAsia" w:eastAsia="仿宋"/>
          <w:sz w:val="28"/>
          <w:szCs w:val="28"/>
        </w:rPr>
        <w:t>H</w:t>
      </w:r>
      <w:r>
        <w:rPr>
          <w:rFonts w:eastAsia="仿宋"/>
          <w:sz w:val="28"/>
          <w:szCs w:val="28"/>
        </w:rPr>
        <w:t>1</w:t>
      </w:r>
      <w:r>
        <w:rPr>
          <w:rFonts w:hint="eastAsia" w:eastAsia="仿宋"/>
          <w:sz w:val="28"/>
          <w:szCs w:val="28"/>
        </w:rPr>
        <w:t>、</w:t>
      </w:r>
      <w:r>
        <w:rPr>
          <w:rFonts w:eastAsia="仿宋"/>
          <w:sz w:val="28"/>
          <w:szCs w:val="28"/>
        </w:rPr>
        <w:t>H2</w:t>
      </w:r>
      <w:r>
        <w:rPr>
          <w:rFonts w:hint="eastAsia" w:eastAsia="仿宋"/>
          <w:sz w:val="28"/>
          <w:szCs w:val="28"/>
        </w:rPr>
        <w:t>水源均</w:t>
      </w:r>
      <w:r>
        <w:rPr>
          <w:rFonts w:eastAsia="仿宋"/>
          <w:sz w:val="28"/>
          <w:szCs w:val="28"/>
        </w:rPr>
        <w:t>通过自然引流至</w:t>
      </w:r>
      <w:r>
        <w:rPr>
          <w:rFonts w:hint="eastAsia" w:eastAsia="仿宋"/>
          <w:sz w:val="28"/>
          <w:szCs w:val="28"/>
        </w:rPr>
        <w:t>泵站</w:t>
      </w:r>
      <w:r>
        <w:rPr>
          <w:rFonts w:eastAsia="仿宋"/>
          <w:sz w:val="28"/>
          <w:szCs w:val="28"/>
        </w:rPr>
        <w:t>蓄水池</w:t>
      </w:r>
      <w:r>
        <w:rPr>
          <w:rFonts w:hint="eastAsia" w:eastAsia="仿宋"/>
          <w:sz w:val="28"/>
          <w:szCs w:val="28"/>
        </w:rPr>
        <w:t>。根据1:5综合万水文地质资料显示，该区地下水类型为岩溶裂隙网络型地下水，富水性弱，地下水径流模数小于3L/s.km</w:t>
      </w:r>
      <w:r>
        <w:rPr>
          <w:rFonts w:hint="eastAsia" w:eastAsia="仿宋"/>
          <w:sz w:val="28"/>
          <w:szCs w:val="28"/>
          <w:vertAlign w:val="superscript"/>
        </w:rPr>
        <w:t>2</w:t>
      </w:r>
      <w:r>
        <w:rPr>
          <w:rFonts w:hint="eastAsia" w:eastAsia="仿宋"/>
          <w:sz w:val="28"/>
          <w:szCs w:val="28"/>
        </w:rPr>
        <w:t>，地下水总体流向是由南流向北。通过现场调查并走访当地的村民，了解到H</w:t>
      </w:r>
      <w:r>
        <w:rPr>
          <w:rFonts w:eastAsia="仿宋"/>
          <w:sz w:val="28"/>
          <w:szCs w:val="28"/>
        </w:rPr>
        <w:t>1</w:t>
      </w:r>
      <w:r>
        <w:rPr>
          <w:rFonts w:hint="eastAsia" w:eastAsia="仿宋"/>
          <w:sz w:val="28"/>
          <w:szCs w:val="28"/>
        </w:rPr>
        <w:t>和</w:t>
      </w:r>
      <w:r>
        <w:rPr>
          <w:rFonts w:eastAsia="仿宋"/>
          <w:sz w:val="28"/>
          <w:szCs w:val="28"/>
        </w:rPr>
        <w:t>H2</w:t>
      </w:r>
      <w:r>
        <w:rPr>
          <w:rFonts w:hint="eastAsia" w:eastAsia="仿宋"/>
          <w:sz w:val="28"/>
          <w:szCs w:val="28"/>
        </w:rPr>
        <w:t>水源暴雨时水均不会出现浑浊，水量随季节变化小，说明该水源与地表联系相对</w:t>
      </w:r>
      <w:r>
        <w:rPr>
          <w:rFonts w:eastAsia="仿宋"/>
          <w:sz w:val="28"/>
          <w:szCs w:val="28"/>
        </w:rPr>
        <w:t>较</w:t>
      </w:r>
      <w:r>
        <w:rPr>
          <w:rFonts w:hint="eastAsia" w:eastAsia="仿宋"/>
          <w:sz w:val="28"/>
          <w:szCs w:val="28"/>
        </w:rPr>
        <w:t>少，目前水质为《地下水质量标准》（GB/T 14848-2017）Ⅲ类。</w:t>
      </w:r>
    </w:p>
    <w:p w14:paraId="6E4FAC9B">
      <w:pPr>
        <w:pStyle w:val="29"/>
        <w:spacing w:line="600" w:lineRule="exact"/>
        <w:ind w:right="28" w:firstLine="548" w:firstLineChars="196"/>
        <w:rPr>
          <w:rFonts w:eastAsia="仿宋"/>
          <w:sz w:val="28"/>
          <w:szCs w:val="28"/>
        </w:rPr>
      </w:pPr>
      <w:r>
        <w:rPr>
          <w:rFonts w:eastAsia="仿宋"/>
          <w:sz w:val="28"/>
          <w:szCs w:val="28"/>
        </w:rPr>
        <w:t>根据《花溪区</w:t>
      </w:r>
      <w:r>
        <w:rPr>
          <w:rFonts w:hint="eastAsia" w:eastAsia="仿宋"/>
          <w:sz w:val="28"/>
          <w:szCs w:val="28"/>
        </w:rPr>
        <w:t>千人以上集中式饮用水水源</w:t>
      </w:r>
      <w:r>
        <w:rPr>
          <w:rFonts w:eastAsia="仿宋"/>
          <w:sz w:val="28"/>
          <w:szCs w:val="28"/>
        </w:rPr>
        <w:t>监管范围划分方案》，花溪区燕楼镇槐舟村集中式饮用水水源监管范围总面积为0.0007km</w:t>
      </w:r>
      <w:r>
        <w:rPr>
          <w:rFonts w:eastAsia="仿宋"/>
          <w:sz w:val="28"/>
          <w:szCs w:val="28"/>
          <w:vertAlign w:val="superscript"/>
        </w:rPr>
        <w:t>2</w:t>
      </w:r>
      <w:r>
        <w:rPr>
          <w:rFonts w:eastAsia="仿宋"/>
          <w:sz w:val="28"/>
          <w:szCs w:val="28"/>
        </w:rPr>
        <w:t>,其中槐舟村H1水源监管范围0.0002km</w:t>
      </w:r>
      <w:r>
        <w:rPr>
          <w:rFonts w:eastAsia="仿宋"/>
          <w:sz w:val="28"/>
          <w:szCs w:val="28"/>
          <w:vertAlign w:val="superscript"/>
        </w:rPr>
        <w:t>2</w:t>
      </w:r>
      <w:r>
        <w:rPr>
          <w:rFonts w:eastAsia="仿宋"/>
          <w:sz w:val="28"/>
          <w:szCs w:val="28"/>
        </w:rPr>
        <w:t>，槐舟村H2水源监管范围0.0005km</w:t>
      </w:r>
      <w:r>
        <w:rPr>
          <w:rFonts w:eastAsia="仿宋"/>
          <w:sz w:val="28"/>
          <w:szCs w:val="28"/>
          <w:vertAlign w:val="superscript"/>
        </w:rPr>
        <w:t>2</w:t>
      </w:r>
      <w:r>
        <w:rPr>
          <w:rFonts w:eastAsia="仿宋"/>
          <w:sz w:val="28"/>
          <w:szCs w:val="28"/>
        </w:rPr>
        <w:t>。槐舟村水源监管范围划分见附图49和附图50。</w:t>
      </w:r>
    </w:p>
    <w:p w14:paraId="4866DE63">
      <w:pPr>
        <w:pStyle w:val="3"/>
        <w:spacing w:before="120" w:after="120" w:line="560" w:lineRule="exact"/>
        <w:ind w:left="3759" w:hanging="3759"/>
        <w:rPr>
          <w:rFonts w:eastAsia="仿宋"/>
          <w:sz w:val="32"/>
        </w:rPr>
      </w:pPr>
      <w:bookmarkStart w:id="50" w:name="_Toc60930789"/>
      <w:r>
        <w:rPr>
          <w:rFonts w:eastAsia="仿宋"/>
          <w:sz w:val="32"/>
        </w:rPr>
        <w:t>2.26</w:t>
      </w:r>
      <w:r>
        <w:rPr>
          <w:rFonts w:hint="eastAsia" w:eastAsia="仿宋"/>
          <w:sz w:val="32"/>
        </w:rPr>
        <w:t>燕楼镇新井村集中式饮用水源</w:t>
      </w:r>
      <w:bookmarkEnd w:id="50"/>
    </w:p>
    <w:p w14:paraId="5E5554FB">
      <w:pPr>
        <w:pStyle w:val="29"/>
        <w:spacing w:line="600" w:lineRule="exact"/>
        <w:ind w:right="28" w:firstLine="548" w:firstLineChars="196"/>
        <w:rPr>
          <w:rFonts w:ascii="仿宋" w:hAnsi="仿宋" w:eastAsia="仿宋"/>
          <w:sz w:val="28"/>
        </w:rPr>
      </w:pPr>
      <w:r>
        <w:rPr>
          <w:rFonts w:ascii="仿宋" w:hAnsi="仿宋" w:eastAsia="仿宋"/>
          <w:sz w:val="28"/>
        </w:rPr>
        <w:t>新井村水源位于花溪区燕楼镇新井村，距燕楼镇集镇</w:t>
      </w:r>
      <w:r>
        <w:rPr>
          <w:rFonts w:hint="eastAsia" w:ascii="仿宋" w:hAnsi="仿宋" w:eastAsia="仿宋"/>
          <w:sz w:val="28"/>
        </w:rPr>
        <w:t>5</w:t>
      </w:r>
      <w:r>
        <w:rPr>
          <w:rFonts w:ascii="仿宋" w:hAnsi="仿宋" w:eastAsia="仿宋"/>
          <w:sz w:val="28"/>
        </w:rPr>
        <w:t>.2km，属于地下水型水源，是花溪区燕楼镇</w:t>
      </w:r>
      <w:r>
        <w:rPr>
          <w:rFonts w:hint="eastAsia" w:ascii="仿宋" w:hAnsi="仿宋" w:eastAsia="仿宋"/>
          <w:sz w:val="28"/>
        </w:rPr>
        <w:t>同心村</w:t>
      </w:r>
      <w:r>
        <w:rPr>
          <w:rFonts w:ascii="仿宋" w:hAnsi="仿宋" w:eastAsia="仿宋"/>
          <w:sz w:val="28"/>
        </w:rPr>
        <w:t>集中式饮用水水源。水源取水点位于燕楼镇新井村，地理坐标为东经106°33'51.21"，北纬26°19'12.11"。新井村水源是燕楼镇</w:t>
      </w:r>
      <w:r>
        <w:rPr>
          <w:rFonts w:hint="eastAsia" w:ascii="仿宋" w:hAnsi="仿宋" w:eastAsia="仿宋"/>
          <w:sz w:val="28"/>
        </w:rPr>
        <w:t>同心村</w:t>
      </w:r>
      <w:r>
        <w:rPr>
          <w:rFonts w:ascii="仿宋" w:hAnsi="仿宋" w:eastAsia="仿宋"/>
          <w:sz w:val="28"/>
        </w:rPr>
        <w:t>集中式饮用水水源，服务人口1230人，日均供水量100立方米，供水区域为</w:t>
      </w:r>
      <w:r>
        <w:rPr>
          <w:rFonts w:hint="eastAsia" w:ascii="仿宋" w:hAnsi="仿宋" w:eastAsia="仿宋"/>
          <w:sz w:val="28"/>
        </w:rPr>
        <w:t>燕楼镇同心村一组、二组、三组、四组、五组、六组。新井</w:t>
      </w:r>
      <w:r>
        <w:rPr>
          <w:rFonts w:ascii="仿宋" w:hAnsi="仿宋" w:eastAsia="仿宋"/>
          <w:sz w:val="28"/>
        </w:rPr>
        <w:t>村水源</w:t>
      </w:r>
      <w:r>
        <w:rPr>
          <w:rFonts w:hint="eastAsia" w:ascii="仿宋" w:hAnsi="仿宋" w:eastAsia="仿宋"/>
          <w:sz w:val="28"/>
        </w:rPr>
        <w:t>取水点照片见图2-</w:t>
      </w:r>
      <w:r>
        <w:rPr>
          <w:rFonts w:ascii="仿宋" w:hAnsi="仿宋" w:eastAsia="仿宋"/>
          <w:sz w:val="28"/>
        </w:rPr>
        <w:t>27</w:t>
      </w:r>
      <w:r>
        <w:rPr>
          <w:rFonts w:hint="eastAsia" w:ascii="仿宋" w:hAnsi="仿宋" w:eastAsia="仿宋"/>
          <w:sz w:val="28"/>
        </w:rPr>
        <w:t>。</w:t>
      </w:r>
    </w:p>
    <w:p w14:paraId="01D21937">
      <w:pPr>
        <w:jc w:val="center"/>
        <w:rPr>
          <w:rFonts w:eastAsia="仿宋_GB2312"/>
          <w:spacing w:val="-8"/>
          <w:szCs w:val="21"/>
        </w:rPr>
      </w:pPr>
      <w:r>
        <w:rPr>
          <w:rFonts w:eastAsia="仿宋_GB2312"/>
          <w:spacing w:val="-8"/>
          <w:szCs w:val="21"/>
        </w:rPr>
        <w:drawing>
          <wp:inline distT="0" distB="0" distL="0" distR="0">
            <wp:extent cx="2663825" cy="1778000"/>
            <wp:effectExtent l="19050" t="19050" r="3175"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2677083" cy="1786799"/>
                    </a:xfrm>
                    <a:prstGeom prst="rect">
                      <a:avLst/>
                    </a:prstGeom>
                    <a:noFill/>
                    <a:ln w="12700" cmpd="sng">
                      <a:solidFill>
                        <a:schemeClr val="bg1">
                          <a:lumMod val="100000"/>
                          <a:lumOff val="0"/>
                        </a:schemeClr>
                      </a:solidFill>
                      <a:miter lim="800000"/>
                      <a:headEnd/>
                      <a:tailEnd/>
                    </a:ln>
                    <a:effectLst/>
                  </pic:spPr>
                </pic:pic>
              </a:graphicData>
            </a:graphic>
          </wp:inline>
        </w:drawing>
      </w:r>
      <w:r>
        <w:rPr>
          <w:rFonts w:eastAsia="仿宋_GB2312"/>
          <w:spacing w:val="-8"/>
          <w:szCs w:val="21"/>
        </w:rPr>
        <w:drawing>
          <wp:inline distT="0" distB="0" distL="0" distR="0">
            <wp:extent cx="2643505" cy="1764030"/>
            <wp:effectExtent l="19050" t="19050" r="4445" b="762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2645221" cy="1765532"/>
                    </a:xfrm>
                    <a:prstGeom prst="rect">
                      <a:avLst/>
                    </a:prstGeom>
                    <a:noFill/>
                    <a:ln w="12700" cmpd="sng">
                      <a:solidFill>
                        <a:schemeClr val="bg1">
                          <a:lumMod val="100000"/>
                          <a:lumOff val="0"/>
                        </a:schemeClr>
                      </a:solidFill>
                      <a:miter lim="800000"/>
                      <a:headEnd/>
                      <a:tailEnd/>
                    </a:ln>
                    <a:effectLst/>
                  </pic:spPr>
                </pic:pic>
              </a:graphicData>
            </a:graphic>
          </wp:inline>
        </w:drawing>
      </w:r>
    </w:p>
    <w:p w14:paraId="152ED6F7">
      <w:pPr>
        <w:pStyle w:val="29"/>
        <w:ind w:right="28"/>
        <w:jc w:val="center"/>
        <w:rPr>
          <w:rFonts w:eastAsia="仿宋_GB2312"/>
          <w:spacing w:val="-8"/>
        </w:rPr>
      </w:pPr>
      <w:r>
        <w:rPr>
          <w:rFonts w:eastAsia="仿宋"/>
          <w:b/>
          <w:spacing w:val="-8"/>
        </w:rPr>
        <w:t xml:space="preserve">图2-27 </w:t>
      </w:r>
      <w:r>
        <w:rPr>
          <w:rFonts w:hint="eastAsia" w:eastAsia="仿宋"/>
          <w:b/>
          <w:spacing w:val="-8"/>
        </w:rPr>
        <w:t>新井村水源</w:t>
      </w:r>
      <w:r>
        <w:rPr>
          <w:rFonts w:eastAsia="仿宋"/>
          <w:b/>
          <w:spacing w:val="-8"/>
        </w:rPr>
        <w:t>取水</w:t>
      </w:r>
      <w:r>
        <w:rPr>
          <w:rFonts w:hint="eastAsia" w:eastAsia="仿宋"/>
          <w:b/>
          <w:spacing w:val="-8"/>
        </w:rPr>
        <w:t>点</w:t>
      </w:r>
      <w:r>
        <w:rPr>
          <w:rFonts w:eastAsia="仿宋"/>
          <w:b/>
          <w:spacing w:val="-8"/>
        </w:rPr>
        <w:t>现场照片</w:t>
      </w:r>
    </w:p>
    <w:p w14:paraId="3B7BDD70">
      <w:pPr>
        <w:pStyle w:val="29"/>
        <w:spacing w:line="600" w:lineRule="exact"/>
        <w:ind w:right="28" w:firstLine="548" w:firstLineChars="196"/>
        <w:rPr>
          <w:rFonts w:eastAsia="仿宋"/>
          <w:sz w:val="28"/>
          <w:szCs w:val="28"/>
        </w:rPr>
      </w:pPr>
      <w:r>
        <w:rPr>
          <w:rFonts w:eastAsia="仿宋"/>
          <w:sz w:val="28"/>
          <w:szCs w:val="28"/>
        </w:rPr>
        <w:t>新井村水源属于地下水型水源，其取水点位于燕楼镇新井村。根据1:5综合万水文地质资料显示，该区地下水类型为岩溶裂隙网络型地下水，富水性弱，地下水径流模数小于3L/s.km</w:t>
      </w:r>
      <w:r>
        <w:rPr>
          <w:rFonts w:eastAsia="仿宋"/>
          <w:sz w:val="28"/>
          <w:szCs w:val="28"/>
          <w:vertAlign w:val="superscript"/>
        </w:rPr>
        <w:t>2</w:t>
      </w:r>
      <w:r>
        <w:rPr>
          <w:rFonts w:eastAsia="仿宋"/>
          <w:sz w:val="28"/>
          <w:szCs w:val="28"/>
        </w:rPr>
        <w:t>，地下水总体流向是由南流向北。通过现场调查并走访当地的村民，了解到该</w:t>
      </w:r>
      <w:r>
        <w:rPr>
          <w:rFonts w:ascii="仿宋" w:hAnsi="仿宋" w:eastAsia="仿宋"/>
          <w:sz w:val="28"/>
          <w:szCs w:val="28"/>
        </w:rPr>
        <w:t>水源暴雨时水不会出现浑浊，水量</w:t>
      </w:r>
      <w:r>
        <w:rPr>
          <w:rFonts w:hint="eastAsia" w:ascii="仿宋" w:hAnsi="仿宋" w:eastAsia="仿宋"/>
          <w:sz w:val="28"/>
          <w:szCs w:val="28"/>
        </w:rPr>
        <w:t>随</w:t>
      </w:r>
      <w:r>
        <w:rPr>
          <w:rFonts w:ascii="仿宋" w:hAnsi="仿宋" w:eastAsia="仿宋"/>
          <w:sz w:val="28"/>
          <w:szCs w:val="28"/>
        </w:rPr>
        <w:t>季节变化不大，说明该水源</w:t>
      </w:r>
      <w:r>
        <w:rPr>
          <w:rFonts w:hint="eastAsia" w:ascii="仿宋" w:hAnsi="仿宋" w:eastAsia="仿宋"/>
          <w:sz w:val="28"/>
          <w:szCs w:val="28"/>
        </w:rPr>
        <w:t>与</w:t>
      </w:r>
      <w:r>
        <w:rPr>
          <w:rFonts w:ascii="仿宋" w:hAnsi="仿宋" w:eastAsia="仿宋"/>
          <w:sz w:val="28"/>
          <w:szCs w:val="28"/>
        </w:rPr>
        <w:t>地表联系</w:t>
      </w:r>
      <w:r>
        <w:rPr>
          <w:rFonts w:hint="eastAsia" w:ascii="仿宋" w:hAnsi="仿宋" w:eastAsia="仿宋"/>
          <w:sz w:val="28"/>
          <w:szCs w:val="28"/>
        </w:rPr>
        <w:t>相对</w:t>
      </w:r>
      <w:r>
        <w:rPr>
          <w:rFonts w:ascii="仿宋" w:hAnsi="仿宋" w:eastAsia="仿宋"/>
          <w:sz w:val="28"/>
          <w:szCs w:val="28"/>
        </w:rPr>
        <w:t>较少</w:t>
      </w:r>
      <w:r>
        <w:rPr>
          <w:rFonts w:hint="eastAsia" w:ascii="仿宋" w:hAnsi="仿宋" w:eastAsia="仿宋"/>
          <w:sz w:val="28"/>
          <w:szCs w:val="28"/>
        </w:rPr>
        <w:t>，</w:t>
      </w:r>
      <w:r>
        <w:rPr>
          <w:rFonts w:ascii="仿宋" w:hAnsi="仿宋" w:eastAsia="仿宋"/>
          <w:sz w:val="28"/>
          <w:szCs w:val="28"/>
        </w:rPr>
        <w:t>目前水质为《地下水质量标准》（GB/T 14848-2017）</w:t>
      </w:r>
      <w:r>
        <w:rPr>
          <w:rFonts w:hint="eastAsia" w:ascii="仿宋" w:hAnsi="仿宋" w:eastAsia="仿宋"/>
          <w:sz w:val="28"/>
          <w:szCs w:val="28"/>
        </w:rPr>
        <w:t>Ⅲ</w:t>
      </w:r>
      <w:r>
        <w:rPr>
          <w:rFonts w:ascii="仿宋" w:hAnsi="仿宋" w:eastAsia="仿宋"/>
          <w:sz w:val="28"/>
          <w:szCs w:val="28"/>
        </w:rPr>
        <w:t>类。根据《花溪区</w:t>
      </w:r>
      <w:r>
        <w:rPr>
          <w:rFonts w:hint="eastAsia" w:ascii="仿宋" w:hAnsi="仿宋" w:eastAsia="仿宋"/>
          <w:sz w:val="28"/>
          <w:szCs w:val="28"/>
        </w:rPr>
        <w:t>千人以上集中式饮用水水</w:t>
      </w:r>
      <w:r>
        <w:rPr>
          <w:rFonts w:eastAsia="仿宋"/>
          <w:sz w:val="28"/>
          <w:szCs w:val="28"/>
        </w:rPr>
        <w:t>源监管范围划分方案》，花溪区燕楼镇新井村集中式饮用水水源监管范围总面积为0.0014km</w:t>
      </w:r>
      <w:r>
        <w:rPr>
          <w:rFonts w:eastAsia="仿宋"/>
          <w:sz w:val="28"/>
          <w:szCs w:val="28"/>
          <w:vertAlign w:val="superscript"/>
        </w:rPr>
        <w:t>2</w:t>
      </w:r>
      <w:r>
        <w:rPr>
          <w:rFonts w:eastAsia="仿宋"/>
          <w:sz w:val="28"/>
          <w:szCs w:val="28"/>
        </w:rPr>
        <w:t>。新井村水源监管范围划分见附图51和附图52。</w:t>
      </w:r>
    </w:p>
    <w:p w14:paraId="7BC5CD59">
      <w:pPr>
        <w:pStyle w:val="29"/>
        <w:spacing w:line="600" w:lineRule="exact"/>
        <w:ind w:right="28" w:firstLine="548" w:firstLineChars="196"/>
        <w:rPr>
          <w:rFonts w:eastAsia="仿宋"/>
          <w:sz w:val="28"/>
          <w:szCs w:val="28"/>
        </w:rPr>
      </w:pPr>
      <w:r>
        <w:rPr>
          <w:rFonts w:eastAsia="仿宋"/>
          <w:sz w:val="28"/>
          <w:szCs w:val="28"/>
        </w:rPr>
        <w:t>2.10-2.26中的17个千人以上水源地中，地下水型的集中式饮用水属于岩溶裂隙网络型地下水，暴雨不会出现浑浊现象，水量稳定，基本不受季节变化的影响，说明该水源埋藏较深且补给来源远，同时该水源上层地层具有一定的阻隔作用，相对于地表水型水源地来说保护条件较好，无居民居住和农事活动，生活污染和农业面源水源地风险小；赵司村赵司河、西门河及9855厂及盖冗村水源为地表水型水源外，在水源地开展规范化建设工作，保证水源地水质的安全，而且监管范围内居民相对少，生活污染和农业面源风险小。</w:t>
      </w:r>
    </w:p>
    <w:p w14:paraId="4A990372">
      <w:pPr>
        <w:pStyle w:val="3"/>
        <w:rPr>
          <w:rFonts w:eastAsia="仿宋"/>
          <w:sz w:val="32"/>
        </w:rPr>
      </w:pPr>
      <w:bookmarkStart w:id="51" w:name="_Toc60930790"/>
      <w:r>
        <w:rPr>
          <w:rFonts w:eastAsia="仿宋"/>
          <w:sz w:val="32"/>
        </w:rPr>
        <w:t>2.27现有应急能力调查评估</w:t>
      </w:r>
      <w:bookmarkEnd w:id="51"/>
    </w:p>
    <w:p w14:paraId="133F654F">
      <w:pPr>
        <w:pStyle w:val="4"/>
        <w:spacing w:before="120" w:after="120"/>
        <w:rPr>
          <w:rFonts w:eastAsia="仿宋"/>
          <w:sz w:val="28"/>
        </w:rPr>
      </w:pPr>
      <w:r>
        <w:rPr>
          <w:rFonts w:eastAsia="仿宋"/>
          <w:sz w:val="28"/>
        </w:rPr>
        <w:t>2.27.1现有防控措施</w:t>
      </w:r>
    </w:p>
    <w:p w14:paraId="2FFA8CB2">
      <w:pPr>
        <w:ind w:firstLine="480"/>
        <w:rPr>
          <w:rFonts w:eastAsia="仿宋"/>
          <w:sz w:val="28"/>
          <w:szCs w:val="28"/>
        </w:rPr>
      </w:pPr>
      <w:r>
        <w:rPr>
          <w:rFonts w:eastAsia="仿宋"/>
          <w:sz w:val="28"/>
          <w:szCs w:val="28"/>
        </w:rPr>
        <w:t>（1）标志牌及围网建设情况</w:t>
      </w:r>
    </w:p>
    <w:p w14:paraId="73BCBB46">
      <w:pPr>
        <w:ind w:firstLine="480"/>
        <w:rPr>
          <w:rFonts w:eastAsia="仿宋"/>
          <w:sz w:val="28"/>
          <w:szCs w:val="28"/>
        </w:rPr>
      </w:pPr>
      <w:r>
        <w:rPr>
          <w:rFonts w:hint="eastAsia" w:eastAsia="仿宋"/>
          <w:sz w:val="28"/>
          <w:szCs w:val="28"/>
        </w:rPr>
        <w:t>2</w:t>
      </w:r>
      <w:r>
        <w:rPr>
          <w:rFonts w:eastAsia="仿宋"/>
          <w:sz w:val="28"/>
          <w:szCs w:val="28"/>
        </w:rPr>
        <w:t>6</w:t>
      </w:r>
      <w:r>
        <w:rPr>
          <w:rFonts w:hint="eastAsia" w:eastAsia="仿宋"/>
          <w:sz w:val="28"/>
          <w:szCs w:val="28"/>
        </w:rPr>
        <w:t>个饮用水源地</w:t>
      </w:r>
      <w:r>
        <w:rPr>
          <w:rFonts w:eastAsia="仿宋"/>
          <w:sz w:val="28"/>
          <w:szCs w:val="28"/>
        </w:rPr>
        <w:t>保护区内的主要道路、地势明显地及一级保护区设置</w:t>
      </w:r>
      <w:r>
        <w:rPr>
          <w:rFonts w:hint="eastAsia" w:eastAsia="仿宋"/>
          <w:sz w:val="28"/>
          <w:szCs w:val="28"/>
        </w:rPr>
        <w:t>有</w:t>
      </w:r>
      <w:r>
        <w:rPr>
          <w:rFonts w:eastAsia="仿宋"/>
          <w:sz w:val="28"/>
          <w:szCs w:val="28"/>
        </w:rPr>
        <w:t>界标、交通警示牌和宣传牌等标识。在一级保护区周边人类活动频繁的区域设置</w:t>
      </w:r>
      <w:r>
        <w:rPr>
          <w:rFonts w:hint="eastAsia" w:eastAsia="仿宋"/>
          <w:sz w:val="28"/>
          <w:szCs w:val="28"/>
        </w:rPr>
        <w:t>有</w:t>
      </w:r>
      <w:r>
        <w:rPr>
          <w:rFonts w:eastAsia="仿宋"/>
          <w:sz w:val="28"/>
          <w:szCs w:val="28"/>
        </w:rPr>
        <w:t>隔离</w:t>
      </w:r>
      <w:r>
        <w:rPr>
          <w:rFonts w:hint="eastAsia" w:eastAsia="仿宋"/>
          <w:sz w:val="28"/>
          <w:szCs w:val="28"/>
        </w:rPr>
        <w:t>围网</w:t>
      </w:r>
      <w:r>
        <w:rPr>
          <w:rFonts w:eastAsia="仿宋"/>
          <w:sz w:val="28"/>
          <w:szCs w:val="28"/>
        </w:rPr>
        <w:t>防护设施</w:t>
      </w:r>
      <w:r>
        <w:rPr>
          <w:rFonts w:hint="eastAsia" w:eastAsia="仿宋"/>
          <w:sz w:val="28"/>
          <w:szCs w:val="28"/>
        </w:rPr>
        <w:t>，均已</w:t>
      </w:r>
      <w:r>
        <w:rPr>
          <w:rFonts w:eastAsia="仿宋"/>
          <w:sz w:val="28"/>
          <w:szCs w:val="28"/>
        </w:rPr>
        <w:t>完成标准化建设</w:t>
      </w:r>
      <w:r>
        <w:rPr>
          <w:rFonts w:hint="eastAsia" w:eastAsia="仿宋"/>
          <w:sz w:val="28"/>
          <w:szCs w:val="28"/>
        </w:rPr>
        <w:t>。</w:t>
      </w:r>
    </w:p>
    <w:p w14:paraId="3007B1D4">
      <w:pPr>
        <w:ind w:firstLine="480"/>
        <w:rPr>
          <w:rFonts w:eastAsia="仿宋"/>
          <w:sz w:val="28"/>
          <w:szCs w:val="28"/>
        </w:rPr>
      </w:pPr>
      <w:r>
        <w:rPr>
          <w:rFonts w:hint="eastAsia" w:eastAsia="仿宋"/>
          <w:sz w:val="28"/>
          <w:szCs w:val="28"/>
        </w:rPr>
        <w:t>2</w:t>
      </w:r>
      <w:r>
        <w:rPr>
          <w:rFonts w:eastAsia="仿宋"/>
          <w:sz w:val="28"/>
          <w:szCs w:val="28"/>
        </w:rPr>
        <w:t>6</w:t>
      </w:r>
      <w:r>
        <w:rPr>
          <w:rFonts w:hint="eastAsia" w:eastAsia="仿宋"/>
          <w:sz w:val="28"/>
          <w:szCs w:val="28"/>
        </w:rPr>
        <w:t>个饮用水源地</w:t>
      </w:r>
      <w:r>
        <w:rPr>
          <w:rFonts w:eastAsia="仿宋"/>
          <w:sz w:val="28"/>
          <w:szCs w:val="28"/>
        </w:rPr>
        <w:t>二级保护区内的部分主要道路、地势明显地及二级保护区</w:t>
      </w:r>
      <w:r>
        <w:rPr>
          <w:rFonts w:hint="eastAsia" w:eastAsia="仿宋"/>
          <w:sz w:val="28"/>
          <w:szCs w:val="28"/>
        </w:rPr>
        <w:t>、准保护区设置有</w:t>
      </w:r>
      <w:r>
        <w:rPr>
          <w:rFonts w:eastAsia="仿宋"/>
          <w:sz w:val="28"/>
          <w:szCs w:val="28"/>
        </w:rPr>
        <w:t>界标、交通警示牌和宣传牌等标识。在重点路段、人员集中的地方设置</w:t>
      </w:r>
      <w:r>
        <w:rPr>
          <w:rFonts w:hint="eastAsia" w:eastAsia="仿宋"/>
          <w:sz w:val="28"/>
          <w:szCs w:val="28"/>
        </w:rPr>
        <w:t>有</w:t>
      </w:r>
      <w:r>
        <w:rPr>
          <w:rFonts w:eastAsia="仿宋"/>
          <w:sz w:val="28"/>
          <w:szCs w:val="28"/>
        </w:rPr>
        <w:t>宣传牌等标识。</w:t>
      </w:r>
    </w:p>
    <w:p w14:paraId="3F1D31A6">
      <w:pPr>
        <w:ind w:firstLine="480"/>
        <w:rPr>
          <w:rFonts w:eastAsia="仿宋"/>
          <w:sz w:val="28"/>
          <w:szCs w:val="28"/>
        </w:rPr>
      </w:pPr>
      <w:r>
        <w:rPr>
          <w:rFonts w:eastAsia="仿宋"/>
          <w:sz w:val="28"/>
          <w:szCs w:val="28"/>
        </w:rPr>
        <w:t>（2）农业面源管理情况</w:t>
      </w:r>
    </w:p>
    <w:p w14:paraId="446ECA6E">
      <w:pPr>
        <w:ind w:firstLine="480"/>
        <w:rPr>
          <w:rFonts w:eastAsia="仿宋"/>
          <w:sz w:val="28"/>
          <w:szCs w:val="28"/>
        </w:rPr>
      </w:pPr>
      <w:r>
        <w:rPr>
          <w:rFonts w:eastAsia="仿宋"/>
          <w:sz w:val="28"/>
          <w:szCs w:val="28"/>
        </w:rPr>
        <w:t>对于饮用水水源地一级保护区内存在的农业耕地，目前尚未调整种植结构，尚未推广商品有机肥并采取杀虫灯、性诱剂、黄板、防虫网等综合防控措施。</w:t>
      </w:r>
    </w:p>
    <w:p w14:paraId="171BDD23">
      <w:pPr>
        <w:ind w:firstLine="480"/>
        <w:rPr>
          <w:rFonts w:eastAsia="仿宋"/>
          <w:sz w:val="28"/>
          <w:szCs w:val="28"/>
        </w:rPr>
      </w:pPr>
      <w:r>
        <w:rPr>
          <w:rFonts w:eastAsia="仿宋"/>
          <w:sz w:val="28"/>
          <w:szCs w:val="28"/>
        </w:rPr>
        <w:t>（2）监管情况</w:t>
      </w:r>
    </w:p>
    <w:p w14:paraId="3372B714">
      <w:pPr>
        <w:ind w:firstLine="480"/>
        <w:rPr>
          <w:rFonts w:eastAsia="仿宋"/>
          <w:sz w:val="28"/>
          <w:szCs w:val="28"/>
        </w:rPr>
      </w:pPr>
      <w:r>
        <w:rPr>
          <w:rFonts w:eastAsia="仿宋"/>
          <w:sz w:val="28"/>
          <w:szCs w:val="28"/>
        </w:rPr>
        <w:t>为加强对花溪区</w:t>
      </w:r>
      <w:r>
        <w:rPr>
          <w:rFonts w:hint="eastAsia" w:eastAsia="仿宋"/>
          <w:sz w:val="28"/>
          <w:szCs w:val="28"/>
        </w:rPr>
        <w:t>千人以上</w:t>
      </w:r>
      <w:r>
        <w:rPr>
          <w:rFonts w:eastAsia="仿宋"/>
          <w:sz w:val="28"/>
          <w:szCs w:val="28"/>
        </w:rPr>
        <w:t>集中式饮用水水源地保护，依据属地管理原则，花溪区</w:t>
      </w:r>
      <w:r>
        <w:rPr>
          <w:rFonts w:hint="eastAsia" w:eastAsia="仿宋"/>
          <w:sz w:val="28"/>
          <w:szCs w:val="28"/>
        </w:rPr>
        <w:t>千人以上</w:t>
      </w:r>
      <w:r>
        <w:rPr>
          <w:rFonts w:eastAsia="仿宋"/>
          <w:sz w:val="28"/>
          <w:szCs w:val="28"/>
        </w:rPr>
        <w:t>集中式饮用水水源地责任单位为花溪区人民政府。花溪区人民政府明确保护责任为贵阳市生态环境局花溪分局，加强监督检查，统筹兼顾，统一组织协调饮用水水源地环境保护工作。</w:t>
      </w:r>
    </w:p>
    <w:p w14:paraId="69102B57">
      <w:pPr>
        <w:ind w:firstLine="480"/>
        <w:rPr>
          <w:rFonts w:eastAsia="仿宋"/>
          <w:sz w:val="28"/>
          <w:szCs w:val="28"/>
        </w:rPr>
      </w:pPr>
      <w:r>
        <w:rPr>
          <w:rFonts w:eastAsia="仿宋"/>
          <w:sz w:val="28"/>
          <w:szCs w:val="28"/>
        </w:rPr>
        <w:t>（3）监测情况</w:t>
      </w:r>
    </w:p>
    <w:p w14:paraId="75066F45">
      <w:pPr>
        <w:ind w:firstLine="480"/>
        <w:rPr>
          <w:rFonts w:eastAsia="仿宋"/>
          <w:sz w:val="28"/>
          <w:szCs w:val="28"/>
        </w:rPr>
      </w:pPr>
      <w:r>
        <w:rPr>
          <w:rFonts w:eastAsia="仿宋"/>
          <w:sz w:val="28"/>
          <w:szCs w:val="28"/>
        </w:rPr>
        <w:t>目前委托第三方检测机构定期对各饮用水水源地点进行人工水质监测工作，监测项目包括《地表水环境质量标准》（GB3838-2002）规定的基本项目及补充项目。</w:t>
      </w:r>
    </w:p>
    <w:p w14:paraId="17D33FE4">
      <w:pPr>
        <w:pStyle w:val="4"/>
        <w:spacing w:before="120" w:after="120"/>
        <w:rPr>
          <w:rFonts w:eastAsia="仿宋"/>
          <w:sz w:val="28"/>
        </w:rPr>
      </w:pPr>
      <w:r>
        <w:rPr>
          <w:rFonts w:eastAsia="仿宋"/>
          <w:sz w:val="28"/>
        </w:rPr>
        <w:t>2.27.2应急体系</w:t>
      </w:r>
    </w:p>
    <w:p w14:paraId="0B7683B5">
      <w:pPr>
        <w:ind w:firstLine="480"/>
        <w:rPr>
          <w:rFonts w:eastAsia="仿宋"/>
          <w:sz w:val="28"/>
          <w:szCs w:val="28"/>
        </w:rPr>
      </w:pPr>
      <w:r>
        <w:rPr>
          <w:rFonts w:eastAsia="仿宋"/>
          <w:sz w:val="28"/>
          <w:szCs w:val="28"/>
        </w:rPr>
        <w:t>为保障</w:t>
      </w:r>
      <w:r>
        <w:rPr>
          <w:rFonts w:hint="eastAsia" w:eastAsia="仿宋"/>
          <w:sz w:val="28"/>
          <w:szCs w:val="28"/>
        </w:rPr>
        <w:t>花溪区</w:t>
      </w:r>
      <w:r>
        <w:rPr>
          <w:rFonts w:eastAsia="仿宋"/>
          <w:sz w:val="28"/>
          <w:szCs w:val="28"/>
        </w:rPr>
        <w:t>饮用水安全，提高应对重大突发环境事件能力，花溪区人民政府建立了</w:t>
      </w:r>
      <w:r>
        <w:rPr>
          <w:rFonts w:hint="eastAsia" w:eastAsia="仿宋"/>
          <w:sz w:val="28"/>
          <w:szCs w:val="28"/>
        </w:rPr>
        <w:t>贵阳市生态环境局花溪分局</w:t>
      </w:r>
      <w:r>
        <w:rPr>
          <w:rFonts w:eastAsia="仿宋"/>
          <w:sz w:val="28"/>
          <w:szCs w:val="28"/>
        </w:rPr>
        <w:t>、花溪区水务局、花溪区卫生健康局等部门应急联动机制，加强应急力量的协调配合，联合组织安全生产和环境应急保障工作。目前，未共同开展过应急处置的培训和演练。</w:t>
      </w:r>
    </w:p>
    <w:p w14:paraId="28CFED17">
      <w:pPr>
        <w:pStyle w:val="4"/>
        <w:spacing w:before="120" w:after="120"/>
        <w:rPr>
          <w:rFonts w:eastAsia="仿宋"/>
          <w:sz w:val="28"/>
        </w:rPr>
      </w:pPr>
      <w:r>
        <w:rPr>
          <w:rFonts w:eastAsia="仿宋"/>
          <w:sz w:val="28"/>
        </w:rPr>
        <w:t>2.27.3应急物资及应急设施</w:t>
      </w:r>
    </w:p>
    <w:p w14:paraId="513BF621">
      <w:pPr>
        <w:ind w:firstLine="482"/>
        <w:rPr>
          <w:rFonts w:eastAsia="仿宋"/>
          <w:sz w:val="28"/>
          <w:szCs w:val="28"/>
        </w:rPr>
      </w:pPr>
      <w:r>
        <w:rPr>
          <w:rFonts w:eastAsia="仿宋"/>
          <w:sz w:val="28"/>
          <w:szCs w:val="28"/>
        </w:rPr>
        <w:t>1、应急物资</w:t>
      </w:r>
    </w:p>
    <w:p w14:paraId="44041D88">
      <w:pPr>
        <w:ind w:firstLine="480"/>
        <w:rPr>
          <w:rFonts w:eastAsia="仿宋"/>
          <w:sz w:val="28"/>
          <w:szCs w:val="28"/>
        </w:rPr>
      </w:pPr>
      <w:r>
        <w:rPr>
          <w:rFonts w:eastAsia="仿宋"/>
          <w:sz w:val="28"/>
          <w:szCs w:val="28"/>
        </w:rPr>
        <w:t>（1）企业层级</w:t>
      </w:r>
    </w:p>
    <w:p w14:paraId="4938E214">
      <w:pPr>
        <w:ind w:firstLine="480"/>
        <w:rPr>
          <w:rFonts w:eastAsia="仿宋"/>
          <w:sz w:val="28"/>
          <w:szCs w:val="28"/>
        </w:rPr>
      </w:pPr>
      <w:r>
        <w:rPr>
          <w:rFonts w:eastAsia="仿宋"/>
          <w:sz w:val="28"/>
          <w:szCs w:val="28"/>
        </w:rPr>
        <w:t>根据调查，花溪区</w:t>
      </w:r>
      <w:r>
        <w:rPr>
          <w:rFonts w:hint="eastAsia" w:eastAsia="仿宋"/>
          <w:sz w:val="28"/>
          <w:szCs w:val="28"/>
        </w:rPr>
        <w:t>千人以上</w:t>
      </w:r>
      <w:r>
        <w:rPr>
          <w:rFonts w:eastAsia="仿宋"/>
          <w:sz w:val="28"/>
          <w:szCs w:val="28"/>
        </w:rPr>
        <w:t>饮用水水源地点保护区范围内</w:t>
      </w:r>
      <w:r>
        <w:rPr>
          <w:rFonts w:hint="eastAsia" w:eastAsia="仿宋"/>
          <w:sz w:val="28"/>
          <w:szCs w:val="28"/>
        </w:rPr>
        <w:t>除马铃乡、高坡乡</w:t>
      </w:r>
      <w:r>
        <w:rPr>
          <w:rFonts w:eastAsia="仿宋"/>
          <w:sz w:val="28"/>
          <w:szCs w:val="28"/>
        </w:rPr>
        <w:t>无工业企业，无企业应急物资可用</w:t>
      </w:r>
      <w:r>
        <w:rPr>
          <w:rFonts w:hint="eastAsia" w:eastAsia="仿宋"/>
          <w:sz w:val="28"/>
          <w:szCs w:val="28"/>
        </w:rPr>
        <w:t>，青岩镇、燕楼镇有</w:t>
      </w:r>
      <w:r>
        <w:rPr>
          <w:rFonts w:eastAsia="仿宋"/>
          <w:sz w:val="28"/>
          <w:szCs w:val="28"/>
        </w:rPr>
        <w:t>工业企业，</w:t>
      </w:r>
      <w:r>
        <w:rPr>
          <w:rFonts w:hint="eastAsia" w:eastAsia="仿宋"/>
          <w:sz w:val="28"/>
          <w:szCs w:val="28"/>
        </w:rPr>
        <w:t>同时</w:t>
      </w:r>
      <w:r>
        <w:rPr>
          <w:rFonts w:eastAsia="仿宋"/>
          <w:sz w:val="28"/>
          <w:szCs w:val="28"/>
        </w:rPr>
        <w:t>企业</w:t>
      </w:r>
      <w:r>
        <w:rPr>
          <w:rFonts w:hint="eastAsia" w:eastAsia="仿宋"/>
          <w:sz w:val="28"/>
          <w:szCs w:val="28"/>
        </w:rPr>
        <w:t>有</w:t>
      </w:r>
      <w:r>
        <w:rPr>
          <w:rFonts w:eastAsia="仿宋"/>
          <w:sz w:val="28"/>
          <w:szCs w:val="28"/>
        </w:rPr>
        <w:t>应急物资可用</w:t>
      </w:r>
      <w:r>
        <w:rPr>
          <w:rFonts w:hint="eastAsia" w:eastAsia="仿宋"/>
          <w:sz w:val="28"/>
          <w:szCs w:val="28"/>
        </w:rPr>
        <w:t>。</w:t>
      </w:r>
    </w:p>
    <w:p w14:paraId="0D0BC880">
      <w:pPr>
        <w:ind w:firstLine="480"/>
        <w:rPr>
          <w:rFonts w:eastAsia="仿宋"/>
          <w:sz w:val="28"/>
          <w:szCs w:val="28"/>
        </w:rPr>
      </w:pPr>
      <w:r>
        <w:rPr>
          <w:rFonts w:eastAsia="仿宋"/>
          <w:sz w:val="28"/>
          <w:szCs w:val="28"/>
        </w:rPr>
        <w:t>（2）政府层级</w:t>
      </w:r>
    </w:p>
    <w:p w14:paraId="3A349E87">
      <w:pPr>
        <w:ind w:firstLine="480"/>
        <w:rPr>
          <w:rFonts w:eastAsia="仿宋"/>
          <w:sz w:val="28"/>
          <w:szCs w:val="28"/>
        </w:rPr>
      </w:pPr>
      <w:r>
        <w:rPr>
          <w:rFonts w:hint="eastAsia" w:ascii="宋体" w:hAnsi="宋体" w:cs="宋体"/>
          <w:sz w:val="28"/>
          <w:szCs w:val="28"/>
        </w:rPr>
        <w:t>①</w:t>
      </w:r>
      <w:r>
        <w:rPr>
          <w:rFonts w:eastAsia="仿宋"/>
          <w:sz w:val="28"/>
          <w:szCs w:val="28"/>
        </w:rPr>
        <w:t>花溪区人民政府</w:t>
      </w:r>
    </w:p>
    <w:p w14:paraId="349FAE52">
      <w:pPr>
        <w:ind w:firstLine="560" w:firstLineChars="200"/>
        <w:rPr>
          <w:rFonts w:eastAsia="仿宋"/>
          <w:sz w:val="28"/>
          <w:szCs w:val="28"/>
        </w:rPr>
      </w:pPr>
      <w:r>
        <w:rPr>
          <w:rFonts w:eastAsia="仿宋"/>
          <w:sz w:val="28"/>
          <w:szCs w:val="28"/>
        </w:rPr>
        <w:t>目前，花溪区人民政府</w:t>
      </w:r>
      <w:r>
        <w:rPr>
          <w:rFonts w:hint="eastAsia" w:eastAsia="仿宋"/>
          <w:sz w:val="28"/>
          <w:szCs w:val="28"/>
        </w:rPr>
        <w:t>建有</w:t>
      </w:r>
      <w:r>
        <w:rPr>
          <w:rFonts w:eastAsia="仿宋"/>
          <w:sz w:val="28"/>
          <w:szCs w:val="28"/>
        </w:rPr>
        <w:t>应急物资库</w:t>
      </w:r>
      <w:r>
        <w:rPr>
          <w:rFonts w:hint="eastAsia" w:eastAsia="仿宋"/>
          <w:sz w:val="28"/>
          <w:szCs w:val="28"/>
        </w:rPr>
        <w:t>，设于贵阳市生态环境局花溪分局，除个人装备外，目前有轻质吸油棉（毡）50箱，ppp1/ppp2吸油毡5包。</w:t>
      </w:r>
    </w:p>
    <w:p w14:paraId="402261B7">
      <w:pPr>
        <w:ind w:firstLine="480"/>
        <w:rPr>
          <w:rFonts w:eastAsia="仿宋"/>
          <w:sz w:val="28"/>
          <w:szCs w:val="28"/>
        </w:rPr>
      </w:pPr>
      <w:r>
        <w:rPr>
          <w:rFonts w:hint="eastAsia" w:ascii="宋体" w:hAnsi="宋体" w:cs="宋体"/>
          <w:sz w:val="28"/>
          <w:szCs w:val="28"/>
        </w:rPr>
        <w:t>②</w:t>
      </w:r>
      <w:r>
        <w:rPr>
          <w:rFonts w:eastAsia="仿宋"/>
          <w:sz w:val="28"/>
          <w:szCs w:val="28"/>
        </w:rPr>
        <w:t>各行政机关</w:t>
      </w:r>
    </w:p>
    <w:p w14:paraId="7225D89E">
      <w:pPr>
        <w:ind w:firstLine="480"/>
        <w:rPr>
          <w:rFonts w:eastAsia="仿宋"/>
          <w:sz w:val="28"/>
          <w:szCs w:val="28"/>
        </w:rPr>
      </w:pPr>
      <w:r>
        <w:rPr>
          <w:rFonts w:eastAsia="仿宋"/>
          <w:sz w:val="28"/>
          <w:szCs w:val="28"/>
        </w:rPr>
        <w:t>目前，</w:t>
      </w:r>
      <w:r>
        <w:rPr>
          <w:rFonts w:hint="eastAsia" w:eastAsia="仿宋"/>
          <w:sz w:val="28"/>
          <w:szCs w:val="28"/>
        </w:rPr>
        <w:t>花溪区应急管理局、花溪区水务局和花溪区综合行政执法局均</w:t>
      </w:r>
      <w:r>
        <w:rPr>
          <w:rFonts w:eastAsia="仿宋"/>
          <w:sz w:val="28"/>
          <w:szCs w:val="28"/>
        </w:rPr>
        <w:t>建立应急物资保障机制，配备</w:t>
      </w:r>
      <w:r>
        <w:rPr>
          <w:rFonts w:hint="eastAsia" w:eastAsia="仿宋"/>
          <w:sz w:val="28"/>
          <w:szCs w:val="28"/>
        </w:rPr>
        <w:t>有</w:t>
      </w:r>
      <w:r>
        <w:rPr>
          <w:rFonts w:eastAsia="仿宋"/>
          <w:sz w:val="28"/>
          <w:szCs w:val="28"/>
        </w:rPr>
        <w:t>应急物资。</w:t>
      </w:r>
    </w:p>
    <w:p w14:paraId="78892FBE">
      <w:pPr>
        <w:pStyle w:val="12"/>
        <w:spacing w:beforeAutospacing="0" w:afterAutospacing="0"/>
        <w:ind w:firstLine="560"/>
        <w:jc w:val="both"/>
        <w:rPr>
          <w:rFonts w:eastAsia="仿宋"/>
          <w:kern w:val="2"/>
          <w:sz w:val="28"/>
          <w:szCs w:val="28"/>
        </w:rPr>
      </w:pPr>
      <w:r>
        <w:rPr>
          <w:rFonts w:eastAsia="仿宋"/>
          <w:kern w:val="2"/>
          <w:sz w:val="28"/>
          <w:szCs w:val="28"/>
        </w:rPr>
        <w:t>2、应急设施</w:t>
      </w:r>
    </w:p>
    <w:p w14:paraId="35E03BCF">
      <w:pPr>
        <w:pStyle w:val="12"/>
        <w:spacing w:beforeAutospacing="0" w:afterAutospacing="0"/>
        <w:ind w:firstLine="560"/>
        <w:jc w:val="both"/>
        <w:rPr>
          <w:rFonts w:eastAsia="仿宋"/>
          <w:kern w:val="2"/>
          <w:sz w:val="28"/>
          <w:szCs w:val="28"/>
        </w:rPr>
      </w:pPr>
      <w:r>
        <w:rPr>
          <w:rFonts w:eastAsia="仿宋"/>
          <w:kern w:val="2"/>
          <w:sz w:val="28"/>
          <w:szCs w:val="28"/>
        </w:rPr>
        <w:t>目前，花溪区</w:t>
      </w:r>
      <w:r>
        <w:rPr>
          <w:rFonts w:hint="eastAsia" w:eastAsia="仿宋"/>
          <w:kern w:val="2"/>
          <w:sz w:val="28"/>
          <w:szCs w:val="28"/>
        </w:rPr>
        <w:t>千人以上</w:t>
      </w:r>
      <w:r>
        <w:rPr>
          <w:rFonts w:eastAsia="仿宋"/>
          <w:kern w:val="2"/>
          <w:sz w:val="28"/>
          <w:szCs w:val="28"/>
        </w:rPr>
        <w:t>饮用水水源地保护区范围内未设置有任何应急设施。</w:t>
      </w:r>
    </w:p>
    <w:p w14:paraId="1B5A1B4C">
      <w:pPr>
        <w:ind w:firstLine="562" w:firstLineChars="200"/>
        <w:rPr>
          <w:rFonts w:eastAsia="仿宋"/>
        </w:rPr>
      </w:pPr>
      <w:bookmarkStart w:id="52" w:name="_Hlk47995059"/>
      <w:r>
        <w:rPr>
          <w:rFonts w:eastAsia="仿宋"/>
          <w:b/>
          <w:sz w:val="28"/>
          <w:szCs w:val="28"/>
        </w:rPr>
        <w:t>综上，花溪区目前的应急能力</w:t>
      </w:r>
      <w:r>
        <w:rPr>
          <w:rFonts w:hint="eastAsia" w:eastAsia="仿宋"/>
          <w:b/>
          <w:sz w:val="28"/>
          <w:szCs w:val="28"/>
        </w:rPr>
        <w:t>并未很</w:t>
      </w:r>
      <w:r>
        <w:rPr>
          <w:rFonts w:eastAsia="仿宋"/>
          <w:b/>
          <w:sz w:val="28"/>
          <w:szCs w:val="28"/>
        </w:rPr>
        <w:t>完善，建议花溪区人民政府或花溪区应急管理局以及贵阳市生态环境局花溪分局尽快完善应急物资库、应急设施的建设。</w:t>
      </w:r>
      <w:r>
        <w:rPr>
          <w:rFonts w:hint="eastAsia" w:eastAsia="仿宋"/>
          <w:b/>
          <w:sz w:val="28"/>
          <w:szCs w:val="28"/>
        </w:rPr>
        <w:t>具体应急物资储备目录和应急监测物资设施分别见表2-</w:t>
      </w:r>
      <w:r>
        <w:rPr>
          <w:rFonts w:eastAsia="仿宋"/>
          <w:b/>
          <w:sz w:val="28"/>
          <w:szCs w:val="28"/>
        </w:rPr>
        <w:t>2</w:t>
      </w:r>
      <w:r>
        <w:rPr>
          <w:rFonts w:hint="eastAsia" w:eastAsia="仿宋"/>
          <w:b/>
          <w:sz w:val="28"/>
          <w:szCs w:val="28"/>
        </w:rPr>
        <w:t>和表2-</w:t>
      </w:r>
      <w:r>
        <w:rPr>
          <w:rFonts w:eastAsia="仿宋"/>
          <w:b/>
          <w:sz w:val="28"/>
          <w:szCs w:val="28"/>
        </w:rPr>
        <w:t>3</w:t>
      </w:r>
      <w:r>
        <w:rPr>
          <w:rFonts w:hint="eastAsia" w:eastAsia="仿宋"/>
          <w:b/>
          <w:sz w:val="28"/>
          <w:szCs w:val="28"/>
        </w:rPr>
        <w:t>。</w:t>
      </w:r>
    </w:p>
    <w:p w14:paraId="623CE77C">
      <w:pPr>
        <w:rPr>
          <w:rFonts w:eastAsia="仿宋"/>
        </w:rPr>
      </w:pPr>
    </w:p>
    <w:p w14:paraId="718D3B7E">
      <w:pPr>
        <w:widowControl/>
        <w:spacing w:line="240" w:lineRule="auto"/>
        <w:jc w:val="center"/>
        <w:rPr>
          <w:rFonts w:eastAsia="仿宋"/>
        </w:rPr>
      </w:pPr>
      <w:r>
        <w:rPr>
          <w:rFonts w:eastAsia="仿宋"/>
        </w:rPr>
        <w:br w:type="page"/>
      </w:r>
      <w:r>
        <w:rPr>
          <w:rFonts w:hint="eastAsia" w:eastAsia="仿宋"/>
          <w:b/>
          <w:kern w:val="0"/>
          <w:sz w:val="21"/>
          <w:szCs w:val="21"/>
        </w:rPr>
        <w:t>表2-</w:t>
      </w:r>
      <w:r>
        <w:rPr>
          <w:rFonts w:eastAsia="仿宋"/>
          <w:b/>
          <w:kern w:val="0"/>
          <w:sz w:val="21"/>
          <w:szCs w:val="21"/>
        </w:rPr>
        <w:t xml:space="preserve">2  </w:t>
      </w:r>
      <w:r>
        <w:rPr>
          <w:rFonts w:hint="eastAsia" w:eastAsia="仿宋"/>
          <w:b/>
          <w:kern w:val="0"/>
          <w:sz w:val="21"/>
          <w:szCs w:val="21"/>
        </w:rPr>
        <w:t>花溪区千人以上</w:t>
      </w:r>
      <w:r>
        <w:rPr>
          <w:rFonts w:eastAsia="仿宋"/>
          <w:b/>
          <w:kern w:val="0"/>
          <w:sz w:val="21"/>
          <w:szCs w:val="21"/>
        </w:rPr>
        <w:t>集中式饮用水水源地应急物资储备目录</w:t>
      </w:r>
    </w:p>
    <w:tbl>
      <w:tblPr>
        <w:tblStyle w:val="14"/>
        <w:tblW w:w="84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3"/>
        <w:gridCol w:w="2246"/>
        <w:gridCol w:w="850"/>
        <w:gridCol w:w="851"/>
        <w:gridCol w:w="2528"/>
        <w:gridCol w:w="1134"/>
      </w:tblGrid>
      <w:tr w14:paraId="3B5713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863" w:type="dxa"/>
            <w:shd w:val="clear" w:color="auto" w:fill="auto"/>
            <w:noWrap/>
            <w:vAlign w:val="center"/>
          </w:tcPr>
          <w:p w14:paraId="1981627D">
            <w:pPr>
              <w:widowControl/>
              <w:spacing w:line="240" w:lineRule="auto"/>
              <w:jc w:val="center"/>
              <w:rPr>
                <w:rFonts w:eastAsia="仿宋"/>
                <w:b/>
                <w:kern w:val="0"/>
                <w:sz w:val="21"/>
                <w:szCs w:val="21"/>
              </w:rPr>
            </w:pPr>
            <w:r>
              <w:rPr>
                <w:rFonts w:eastAsia="仿宋"/>
                <w:b/>
                <w:kern w:val="0"/>
                <w:sz w:val="21"/>
                <w:szCs w:val="21"/>
              </w:rPr>
              <w:t>序号</w:t>
            </w:r>
          </w:p>
        </w:tc>
        <w:tc>
          <w:tcPr>
            <w:tcW w:w="2246" w:type="dxa"/>
            <w:shd w:val="clear" w:color="auto" w:fill="auto"/>
            <w:noWrap/>
            <w:vAlign w:val="center"/>
          </w:tcPr>
          <w:p w14:paraId="2F91EAC9">
            <w:pPr>
              <w:widowControl/>
              <w:spacing w:line="240" w:lineRule="auto"/>
              <w:jc w:val="center"/>
              <w:rPr>
                <w:rFonts w:eastAsia="仿宋"/>
                <w:b/>
                <w:kern w:val="0"/>
                <w:sz w:val="21"/>
                <w:szCs w:val="21"/>
              </w:rPr>
            </w:pPr>
            <w:r>
              <w:rPr>
                <w:rFonts w:hint="eastAsia" w:eastAsia="仿宋"/>
                <w:b/>
                <w:kern w:val="0"/>
                <w:sz w:val="21"/>
                <w:szCs w:val="21"/>
              </w:rPr>
              <w:t>物资</w:t>
            </w:r>
            <w:r>
              <w:rPr>
                <w:rFonts w:eastAsia="仿宋"/>
                <w:b/>
                <w:kern w:val="0"/>
                <w:sz w:val="21"/>
                <w:szCs w:val="21"/>
              </w:rPr>
              <w:t>名称</w:t>
            </w:r>
          </w:p>
        </w:tc>
        <w:tc>
          <w:tcPr>
            <w:tcW w:w="850" w:type="dxa"/>
            <w:shd w:val="clear" w:color="auto" w:fill="auto"/>
            <w:noWrap/>
            <w:vAlign w:val="center"/>
          </w:tcPr>
          <w:p w14:paraId="0D0FEE81">
            <w:pPr>
              <w:widowControl/>
              <w:spacing w:line="240" w:lineRule="auto"/>
              <w:jc w:val="center"/>
              <w:rPr>
                <w:rFonts w:eastAsia="仿宋"/>
                <w:b/>
                <w:kern w:val="0"/>
                <w:sz w:val="21"/>
                <w:szCs w:val="21"/>
              </w:rPr>
            </w:pPr>
            <w:r>
              <w:rPr>
                <w:rFonts w:eastAsia="仿宋"/>
                <w:b/>
                <w:kern w:val="0"/>
                <w:sz w:val="21"/>
                <w:szCs w:val="21"/>
              </w:rPr>
              <w:t>数量</w:t>
            </w:r>
          </w:p>
        </w:tc>
        <w:tc>
          <w:tcPr>
            <w:tcW w:w="851" w:type="dxa"/>
            <w:shd w:val="clear" w:color="auto" w:fill="auto"/>
            <w:noWrap/>
            <w:vAlign w:val="center"/>
          </w:tcPr>
          <w:p w14:paraId="0C3E2BE7">
            <w:pPr>
              <w:widowControl/>
              <w:spacing w:line="240" w:lineRule="auto"/>
              <w:jc w:val="center"/>
              <w:rPr>
                <w:rFonts w:eastAsia="仿宋"/>
                <w:b/>
                <w:kern w:val="0"/>
                <w:sz w:val="21"/>
                <w:szCs w:val="21"/>
              </w:rPr>
            </w:pPr>
            <w:r>
              <w:rPr>
                <w:rFonts w:eastAsia="仿宋"/>
                <w:b/>
                <w:kern w:val="0"/>
                <w:sz w:val="21"/>
                <w:szCs w:val="21"/>
              </w:rPr>
              <w:t>单位</w:t>
            </w:r>
          </w:p>
        </w:tc>
        <w:tc>
          <w:tcPr>
            <w:tcW w:w="2528" w:type="dxa"/>
            <w:shd w:val="clear" w:color="auto" w:fill="auto"/>
            <w:noWrap/>
            <w:vAlign w:val="center"/>
          </w:tcPr>
          <w:p w14:paraId="0F8BD9B2">
            <w:pPr>
              <w:widowControl/>
              <w:spacing w:line="240" w:lineRule="auto"/>
              <w:jc w:val="center"/>
              <w:rPr>
                <w:rFonts w:eastAsia="仿宋"/>
                <w:b/>
                <w:kern w:val="0"/>
                <w:sz w:val="21"/>
                <w:szCs w:val="21"/>
              </w:rPr>
            </w:pPr>
            <w:r>
              <w:rPr>
                <w:rFonts w:eastAsia="仿宋"/>
                <w:b/>
                <w:kern w:val="0"/>
                <w:sz w:val="21"/>
                <w:szCs w:val="21"/>
              </w:rPr>
              <w:t>功能</w:t>
            </w:r>
          </w:p>
        </w:tc>
        <w:tc>
          <w:tcPr>
            <w:tcW w:w="1134" w:type="dxa"/>
            <w:shd w:val="clear" w:color="auto" w:fill="auto"/>
            <w:noWrap/>
            <w:vAlign w:val="center"/>
          </w:tcPr>
          <w:p w14:paraId="12AB8D97">
            <w:pPr>
              <w:widowControl/>
              <w:spacing w:line="240" w:lineRule="auto"/>
              <w:jc w:val="center"/>
              <w:rPr>
                <w:rFonts w:eastAsia="仿宋"/>
                <w:b/>
                <w:kern w:val="0"/>
                <w:sz w:val="21"/>
                <w:szCs w:val="21"/>
              </w:rPr>
            </w:pPr>
            <w:r>
              <w:rPr>
                <w:rFonts w:eastAsia="仿宋"/>
                <w:b/>
                <w:kern w:val="0"/>
                <w:sz w:val="21"/>
                <w:szCs w:val="21"/>
              </w:rPr>
              <w:t>存放地点</w:t>
            </w:r>
          </w:p>
        </w:tc>
      </w:tr>
      <w:tr w14:paraId="070040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863" w:type="dxa"/>
            <w:shd w:val="clear" w:color="auto" w:fill="auto"/>
            <w:noWrap/>
            <w:vAlign w:val="center"/>
          </w:tcPr>
          <w:p w14:paraId="092226B0">
            <w:pPr>
              <w:widowControl/>
              <w:spacing w:line="240" w:lineRule="auto"/>
              <w:jc w:val="center"/>
              <w:rPr>
                <w:rFonts w:eastAsia="仿宋"/>
                <w:kern w:val="0"/>
                <w:sz w:val="22"/>
              </w:rPr>
            </w:pPr>
            <w:r>
              <w:rPr>
                <w:rFonts w:eastAsia="仿宋"/>
                <w:kern w:val="0"/>
                <w:sz w:val="22"/>
              </w:rPr>
              <w:t>1</w:t>
            </w:r>
          </w:p>
        </w:tc>
        <w:tc>
          <w:tcPr>
            <w:tcW w:w="2246" w:type="dxa"/>
            <w:shd w:val="clear" w:color="auto" w:fill="auto"/>
            <w:noWrap/>
            <w:vAlign w:val="center"/>
          </w:tcPr>
          <w:p w14:paraId="020F4CC0">
            <w:pPr>
              <w:widowControl/>
              <w:spacing w:line="240" w:lineRule="auto"/>
              <w:jc w:val="center"/>
              <w:rPr>
                <w:rFonts w:eastAsia="仿宋"/>
                <w:kern w:val="0"/>
                <w:sz w:val="22"/>
              </w:rPr>
            </w:pPr>
            <w:r>
              <w:rPr>
                <w:rFonts w:eastAsia="仿宋"/>
                <w:kern w:val="0"/>
                <w:sz w:val="22"/>
              </w:rPr>
              <w:t>塑胶手套</w:t>
            </w:r>
          </w:p>
        </w:tc>
        <w:tc>
          <w:tcPr>
            <w:tcW w:w="850" w:type="dxa"/>
            <w:shd w:val="clear" w:color="auto" w:fill="auto"/>
            <w:noWrap/>
            <w:vAlign w:val="center"/>
          </w:tcPr>
          <w:p w14:paraId="0250831A">
            <w:pPr>
              <w:widowControl/>
              <w:spacing w:line="240" w:lineRule="auto"/>
              <w:jc w:val="center"/>
              <w:rPr>
                <w:rFonts w:eastAsia="仿宋"/>
                <w:kern w:val="0"/>
                <w:sz w:val="22"/>
              </w:rPr>
            </w:pPr>
            <w:r>
              <w:rPr>
                <w:rFonts w:hint="eastAsia" w:eastAsia="仿宋"/>
                <w:kern w:val="0"/>
                <w:sz w:val="22"/>
              </w:rPr>
              <w:t>若干</w:t>
            </w:r>
          </w:p>
        </w:tc>
        <w:tc>
          <w:tcPr>
            <w:tcW w:w="851" w:type="dxa"/>
            <w:shd w:val="clear" w:color="auto" w:fill="auto"/>
            <w:noWrap/>
            <w:vAlign w:val="center"/>
          </w:tcPr>
          <w:p w14:paraId="5659D6D6">
            <w:pPr>
              <w:widowControl/>
              <w:spacing w:line="240" w:lineRule="auto"/>
              <w:jc w:val="center"/>
              <w:rPr>
                <w:rFonts w:eastAsia="仿宋"/>
                <w:kern w:val="0"/>
                <w:sz w:val="22"/>
              </w:rPr>
            </w:pPr>
            <w:r>
              <w:rPr>
                <w:rFonts w:eastAsia="仿宋"/>
                <w:kern w:val="0"/>
                <w:sz w:val="22"/>
              </w:rPr>
              <w:t>副</w:t>
            </w:r>
          </w:p>
        </w:tc>
        <w:tc>
          <w:tcPr>
            <w:tcW w:w="2528" w:type="dxa"/>
            <w:vMerge w:val="restart"/>
            <w:shd w:val="clear" w:color="auto" w:fill="auto"/>
            <w:noWrap/>
            <w:vAlign w:val="center"/>
          </w:tcPr>
          <w:p w14:paraId="59A31194">
            <w:pPr>
              <w:widowControl/>
              <w:spacing w:line="240" w:lineRule="auto"/>
              <w:jc w:val="center"/>
              <w:rPr>
                <w:rFonts w:eastAsia="仿宋"/>
                <w:kern w:val="0"/>
                <w:sz w:val="22"/>
              </w:rPr>
            </w:pPr>
            <w:r>
              <w:rPr>
                <w:rFonts w:hint="eastAsia" w:eastAsia="仿宋"/>
                <w:kern w:val="0"/>
                <w:sz w:val="22"/>
              </w:rPr>
              <w:t>安全</w:t>
            </w:r>
            <w:r>
              <w:rPr>
                <w:rFonts w:eastAsia="仿宋"/>
                <w:kern w:val="0"/>
                <w:sz w:val="22"/>
              </w:rPr>
              <w:t>防护</w:t>
            </w:r>
          </w:p>
        </w:tc>
        <w:tc>
          <w:tcPr>
            <w:tcW w:w="1134" w:type="dxa"/>
            <w:vMerge w:val="restart"/>
            <w:shd w:val="clear" w:color="auto" w:fill="auto"/>
            <w:noWrap/>
            <w:vAlign w:val="center"/>
          </w:tcPr>
          <w:p w14:paraId="7018B994">
            <w:pPr>
              <w:widowControl/>
              <w:spacing w:line="240" w:lineRule="auto"/>
              <w:jc w:val="center"/>
              <w:rPr>
                <w:rFonts w:eastAsia="仿宋"/>
                <w:kern w:val="0"/>
                <w:sz w:val="22"/>
              </w:rPr>
            </w:pPr>
            <w:r>
              <w:rPr>
                <w:rFonts w:eastAsia="仿宋"/>
                <w:kern w:val="0"/>
                <w:sz w:val="22"/>
              </w:rPr>
              <w:t>应急物资库</w:t>
            </w:r>
          </w:p>
        </w:tc>
      </w:tr>
      <w:tr w14:paraId="017DA8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863" w:type="dxa"/>
            <w:shd w:val="clear" w:color="auto" w:fill="auto"/>
            <w:noWrap/>
            <w:vAlign w:val="center"/>
          </w:tcPr>
          <w:p w14:paraId="04C6CB62">
            <w:pPr>
              <w:widowControl/>
              <w:spacing w:line="240" w:lineRule="auto"/>
              <w:jc w:val="center"/>
              <w:rPr>
                <w:rFonts w:eastAsia="仿宋"/>
                <w:kern w:val="0"/>
                <w:sz w:val="22"/>
              </w:rPr>
            </w:pPr>
            <w:r>
              <w:rPr>
                <w:rFonts w:eastAsia="仿宋"/>
                <w:kern w:val="0"/>
                <w:sz w:val="22"/>
              </w:rPr>
              <w:t>2</w:t>
            </w:r>
          </w:p>
        </w:tc>
        <w:tc>
          <w:tcPr>
            <w:tcW w:w="2246" w:type="dxa"/>
            <w:shd w:val="clear" w:color="auto" w:fill="auto"/>
            <w:noWrap/>
            <w:vAlign w:val="center"/>
          </w:tcPr>
          <w:p w14:paraId="61900AB2">
            <w:pPr>
              <w:widowControl/>
              <w:spacing w:line="240" w:lineRule="auto"/>
              <w:jc w:val="center"/>
              <w:rPr>
                <w:rFonts w:eastAsia="仿宋"/>
                <w:kern w:val="0"/>
                <w:sz w:val="22"/>
              </w:rPr>
            </w:pPr>
            <w:r>
              <w:rPr>
                <w:rFonts w:eastAsia="仿宋"/>
                <w:kern w:val="0"/>
                <w:sz w:val="22"/>
              </w:rPr>
              <w:t>雨衣</w:t>
            </w:r>
          </w:p>
        </w:tc>
        <w:tc>
          <w:tcPr>
            <w:tcW w:w="850" w:type="dxa"/>
            <w:shd w:val="clear" w:color="auto" w:fill="auto"/>
            <w:noWrap/>
            <w:vAlign w:val="center"/>
          </w:tcPr>
          <w:p w14:paraId="04A85C2E">
            <w:pPr>
              <w:widowControl/>
              <w:spacing w:line="240" w:lineRule="auto"/>
              <w:jc w:val="center"/>
              <w:rPr>
                <w:rFonts w:eastAsia="仿宋"/>
                <w:kern w:val="0"/>
                <w:sz w:val="22"/>
              </w:rPr>
            </w:pPr>
            <w:r>
              <w:rPr>
                <w:rFonts w:hint="eastAsia" w:eastAsia="仿宋"/>
                <w:kern w:val="0"/>
                <w:sz w:val="22"/>
              </w:rPr>
              <w:t>若干</w:t>
            </w:r>
          </w:p>
        </w:tc>
        <w:tc>
          <w:tcPr>
            <w:tcW w:w="851" w:type="dxa"/>
            <w:shd w:val="clear" w:color="auto" w:fill="auto"/>
            <w:noWrap/>
            <w:vAlign w:val="center"/>
          </w:tcPr>
          <w:p w14:paraId="0F737E26">
            <w:pPr>
              <w:widowControl/>
              <w:spacing w:line="240" w:lineRule="auto"/>
              <w:jc w:val="center"/>
              <w:rPr>
                <w:rFonts w:eastAsia="仿宋"/>
                <w:kern w:val="0"/>
                <w:sz w:val="22"/>
              </w:rPr>
            </w:pPr>
            <w:r>
              <w:rPr>
                <w:rFonts w:eastAsia="仿宋"/>
                <w:kern w:val="0"/>
                <w:sz w:val="22"/>
              </w:rPr>
              <w:t>件</w:t>
            </w:r>
          </w:p>
        </w:tc>
        <w:tc>
          <w:tcPr>
            <w:tcW w:w="2528" w:type="dxa"/>
            <w:vMerge w:val="continue"/>
            <w:vAlign w:val="center"/>
          </w:tcPr>
          <w:p w14:paraId="3E5D363A">
            <w:pPr>
              <w:widowControl/>
              <w:spacing w:line="240" w:lineRule="auto"/>
              <w:jc w:val="center"/>
              <w:rPr>
                <w:rFonts w:eastAsia="仿宋"/>
                <w:kern w:val="0"/>
                <w:sz w:val="22"/>
              </w:rPr>
            </w:pPr>
          </w:p>
        </w:tc>
        <w:tc>
          <w:tcPr>
            <w:tcW w:w="1134" w:type="dxa"/>
            <w:vMerge w:val="continue"/>
            <w:vAlign w:val="center"/>
          </w:tcPr>
          <w:p w14:paraId="1E1B44C1">
            <w:pPr>
              <w:widowControl/>
              <w:spacing w:line="240" w:lineRule="auto"/>
              <w:jc w:val="center"/>
              <w:rPr>
                <w:rFonts w:eastAsia="仿宋"/>
                <w:kern w:val="0"/>
                <w:sz w:val="22"/>
              </w:rPr>
            </w:pPr>
          </w:p>
        </w:tc>
      </w:tr>
      <w:tr w14:paraId="300613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863" w:type="dxa"/>
            <w:shd w:val="clear" w:color="auto" w:fill="auto"/>
            <w:noWrap/>
            <w:vAlign w:val="center"/>
          </w:tcPr>
          <w:p w14:paraId="5E48F67A">
            <w:pPr>
              <w:widowControl/>
              <w:spacing w:line="240" w:lineRule="auto"/>
              <w:jc w:val="center"/>
              <w:rPr>
                <w:rFonts w:eastAsia="仿宋"/>
                <w:kern w:val="0"/>
                <w:sz w:val="22"/>
              </w:rPr>
            </w:pPr>
            <w:r>
              <w:rPr>
                <w:rFonts w:eastAsia="仿宋"/>
                <w:kern w:val="0"/>
                <w:sz w:val="22"/>
              </w:rPr>
              <w:t>3</w:t>
            </w:r>
          </w:p>
        </w:tc>
        <w:tc>
          <w:tcPr>
            <w:tcW w:w="2246" w:type="dxa"/>
            <w:shd w:val="clear" w:color="auto" w:fill="auto"/>
            <w:noWrap/>
            <w:vAlign w:val="center"/>
          </w:tcPr>
          <w:p w14:paraId="645DB368">
            <w:pPr>
              <w:widowControl/>
              <w:spacing w:line="240" w:lineRule="auto"/>
              <w:jc w:val="center"/>
              <w:rPr>
                <w:rFonts w:eastAsia="仿宋"/>
                <w:kern w:val="0"/>
                <w:sz w:val="22"/>
              </w:rPr>
            </w:pPr>
            <w:r>
              <w:rPr>
                <w:rFonts w:eastAsia="仿宋"/>
                <w:kern w:val="0"/>
                <w:sz w:val="22"/>
              </w:rPr>
              <w:t>救生衣</w:t>
            </w:r>
          </w:p>
        </w:tc>
        <w:tc>
          <w:tcPr>
            <w:tcW w:w="850" w:type="dxa"/>
            <w:shd w:val="clear" w:color="auto" w:fill="auto"/>
            <w:noWrap/>
            <w:vAlign w:val="center"/>
          </w:tcPr>
          <w:p w14:paraId="4DC9993F">
            <w:pPr>
              <w:widowControl/>
              <w:spacing w:line="240" w:lineRule="auto"/>
              <w:jc w:val="center"/>
              <w:rPr>
                <w:rFonts w:eastAsia="仿宋"/>
                <w:kern w:val="0"/>
                <w:sz w:val="22"/>
              </w:rPr>
            </w:pPr>
            <w:r>
              <w:rPr>
                <w:rFonts w:hint="eastAsia" w:eastAsia="仿宋"/>
                <w:kern w:val="0"/>
                <w:sz w:val="22"/>
              </w:rPr>
              <w:t>若干</w:t>
            </w:r>
          </w:p>
        </w:tc>
        <w:tc>
          <w:tcPr>
            <w:tcW w:w="851" w:type="dxa"/>
            <w:shd w:val="clear" w:color="auto" w:fill="auto"/>
            <w:noWrap/>
            <w:vAlign w:val="center"/>
          </w:tcPr>
          <w:p w14:paraId="6DE6310D">
            <w:pPr>
              <w:widowControl/>
              <w:spacing w:line="240" w:lineRule="auto"/>
              <w:jc w:val="center"/>
              <w:rPr>
                <w:rFonts w:eastAsia="仿宋"/>
                <w:kern w:val="0"/>
                <w:sz w:val="22"/>
              </w:rPr>
            </w:pPr>
            <w:r>
              <w:rPr>
                <w:rFonts w:eastAsia="仿宋"/>
                <w:kern w:val="0"/>
                <w:sz w:val="22"/>
              </w:rPr>
              <w:t>件</w:t>
            </w:r>
          </w:p>
        </w:tc>
        <w:tc>
          <w:tcPr>
            <w:tcW w:w="2528" w:type="dxa"/>
            <w:vMerge w:val="continue"/>
            <w:vAlign w:val="center"/>
          </w:tcPr>
          <w:p w14:paraId="41476F79">
            <w:pPr>
              <w:widowControl/>
              <w:spacing w:line="240" w:lineRule="auto"/>
              <w:jc w:val="center"/>
              <w:rPr>
                <w:rFonts w:eastAsia="仿宋"/>
                <w:kern w:val="0"/>
                <w:sz w:val="22"/>
              </w:rPr>
            </w:pPr>
          </w:p>
        </w:tc>
        <w:tc>
          <w:tcPr>
            <w:tcW w:w="1134" w:type="dxa"/>
            <w:vMerge w:val="continue"/>
            <w:vAlign w:val="center"/>
          </w:tcPr>
          <w:p w14:paraId="3253D1DD">
            <w:pPr>
              <w:widowControl/>
              <w:spacing w:line="240" w:lineRule="auto"/>
              <w:jc w:val="center"/>
              <w:rPr>
                <w:rFonts w:eastAsia="仿宋"/>
                <w:kern w:val="0"/>
                <w:sz w:val="22"/>
              </w:rPr>
            </w:pPr>
          </w:p>
        </w:tc>
      </w:tr>
      <w:tr w14:paraId="64FB43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863" w:type="dxa"/>
            <w:shd w:val="clear" w:color="auto" w:fill="auto"/>
            <w:noWrap/>
            <w:vAlign w:val="center"/>
          </w:tcPr>
          <w:p w14:paraId="5D3798E4">
            <w:pPr>
              <w:widowControl/>
              <w:spacing w:line="240" w:lineRule="auto"/>
              <w:jc w:val="center"/>
              <w:rPr>
                <w:rFonts w:eastAsia="仿宋"/>
                <w:kern w:val="0"/>
                <w:sz w:val="22"/>
              </w:rPr>
            </w:pPr>
            <w:r>
              <w:rPr>
                <w:rFonts w:eastAsia="仿宋"/>
                <w:kern w:val="0"/>
                <w:sz w:val="22"/>
              </w:rPr>
              <w:t>4</w:t>
            </w:r>
          </w:p>
        </w:tc>
        <w:tc>
          <w:tcPr>
            <w:tcW w:w="2246" w:type="dxa"/>
            <w:shd w:val="clear" w:color="auto" w:fill="auto"/>
            <w:noWrap/>
            <w:vAlign w:val="center"/>
          </w:tcPr>
          <w:p w14:paraId="5A12AFFF">
            <w:pPr>
              <w:widowControl/>
              <w:spacing w:line="240" w:lineRule="auto"/>
              <w:jc w:val="center"/>
              <w:rPr>
                <w:rFonts w:eastAsia="仿宋"/>
                <w:kern w:val="0"/>
                <w:sz w:val="22"/>
              </w:rPr>
            </w:pPr>
            <w:r>
              <w:rPr>
                <w:rFonts w:eastAsia="仿宋"/>
                <w:kern w:val="0"/>
                <w:sz w:val="22"/>
              </w:rPr>
              <w:t>雨鞋</w:t>
            </w:r>
          </w:p>
        </w:tc>
        <w:tc>
          <w:tcPr>
            <w:tcW w:w="850" w:type="dxa"/>
            <w:shd w:val="clear" w:color="auto" w:fill="auto"/>
            <w:noWrap/>
            <w:vAlign w:val="center"/>
          </w:tcPr>
          <w:p w14:paraId="272342DB">
            <w:pPr>
              <w:widowControl/>
              <w:spacing w:line="240" w:lineRule="auto"/>
              <w:jc w:val="center"/>
              <w:rPr>
                <w:rFonts w:eastAsia="仿宋"/>
                <w:kern w:val="0"/>
                <w:sz w:val="22"/>
              </w:rPr>
            </w:pPr>
            <w:r>
              <w:rPr>
                <w:rFonts w:hint="eastAsia" w:eastAsia="仿宋"/>
                <w:kern w:val="0"/>
                <w:sz w:val="22"/>
              </w:rPr>
              <w:t>若干</w:t>
            </w:r>
          </w:p>
        </w:tc>
        <w:tc>
          <w:tcPr>
            <w:tcW w:w="851" w:type="dxa"/>
            <w:shd w:val="clear" w:color="auto" w:fill="auto"/>
            <w:noWrap/>
            <w:vAlign w:val="center"/>
          </w:tcPr>
          <w:p w14:paraId="3CBC5DC9">
            <w:pPr>
              <w:widowControl/>
              <w:spacing w:line="240" w:lineRule="auto"/>
              <w:jc w:val="center"/>
              <w:rPr>
                <w:rFonts w:eastAsia="仿宋"/>
                <w:kern w:val="0"/>
                <w:sz w:val="22"/>
              </w:rPr>
            </w:pPr>
            <w:r>
              <w:rPr>
                <w:rFonts w:eastAsia="仿宋"/>
                <w:kern w:val="0"/>
                <w:sz w:val="22"/>
              </w:rPr>
              <w:t>双</w:t>
            </w:r>
          </w:p>
        </w:tc>
        <w:tc>
          <w:tcPr>
            <w:tcW w:w="2528" w:type="dxa"/>
            <w:vMerge w:val="continue"/>
            <w:vAlign w:val="center"/>
          </w:tcPr>
          <w:p w14:paraId="26DC7BDF">
            <w:pPr>
              <w:widowControl/>
              <w:spacing w:line="240" w:lineRule="auto"/>
              <w:jc w:val="center"/>
              <w:rPr>
                <w:rFonts w:eastAsia="仿宋"/>
                <w:kern w:val="0"/>
                <w:sz w:val="22"/>
              </w:rPr>
            </w:pPr>
          </w:p>
        </w:tc>
        <w:tc>
          <w:tcPr>
            <w:tcW w:w="1134" w:type="dxa"/>
            <w:vMerge w:val="continue"/>
            <w:vAlign w:val="center"/>
          </w:tcPr>
          <w:p w14:paraId="28B1B7C9">
            <w:pPr>
              <w:widowControl/>
              <w:spacing w:line="240" w:lineRule="auto"/>
              <w:jc w:val="center"/>
              <w:rPr>
                <w:rFonts w:eastAsia="仿宋"/>
                <w:kern w:val="0"/>
                <w:sz w:val="22"/>
              </w:rPr>
            </w:pPr>
          </w:p>
        </w:tc>
      </w:tr>
      <w:tr w14:paraId="47E6DA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863" w:type="dxa"/>
            <w:shd w:val="clear" w:color="auto" w:fill="auto"/>
            <w:noWrap/>
            <w:vAlign w:val="center"/>
          </w:tcPr>
          <w:p w14:paraId="478057A6">
            <w:pPr>
              <w:widowControl/>
              <w:spacing w:line="240" w:lineRule="auto"/>
              <w:jc w:val="center"/>
              <w:rPr>
                <w:rFonts w:eastAsia="仿宋"/>
                <w:kern w:val="0"/>
                <w:sz w:val="22"/>
              </w:rPr>
            </w:pPr>
            <w:r>
              <w:rPr>
                <w:rFonts w:eastAsia="仿宋"/>
                <w:kern w:val="0"/>
                <w:sz w:val="22"/>
              </w:rPr>
              <w:t>5</w:t>
            </w:r>
          </w:p>
        </w:tc>
        <w:tc>
          <w:tcPr>
            <w:tcW w:w="2246" w:type="dxa"/>
            <w:shd w:val="clear" w:color="auto" w:fill="auto"/>
            <w:noWrap/>
            <w:vAlign w:val="center"/>
          </w:tcPr>
          <w:p w14:paraId="557C21B3">
            <w:pPr>
              <w:widowControl/>
              <w:spacing w:line="240" w:lineRule="auto"/>
              <w:jc w:val="center"/>
              <w:rPr>
                <w:rFonts w:eastAsia="仿宋"/>
                <w:kern w:val="0"/>
                <w:sz w:val="22"/>
              </w:rPr>
            </w:pPr>
            <w:r>
              <w:rPr>
                <w:rFonts w:eastAsia="仿宋"/>
                <w:kern w:val="0"/>
                <w:sz w:val="22"/>
              </w:rPr>
              <w:t>口罩</w:t>
            </w:r>
          </w:p>
        </w:tc>
        <w:tc>
          <w:tcPr>
            <w:tcW w:w="850" w:type="dxa"/>
            <w:shd w:val="clear" w:color="auto" w:fill="auto"/>
            <w:noWrap/>
            <w:vAlign w:val="center"/>
          </w:tcPr>
          <w:p w14:paraId="4FCFA075">
            <w:pPr>
              <w:widowControl/>
              <w:spacing w:line="240" w:lineRule="auto"/>
              <w:jc w:val="center"/>
              <w:rPr>
                <w:rFonts w:eastAsia="仿宋"/>
                <w:kern w:val="0"/>
                <w:sz w:val="22"/>
              </w:rPr>
            </w:pPr>
            <w:r>
              <w:rPr>
                <w:rFonts w:hint="eastAsia" w:eastAsia="仿宋"/>
                <w:kern w:val="0"/>
                <w:sz w:val="22"/>
              </w:rPr>
              <w:t>若干</w:t>
            </w:r>
          </w:p>
        </w:tc>
        <w:tc>
          <w:tcPr>
            <w:tcW w:w="851" w:type="dxa"/>
            <w:shd w:val="clear" w:color="auto" w:fill="auto"/>
            <w:noWrap/>
            <w:vAlign w:val="center"/>
          </w:tcPr>
          <w:p w14:paraId="54862EF9">
            <w:pPr>
              <w:widowControl/>
              <w:spacing w:line="240" w:lineRule="auto"/>
              <w:jc w:val="center"/>
              <w:rPr>
                <w:rFonts w:eastAsia="仿宋"/>
                <w:kern w:val="0"/>
                <w:sz w:val="22"/>
              </w:rPr>
            </w:pPr>
            <w:r>
              <w:rPr>
                <w:rFonts w:eastAsia="仿宋"/>
                <w:kern w:val="0"/>
                <w:sz w:val="22"/>
              </w:rPr>
              <w:t>副</w:t>
            </w:r>
          </w:p>
        </w:tc>
        <w:tc>
          <w:tcPr>
            <w:tcW w:w="2528" w:type="dxa"/>
            <w:vMerge w:val="continue"/>
            <w:vAlign w:val="center"/>
          </w:tcPr>
          <w:p w14:paraId="1E5209BF">
            <w:pPr>
              <w:widowControl/>
              <w:spacing w:line="240" w:lineRule="auto"/>
              <w:jc w:val="center"/>
              <w:rPr>
                <w:rFonts w:eastAsia="仿宋"/>
                <w:kern w:val="0"/>
                <w:sz w:val="22"/>
              </w:rPr>
            </w:pPr>
          </w:p>
        </w:tc>
        <w:tc>
          <w:tcPr>
            <w:tcW w:w="1134" w:type="dxa"/>
            <w:vMerge w:val="continue"/>
            <w:vAlign w:val="center"/>
          </w:tcPr>
          <w:p w14:paraId="1EE083EA">
            <w:pPr>
              <w:widowControl/>
              <w:spacing w:line="240" w:lineRule="auto"/>
              <w:jc w:val="center"/>
              <w:rPr>
                <w:rFonts w:eastAsia="仿宋"/>
                <w:kern w:val="0"/>
                <w:sz w:val="22"/>
              </w:rPr>
            </w:pPr>
          </w:p>
        </w:tc>
      </w:tr>
      <w:tr w14:paraId="53EB5B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863" w:type="dxa"/>
            <w:shd w:val="clear" w:color="auto" w:fill="auto"/>
            <w:noWrap/>
            <w:vAlign w:val="center"/>
          </w:tcPr>
          <w:p w14:paraId="24635BA5">
            <w:pPr>
              <w:widowControl/>
              <w:spacing w:line="240" w:lineRule="auto"/>
              <w:jc w:val="center"/>
              <w:rPr>
                <w:rFonts w:eastAsia="仿宋"/>
                <w:kern w:val="0"/>
                <w:sz w:val="22"/>
              </w:rPr>
            </w:pPr>
            <w:r>
              <w:rPr>
                <w:rFonts w:eastAsia="仿宋"/>
                <w:kern w:val="0"/>
                <w:sz w:val="22"/>
              </w:rPr>
              <w:t>6</w:t>
            </w:r>
          </w:p>
        </w:tc>
        <w:tc>
          <w:tcPr>
            <w:tcW w:w="2246" w:type="dxa"/>
            <w:shd w:val="clear" w:color="auto" w:fill="auto"/>
            <w:noWrap/>
            <w:vAlign w:val="center"/>
          </w:tcPr>
          <w:p w14:paraId="3BBE64CB">
            <w:pPr>
              <w:widowControl/>
              <w:spacing w:line="240" w:lineRule="auto"/>
              <w:jc w:val="center"/>
              <w:rPr>
                <w:rFonts w:eastAsia="仿宋"/>
                <w:kern w:val="0"/>
                <w:sz w:val="22"/>
              </w:rPr>
            </w:pPr>
            <w:r>
              <w:rPr>
                <w:rFonts w:eastAsia="仿宋"/>
                <w:kern w:val="0"/>
                <w:sz w:val="22"/>
              </w:rPr>
              <w:t>密眼渔网兜</w:t>
            </w:r>
          </w:p>
        </w:tc>
        <w:tc>
          <w:tcPr>
            <w:tcW w:w="850" w:type="dxa"/>
            <w:shd w:val="clear" w:color="auto" w:fill="auto"/>
            <w:noWrap/>
            <w:vAlign w:val="center"/>
          </w:tcPr>
          <w:p w14:paraId="6066DDD7">
            <w:pPr>
              <w:widowControl/>
              <w:spacing w:line="240" w:lineRule="auto"/>
              <w:jc w:val="center"/>
              <w:rPr>
                <w:rFonts w:eastAsia="仿宋"/>
                <w:kern w:val="0"/>
                <w:sz w:val="22"/>
              </w:rPr>
            </w:pPr>
            <w:r>
              <w:rPr>
                <w:rFonts w:hint="eastAsia" w:eastAsia="仿宋"/>
                <w:kern w:val="0"/>
                <w:sz w:val="22"/>
              </w:rPr>
              <w:t>若干</w:t>
            </w:r>
          </w:p>
        </w:tc>
        <w:tc>
          <w:tcPr>
            <w:tcW w:w="851" w:type="dxa"/>
            <w:shd w:val="clear" w:color="auto" w:fill="auto"/>
            <w:noWrap/>
            <w:vAlign w:val="center"/>
          </w:tcPr>
          <w:p w14:paraId="098936AF">
            <w:pPr>
              <w:widowControl/>
              <w:spacing w:line="240" w:lineRule="auto"/>
              <w:jc w:val="center"/>
              <w:rPr>
                <w:rFonts w:eastAsia="仿宋"/>
                <w:kern w:val="0"/>
                <w:sz w:val="22"/>
              </w:rPr>
            </w:pPr>
            <w:r>
              <w:rPr>
                <w:rFonts w:eastAsia="仿宋"/>
                <w:kern w:val="0"/>
                <w:sz w:val="22"/>
              </w:rPr>
              <w:t>个</w:t>
            </w:r>
          </w:p>
        </w:tc>
        <w:tc>
          <w:tcPr>
            <w:tcW w:w="2528" w:type="dxa"/>
            <w:vMerge w:val="restart"/>
            <w:shd w:val="clear" w:color="auto" w:fill="auto"/>
            <w:noWrap/>
            <w:vAlign w:val="center"/>
          </w:tcPr>
          <w:p w14:paraId="2082B274">
            <w:pPr>
              <w:widowControl/>
              <w:spacing w:line="240" w:lineRule="auto"/>
              <w:jc w:val="center"/>
              <w:rPr>
                <w:rFonts w:eastAsia="仿宋"/>
                <w:kern w:val="0"/>
                <w:sz w:val="22"/>
              </w:rPr>
            </w:pPr>
            <w:r>
              <w:rPr>
                <w:rFonts w:eastAsia="仿宋"/>
                <w:kern w:val="0"/>
                <w:sz w:val="22"/>
              </w:rPr>
              <w:t>污染物</w:t>
            </w:r>
            <w:r>
              <w:rPr>
                <w:rFonts w:hint="eastAsia" w:eastAsia="仿宋"/>
                <w:kern w:val="0"/>
                <w:sz w:val="22"/>
              </w:rPr>
              <w:t>收集</w:t>
            </w:r>
          </w:p>
        </w:tc>
        <w:tc>
          <w:tcPr>
            <w:tcW w:w="1134" w:type="dxa"/>
            <w:vMerge w:val="continue"/>
            <w:vAlign w:val="center"/>
          </w:tcPr>
          <w:p w14:paraId="08E14B29">
            <w:pPr>
              <w:widowControl/>
              <w:spacing w:line="240" w:lineRule="auto"/>
              <w:jc w:val="center"/>
              <w:rPr>
                <w:rFonts w:eastAsia="仿宋"/>
                <w:kern w:val="0"/>
                <w:sz w:val="22"/>
              </w:rPr>
            </w:pPr>
          </w:p>
        </w:tc>
      </w:tr>
      <w:tr w14:paraId="64E8BA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863" w:type="dxa"/>
            <w:shd w:val="clear" w:color="auto" w:fill="auto"/>
            <w:noWrap/>
            <w:vAlign w:val="center"/>
          </w:tcPr>
          <w:p w14:paraId="68C4EA8E">
            <w:pPr>
              <w:widowControl/>
              <w:spacing w:line="240" w:lineRule="auto"/>
              <w:jc w:val="center"/>
              <w:rPr>
                <w:rFonts w:eastAsia="仿宋"/>
                <w:kern w:val="0"/>
                <w:sz w:val="22"/>
              </w:rPr>
            </w:pPr>
            <w:r>
              <w:rPr>
                <w:rFonts w:eastAsia="仿宋"/>
                <w:kern w:val="0"/>
                <w:sz w:val="22"/>
              </w:rPr>
              <w:t>7</w:t>
            </w:r>
          </w:p>
        </w:tc>
        <w:tc>
          <w:tcPr>
            <w:tcW w:w="2246" w:type="dxa"/>
            <w:shd w:val="clear" w:color="auto" w:fill="auto"/>
            <w:noWrap/>
            <w:vAlign w:val="center"/>
          </w:tcPr>
          <w:p w14:paraId="460DEBB7">
            <w:pPr>
              <w:widowControl/>
              <w:spacing w:line="240" w:lineRule="auto"/>
              <w:jc w:val="center"/>
              <w:rPr>
                <w:rFonts w:eastAsia="仿宋"/>
                <w:kern w:val="0"/>
                <w:sz w:val="22"/>
              </w:rPr>
            </w:pPr>
            <w:r>
              <w:rPr>
                <w:rFonts w:hint="eastAsia" w:eastAsia="仿宋"/>
                <w:kern w:val="0"/>
                <w:sz w:val="22"/>
              </w:rPr>
              <w:t>船</w:t>
            </w:r>
          </w:p>
        </w:tc>
        <w:tc>
          <w:tcPr>
            <w:tcW w:w="850" w:type="dxa"/>
            <w:shd w:val="clear" w:color="auto" w:fill="auto"/>
            <w:noWrap/>
            <w:vAlign w:val="center"/>
          </w:tcPr>
          <w:p w14:paraId="3523FC8B">
            <w:pPr>
              <w:widowControl/>
              <w:spacing w:line="240" w:lineRule="auto"/>
              <w:jc w:val="center"/>
              <w:rPr>
                <w:rFonts w:eastAsia="仿宋"/>
                <w:kern w:val="0"/>
                <w:sz w:val="22"/>
              </w:rPr>
            </w:pPr>
            <w:r>
              <w:rPr>
                <w:rFonts w:hint="eastAsia" w:eastAsia="仿宋"/>
                <w:kern w:val="0"/>
                <w:sz w:val="22"/>
              </w:rPr>
              <w:t>若干</w:t>
            </w:r>
          </w:p>
        </w:tc>
        <w:tc>
          <w:tcPr>
            <w:tcW w:w="851" w:type="dxa"/>
            <w:shd w:val="clear" w:color="auto" w:fill="auto"/>
            <w:noWrap/>
            <w:vAlign w:val="center"/>
          </w:tcPr>
          <w:p w14:paraId="734B9F5E">
            <w:pPr>
              <w:widowControl/>
              <w:spacing w:line="240" w:lineRule="auto"/>
              <w:jc w:val="center"/>
              <w:rPr>
                <w:rFonts w:eastAsia="仿宋"/>
                <w:kern w:val="0"/>
                <w:sz w:val="22"/>
              </w:rPr>
            </w:pPr>
            <w:r>
              <w:rPr>
                <w:rFonts w:hint="eastAsia" w:eastAsia="仿宋"/>
                <w:kern w:val="0"/>
                <w:sz w:val="22"/>
              </w:rPr>
              <w:t>艘</w:t>
            </w:r>
          </w:p>
        </w:tc>
        <w:tc>
          <w:tcPr>
            <w:tcW w:w="2528" w:type="dxa"/>
            <w:vMerge w:val="continue"/>
            <w:shd w:val="clear" w:color="auto" w:fill="auto"/>
            <w:noWrap/>
            <w:vAlign w:val="center"/>
          </w:tcPr>
          <w:p w14:paraId="3ABBAB0A">
            <w:pPr>
              <w:widowControl/>
              <w:spacing w:line="240" w:lineRule="auto"/>
              <w:jc w:val="center"/>
              <w:rPr>
                <w:rFonts w:eastAsia="仿宋"/>
                <w:kern w:val="0"/>
                <w:sz w:val="22"/>
              </w:rPr>
            </w:pPr>
          </w:p>
        </w:tc>
        <w:tc>
          <w:tcPr>
            <w:tcW w:w="1134" w:type="dxa"/>
            <w:vMerge w:val="continue"/>
            <w:vAlign w:val="center"/>
          </w:tcPr>
          <w:p w14:paraId="6D1EA946">
            <w:pPr>
              <w:widowControl/>
              <w:spacing w:line="240" w:lineRule="auto"/>
              <w:jc w:val="center"/>
              <w:rPr>
                <w:rFonts w:eastAsia="仿宋"/>
                <w:kern w:val="0"/>
                <w:sz w:val="22"/>
              </w:rPr>
            </w:pPr>
          </w:p>
        </w:tc>
      </w:tr>
      <w:tr w14:paraId="073717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863" w:type="dxa"/>
            <w:shd w:val="clear" w:color="auto" w:fill="auto"/>
            <w:noWrap/>
            <w:vAlign w:val="center"/>
          </w:tcPr>
          <w:p w14:paraId="150C7CB6">
            <w:pPr>
              <w:widowControl/>
              <w:spacing w:line="240" w:lineRule="auto"/>
              <w:jc w:val="center"/>
              <w:rPr>
                <w:rFonts w:eastAsia="仿宋"/>
                <w:kern w:val="0"/>
                <w:sz w:val="22"/>
              </w:rPr>
            </w:pPr>
            <w:r>
              <w:rPr>
                <w:rFonts w:eastAsia="仿宋"/>
                <w:kern w:val="0"/>
                <w:sz w:val="22"/>
              </w:rPr>
              <w:t>8</w:t>
            </w:r>
          </w:p>
        </w:tc>
        <w:tc>
          <w:tcPr>
            <w:tcW w:w="2246" w:type="dxa"/>
            <w:shd w:val="clear" w:color="auto" w:fill="auto"/>
            <w:noWrap/>
            <w:vAlign w:val="center"/>
          </w:tcPr>
          <w:p w14:paraId="73149941">
            <w:pPr>
              <w:widowControl/>
              <w:spacing w:line="240" w:lineRule="auto"/>
              <w:jc w:val="center"/>
              <w:rPr>
                <w:rFonts w:eastAsia="仿宋"/>
                <w:kern w:val="0"/>
                <w:sz w:val="22"/>
              </w:rPr>
            </w:pPr>
            <w:r>
              <w:rPr>
                <w:rFonts w:eastAsia="仿宋"/>
                <w:kern w:val="0"/>
                <w:sz w:val="22"/>
              </w:rPr>
              <w:t>PVC围油栏（20m）</w:t>
            </w:r>
          </w:p>
        </w:tc>
        <w:tc>
          <w:tcPr>
            <w:tcW w:w="850" w:type="dxa"/>
            <w:shd w:val="clear" w:color="auto" w:fill="auto"/>
            <w:noWrap/>
            <w:vAlign w:val="center"/>
          </w:tcPr>
          <w:p w14:paraId="66127420">
            <w:pPr>
              <w:widowControl/>
              <w:spacing w:line="240" w:lineRule="auto"/>
              <w:jc w:val="center"/>
              <w:rPr>
                <w:rFonts w:eastAsia="仿宋"/>
                <w:kern w:val="0"/>
                <w:sz w:val="22"/>
              </w:rPr>
            </w:pPr>
            <w:r>
              <w:rPr>
                <w:rFonts w:hint="eastAsia" w:eastAsia="仿宋"/>
                <w:kern w:val="0"/>
                <w:sz w:val="22"/>
              </w:rPr>
              <w:t>若干</w:t>
            </w:r>
          </w:p>
        </w:tc>
        <w:tc>
          <w:tcPr>
            <w:tcW w:w="851" w:type="dxa"/>
            <w:shd w:val="clear" w:color="auto" w:fill="auto"/>
            <w:noWrap/>
            <w:vAlign w:val="center"/>
          </w:tcPr>
          <w:p w14:paraId="4E66F2B7">
            <w:pPr>
              <w:widowControl/>
              <w:spacing w:line="240" w:lineRule="auto"/>
              <w:jc w:val="center"/>
              <w:rPr>
                <w:rFonts w:eastAsia="仿宋"/>
                <w:kern w:val="0"/>
                <w:sz w:val="22"/>
              </w:rPr>
            </w:pPr>
            <w:r>
              <w:rPr>
                <w:rFonts w:eastAsia="仿宋"/>
                <w:kern w:val="0"/>
                <w:sz w:val="22"/>
              </w:rPr>
              <w:t>条</w:t>
            </w:r>
          </w:p>
        </w:tc>
        <w:tc>
          <w:tcPr>
            <w:tcW w:w="2528" w:type="dxa"/>
            <w:vMerge w:val="restart"/>
            <w:shd w:val="clear" w:color="auto" w:fill="auto"/>
            <w:noWrap/>
            <w:vAlign w:val="center"/>
          </w:tcPr>
          <w:p w14:paraId="349C7252">
            <w:pPr>
              <w:spacing w:line="240" w:lineRule="auto"/>
              <w:jc w:val="center"/>
              <w:rPr>
                <w:rFonts w:eastAsia="仿宋"/>
                <w:kern w:val="0"/>
                <w:sz w:val="22"/>
              </w:rPr>
            </w:pPr>
            <w:r>
              <w:rPr>
                <w:rFonts w:eastAsia="仿宋"/>
                <w:kern w:val="0"/>
                <w:sz w:val="22"/>
              </w:rPr>
              <w:t>污染物</w:t>
            </w:r>
            <w:r>
              <w:rPr>
                <w:rFonts w:hint="eastAsia" w:eastAsia="仿宋"/>
                <w:kern w:val="0"/>
                <w:sz w:val="22"/>
              </w:rPr>
              <w:t>控制</w:t>
            </w:r>
          </w:p>
        </w:tc>
        <w:tc>
          <w:tcPr>
            <w:tcW w:w="1134" w:type="dxa"/>
            <w:vMerge w:val="continue"/>
            <w:vAlign w:val="center"/>
          </w:tcPr>
          <w:p w14:paraId="2DB32C83">
            <w:pPr>
              <w:widowControl/>
              <w:spacing w:line="240" w:lineRule="auto"/>
              <w:jc w:val="center"/>
              <w:rPr>
                <w:rFonts w:eastAsia="仿宋"/>
                <w:kern w:val="0"/>
                <w:sz w:val="22"/>
              </w:rPr>
            </w:pPr>
          </w:p>
        </w:tc>
      </w:tr>
      <w:tr w14:paraId="414B5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863" w:type="dxa"/>
            <w:shd w:val="clear" w:color="auto" w:fill="auto"/>
            <w:noWrap/>
            <w:vAlign w:val="center"/>
          </w:tcPr>
          <w:p w14:paraId="7FF186C0">
            <w:pPr>
              <w:widowControl/>
              <w:spacing w:line="240" w:lineRule="auto"/>
              <w:jc w:val="center"/>
              <w:rPr>
                <w:rFonts w:eastAsia="仿宋"/>
                <w:kern w:val="0"/>
                <w:sz w:val="22"/>
              </w:rPr>
            </w:pPr>
            <w:r>
              <w:rPr>
                <w:rFonts w:eastAsia="仿宋"/>
                <w:kern w:val="0"/>
                <w:sz w:val="22"/>
              </w:rPr>
              <w:t>9</w:t>
            </w:r>
          </w:p>
        </w:tc>
        <w:tc>
          <w:tcPr>
            <w:tcW w:w="2246" w:type="dxa"/>
            <w:shd w:val="clear" w:color="auto" w:fill="auto"/>
            <w:noWrap/>
            <w:vAlign w:val="center"/>
          </w:tcPr>
          <w:p w14:paraId="748ED4B4">
            <w:pPr>
              <w:widowControl/>
              <w:spacing w:line="240" w:lineRule="auto"/>
              <w:jc w:val="center"/>
              <w:rPr>
                <w:rFonts w:eastAsia="仿宋"/>
                <w:kern w:val="0"/>
                <w:sz w:val="22"/>
              </w:rPr>
            </w:pPr>
            <w:r>
              <w:rPr>
                <w:rFonts w:eastAsia="仿宋"/>
                <w:kern w:val="0"/>
                <w:sz w:val="22"/>
              </w:rPr>
              <w:t>吸油毡（40cm*50cm）</w:t>
            </w:r>
          </w:p>
        </w:tc>
        <w:tc>
          <w:tcPr>
            <w:tcW w:w="850" w:type="dxa"/>
            <w:shd w:val="clear" w:color="auto" w:fill="auto"/>
            <w:noWrap/>
            <w:vAlign w:val="center"/>
          </w:tcPr>
          <w:p w14:paraId="276FD547">
            <w:pPr>
              <w:widowControl/>
              <w:spacing w:line="240" w:lineRule="auto"/>
              <w:jc w:val="center"/>
              <w:rPr>
                <w:rFonts w:eastAsia="仿宋"/>
                <w:kern w:val="0"/>
                <w:sz w:val="22"/>
              </w:rPr>
            </w:pPr>
            <w:r>
              <w:rPr>
                <w:rFonts w:hint="eastAsia" w:eastAsia="仿宋"/>
                <w:kern w:val="0"/>
                <w:sz w:val="22"/>
              </w:rPr>
              <w:t>若干</w:t>
            </w:r>
          </w:p>
        </w:tc>
        <w:tc>
          <w:tcPr>
            <w:tcW w:w="851" w:type="dxa"/>
            <w:shd w:val="clear" w:color="auto" w:fill="auto"/>
            <w:noWrap/>
            <w:vAlign w:val="center"/>
          </w:tcPr>
          <w:p w14:paraId="4A40C33D">
            <w:pPr>
              <w:widowControl/>
              <w:spacing w:line="240" w:lineRule="auto"/>
              <w:jc w:val="center"/>
              <w:rPr>
                <w:rFonts w:eastAsia="仿宋"/>
                <w:kern w:val="0"/>
                <w:sz w:val="22"/>
              </w:rPr>
            </w:pPr>
            <w:r>
              <w:rPr>
                <w:rFonts w:eastAsia="仿宋"/>
                <w:kern w:val="0"/>
                <w:sz w:val="22"/>
              </w:rPr>
              <w:t>片</w:t>
            </w:r>
          </w:p>
        </w:tc>
        <w:tc>
          <w:tcPr>
            <w:tcW w:w="2528" w:type="dxa"/>
            <w:vMerge w:val="continue"/>
            <w:shd w:val="clear" w:color="auto" w:fill="auto"/>
            <w:noWrap/>
            <w:vAlign w:val="center"/>
          </w:tcPr>
          <w:p w14:paraId="7463C611">
            <w:pPr>
              <w:spacing w:line="240" w:lineRule="auto"/>
              <w:jc w:val="center"/>
              <w:rPr>
                <w:rFonts w:eastAsia="仿宋"/>
                <w:kern w:val="0"/>
                <w:sz w:val="22"/>
              </w:rPr>
            </w:pPr>
          </w:p>
        </w:tc>
        <w:tc>
          <w:tcPr>
            <w:tcW w:w="1134" w:type="dxa"/>
            <w:vMerge w:val="continue"/>
            <w:vAlign w:val="center"/>
          </w:tcPr>
          <w:p w14:paraId="69392E01">
            <w:pPr>
              <w:widowControl/>
              <w:spacing w:line="240" w:lineRule="auto"/>
              <w:jc w:val="center"/>
              <w:rPr>
                <w:rFonts w:eastAsia="仿宋"/>
                <w:kern w:val="0"/>
                <w:sz w:val="22"/>
              </w:rPr>
            </w:pPr>
          </w:p>
        </w:tc>
      </w:tr>
      <w:tr w14:paraId="686456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863" w:type="dxa"/>
            <w:shd w:val="clear" w:color="auto" w:fill="auto"/>
            <w:noWrap/>
            <w:vAlign w:val="center"/>
          </w:tcPr>
          <w:p w14:paraId="4D584D82">
            <w:pPr>
              <w:widowControl/>
              <w:spacing w:line="240" w:lineRule="auto"/>
              <w:jc w:val="center"/>
              <w:rPr>
                <w:rFonts w:eastAsia="仿宋"/>
                <w:kern w:val="0"/>
                <w:sz w:val="22"/>
              </w:rPr>
            </w:pPr>
            <w:r>
              <w:rPr>
                <w:rFonts w:eastAsia="仿宋"/>
                <w:kern w:val="0"/>
                <w:sz w:val="22"/>
              </w:rPr>
              <w:t>10</w:t>
            </w:r>
          </w:p>
        </w:tc>
        <w:tc>
          <w:tcPr>
            <w:tcW w:w="2246" w:type="dxa"/>
            <w:shd w:val="clear" w:color="auto" w:fill="auto"/>
            <w:noWrap/>
            <w:vAlign w:val="center"/>
          </w:tcPr>
          <w:p w14:paraId="73809EE1">
            <w:pPr>
              <w:widowControl/>
              <w:spacing w:line="240" w:lineRule="auto"/>
              <w:jc w:val="center"/>
              <w:rPr>
                <w:rFonts w:eastAsia="仿宋"/>
                <w:kern w:val="0"/>
                <w:sz w:val="22"/>
              </w:rPr>
            </w:pPr>
            <w:r>
              <w:rPr>
                <w:rFonts w:eastAsia="仿宋"/>
                <w:kern w:val="0"/>
                <w:sz w:val="22"/>
              </w:rPr>
              <w:t>粉末活性炭</w:t>
            </w:r>
          </w:p>
          <w:p w14:paraId="541E534F">
            <w:pPr>
              <w:widowControl/>
              <w:spacing w:line="240" w:lineRule="auto"/>
              <w:jc w:val="center"/>
              <w:rPr>
                <w:rFonts w:eastAsia="仿宋"/>
                <w:kern w:val="0"/>
                <w:sz w:val="22"/>
              </w:rPr>
            </w:pPr>
            <w:r>
              <w:rPr>
                <w:rFonts w:eastAsia="仿宋"/>
                <w:kern w:val="0"/>
                <w:sz w:val="22"/>
              </w:rPr>
              <w:t>（25kg/袋）</w:t>
            </w:r>
          </w:p>
        </w:tc>
        <w:tc>
          <w:tcPr>
            <w:tcW w:w="850" w:type="dxa"/>
            <w:shd w:val="clear" w:color="auto" w:fill="auto"/>
            <w:noWrap/>
            <w:vAlign w:val="center"/>
          </w:tcPr>
          <w:p w14:paraId="14FAC329">
            <w:pPr>
              <w:widowControl/>
              <w:spacing w:line="240" w:lineRule="auto"/>
              <w:jc w:val="center"/>
              <w:rPr>
                <w:rFonts w:eastAsia="仿宋"/>
                <w:kern w:val="0"/>
                <w:sz w:val="22"/>
              </w:rPr>
            </w:pPr>
            <w:r>
              <w:rPr>
                <w:rFonts w:hint="eastAsia" w:eastAsia="仿宋"/>
                <w:kern w:val="0"/>
                <w:sz w:val="22"/>
              </w:rPr>
              <w:t>若干</w:t>
            </w:r>
          </w:p>
        </w:tc>
        <w:tc>
          <w:tcPr>
            <w:tcW w:w="851" w:type="dxa"/>
            <w:shd w:val="clear" w:color="auto" w:fill="auto"/>
            <w:noWrap/>
            <w:vAlign w:val="center"/>
          </w:tcPr>
          <w:p w14:paraId="2C6B5A0A">
            <w:pPr>
              <w:widowControl/>
              <w:spacing w:line="240" w:lineRule="auto"/>
              <w:jc w:val="center"/>
              <w:rPr>
                <w:rFonts w:eastAsia="仿宋"/>
                <w:kern w:val="0"/>
                <w:sz w:val="22"/>
              </w:rPr>
            </w:pPr>
            <w:r>
              <w:rPr>
                <w:rFonts w:eastAsia="仿宋"/>
                <w:kern w:val="0"/>
                <w:sz w:val="22"/>
              </w:rPr>
              <w:t>袋</w:t>
            </w:r>
          </w:p>
        </w:tc>
        <w:tc>
          <w:tcPr>
            <w:tcW w:w="2528" w:type="dxa"/>
            <w:vMerge w:val="continue"/>
            <w:shd w:val="clear" w:color="auto" w:fill="auto"/>
            <w:noWrap/>
            <w:vAlign w:val="center"/>
          </w:tcPr>
          <w:p w14:paraId="26BD52C8">
            <w:pPr>
              <w:widowControl/>
              <w:spacing w:line="240" w:lineRule="auto"/>
              <w:jc w:val="center"/>
              <w:rPr>
                <w:rFonts w:eastAsia="仿宋"/>
                <w:kern w:val="0"/>
                <w:sz w:val="22"/>
              </w:rPr>
            </w:pPr>
          </w:p>
        </w:tc>
        <w:tc>
          <w:tcPr>
            <w:tcW w:w="1134" w:type="dxa"/>
            <w:vMerge w:val="continue"/>
            <w:vAlign w:val="center"/>
          </w:tcPr>
          <w:p w14:paraId="43207512">
            <w:pPr>
              <w:widowControl/>
              <w:spacing w:line="240" w:lineRule="auto"/>
              <w:jc w:val="center"/>
              <w:rPr>
                <w:rFonts w:eastAsia="仿宋"/>
                <w:kern w:val="0"/>
                <w:sz w:val="22"/>
              </w:rPr>
            </w:pPr>
          </w:p>
        </w:tc>
      </w:tr>
      <w:tr w14:paraId="5D8643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863" w:type="dxa"/>
            <w:shd w:val="clear" w:color="auto" w:fill="auto"/>
            <w:noWrap/>
            <w:vAlign w:val="center"/>
          </w:tcPr>
          <w:p w14:paraId="7924F326">
            <w:pPr>
              <w:widowControl/>
              <w:spacing w:line="240" w:lineRule="auto"/>
              <w:jc w:val="center"/>
              <w:rPr>
                <w:rFonts w:eastAsia="仿宋"/>
                <w:kern w:val="0"/>
                <w:sz w:val="22"/>
              </w:rPr>
            </w:pPr>
            <w:r>
              <w:rPr>
                <w:rFonts w:eastAsia="仿宋"/>
                <w:kern w:val="0"/>
                <w:sz w:val="22"/>
              </w:rPr>
              <w:t>11</w:t>
            </w:r>
          </w:p>
        </w:tc>
        <w:tc>
          <w:tcPr>
            <w:tcW w:w="2246" w:type="dxa"/>
            <w:shd w:val="clear" w:color="auto" w:fill="auto"/>
            <w:noWrap/>
            <w:vAlign w:val="center"/>
          </w:tcPr>
          <w:p w14:paraId="298CC43D">
            <w:pPr>
              <w:widowControl/>
              <w:spacing w:line="240" w:lineRule="auto"/>
              <w:jc w:val="center"/>
              <w:rPr>
                <w:rFonts w:eastAsia="仿宋"/>
                <w:kern w:val="0"/>
                <w:sz w:val="22"/>
              </w:rPr>
            </w:pPr>
            <w:r>
              <w:rPr>
                <w:rFonts w:eastAsia="仿宋"/>
                <w:kern w:val="0"/>
                <w:sz w:val="22"/>
              </w:rPr>
              <w:t>石灰</w:t>
            </w:r>
          </w:p>
        </w:tc>
        <w:tc>
          <w:tcPr>
            <w:tcW w:w="850" w:type="dxa"/>
            <w:shd w:val="clear" w:color="auto" w:fill="auto"/>
            <w:noWrap/>
            <w:vAlign w:val="center"/>
          </w:tcPr>
          <w:p w14:paraId="785EA9B7">
            <w:pPr>
              <w:widowControl/>
              <w:spacing w:line="240" w:lineRule="auto"/>
              <w:jc w:val="center"/>
              <w:rPr>
                <w:rFonts w:eastAsia="仿宋"/>
                <w:kern w:val="0"/>
                <w:sz w:val="22"/>
              </w:rPr>
            </w:pPr>
            <w:r>
              <w:rPr>
                <w:rFonts w:hint="eastAsia" w:eastAsia="仿宋"/>
                <w:kern w:val="0"/>
                <w:sz w:val="22"/>
              </w:rPr>
              <w:t>若干</w:t>
            </w:r>
          </w:p>
        </w:tc>
        <w:tc>
          <w:tcPr>
            <w:tcW w:w="851" w:type="dxa"/>
            <w:shd w:val="clear" w:color="auto" w:fill="auto"/>
            <w:noWrap/>
            <w:vAlign w:val="center"/>
          </w:tcPr>
          <w:p w14:paraId="7F0EC345">
            <w:pPr>
              <w:widowControl/>
              <w:spacing w:line="240" w:lineRule="auto"/>
              <w:jc w:val="center"/>
              <w:rPr>
                <w:rFonts w:eastAsia="仿宋"/>
                <w:kern w:val="0"/>
                <w:sz w:val="22"/>
              </w:rPr>
            </w:pPr>
            <w:r>
              <w:rPr>
                <w:rFonts w:eastAsia="仿宋"/>
                <w:kern w:val="0"/>
                <w:sz w:val="22"/>
              </w:rPr>
              <w:t>kg</w:t>
            </w:r>
          </w:p>
        </w:tc>
        <w:tc>
          <w:tcPr>
            <w:tcW w:w="2528" w:type="dxa"/>
            <w:vMerge w:val="continue"/>
            <w:shd w:val="clear" w:color="auto" w:fill="auto"/>
            <w:noWrap/>
            <w:vAlign w:val="center"/>
          </w:tcPr>
          <w:p w14:paraId="4E2C5274">
            <w:pPr>
              <w:widowControl/>
              <w:spacing w:line="240" w:lineRule="auto"/>
              <w:jc w:val="center"/>
              <w:rPr>
                <w:rFonts w:eastAsia="仿宋"/>
                <w:kern w:val="0"/>
                <w:sz w:val="22"/>
              </w:rPr>
            </w:pPr>
          </w:p>
        </w:tc>
        <w:tc>
          <w:tcPr>
            <w:tcW w:w="1134" w:type="dxa"/>
            <w:vMerge w:val="continue"/>
            <w:vAlign w:val="center"/>
          </w:tcPr>
          <w:p w14:paraId="149B9441">
            <w:pPr>
              <w:widowControl/>
              <w:spacing w:line="240" w:lineRule="auto"/>
              <w:jc w:val="center"/>
              <w:rPr>
                <w:rFonts w:eastAsia="仿宋"/>
                <w:kern w:val="0"/>
                <w:sz w:val="22"/>
              </w:rPr>
            </w:pPr>
          </w:p>
        </w:tc>
      </w:tr>
      <w:tr w14:paraId="5E4B6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863" w:type="dxa"/>
            <w:shd w:val="clear" w:color="auto" w:fill="auto"/>
            <w:noWrap/>
            <w:vAlign w:val="center"/>
          </w:tcPr>
          <w:p w14:paraId="338BA00C">
            <w:pPr>
              <w:widowControl/>
              <w:spacing w:line="240" w:lineRule="auto"/>
              <w:jc w:val="center"/>
              <w:rPr>
                <w:rFonts w:eastAsia="仿宋"/>
                <w:kern w:val="0"/>
                <w:sz w:val="22"/>
              </w:rPr>
            </w:pPr>
            <w:r>
              <w:rPr>
                <w:rFonts w:hint="eastAsia" w:eastAsia="仿宋"/>
                <w:kern w:val="0"/>
                <w:sz w:val="22"/>
              </w:rPr>
              <w:t>1</w:t>
            </w:r>
            <w:r>
              <w:rPr>
                <w:rFonts w:eastAsia="仿宋"/>
                <w:kern w:val="0"/>
                <w:sz w:val="22"/>
              </w:rPr>
              <w:t>2</w:t>
            </w:r>
          </w:p>
        </w:tc>
        <w:tc>
          <w:tcPr>
            <w:tcW w:w="2246" w:type="dxa"/>
            <w:shd w:val="clear" w:color="auto" w:fill="auto"/>
            <w:noWrap/>
            <w:vAlign w:val="center"/>
          </w:tcPr>
          <w:p w14:paraId="4C141674">
            <w:pPr>
              <w:widowControl/>
              <w:spacing w:line="240" w:lineRule="auto"/>
              <w:jc w:val="center"/>
              <w:rPr>
                <w:rFonts w:eastAsia="仿宋"/>
                <w:kern w:val="0"/>
                <w:sz w:val="22"/>
              </w:rPr>
            </w:pPr>
            <w:r>
              <w:rPr>
                <w:rFonts w:eastAsia="仿宋"/>
                <w:kern w:val="0"/>
                <w:sz w:val="22"/>
              </w:rPr>
              <w:t>灭藻剂</w:t>
            </w:r>
          </w:p>
        </w:tc>
        <w:tc>
          <w:tcPr>
            <w:tcW w:w="850" w:type="dxa"/>
            <w:shd w:val="clear" w:color="auto" w:fill="auto"/>
            <w:noWrap/>
            <w:vAlign w:val="center"/>
          </w:tcPr>
          <w:p w14:paraId="25194B41">
            <w:pPr>
              <w:widowControl/>
              <w:spacing w:line="240" w:lineRule="auto"/>
              <w:jc w:val="center"/>
              <w:rPr>
                <w:rFonts w:eastAsia="仿宋"/>
                <w:kern w:val="0"/>
                <w:sz w:val="22"/>
              </w:rPr>
            </w:pPr>
            <w:r>
              <w:rPr>
                <w:rFonts w:hint="eastAsia" w:eastAsia="仿宋"/>
                <w:kern w:val="0"/>
                <w:sz w:val="22"/>
              </w:rPr>
              <w:t>若干</w:t>
            </w:r>
          </w:p>
        </w:tc>
        <w:tc>
          <w:tcPr>
            <w:tcW w:w="851" w:type="dxa"/>
            <w:shd w:val="clear" w:color="auto" w:fill="auto"/>
            <w:noWrap/>
            <w:vAlign w:val="center"/>
          </w:tcPr>
          <w:p w14:paraId="79482FB4">
            <w:pPr>
              <w:widowControl/>
              <w:spacing w:line="240" w:lineRule="auto"/>
              <w:jc w:val="center"/>
              <w:rPr>
                <w:rFonts w:eastAsia="仿宋"/>
                <w:kern w:val="0"/>
                <w:sz w:val="22"/>
              </w:rPr>
            </w:pPr>
            <w:r>
              <w:rPr>
                <w:rFonts w:eastAsia="仿宋"/>
                <w:kern w:val="0"/>
                <w:sz w:val="22"/>
              </w:rPr>
              <w:t>kg</w:t>
            </w:r>
          </w:p>
        </w:tc>
        <w:tc>
          <w:tcPr>
            <w:tcW w:w="2528" w:type="dxa"/>
            <w:vMerge w:val="continue"/>
            <w:shd w:val="clear" w:color="auto" w:fill="auto"/>
            <w:noWrap/>
            <w:vAlign w:val="center"/>
          </w:tcPr>
          <w:p w14:paraId="7E11CDB0">
            <w:pPr>
              <w:widowControl/>
              <w:spacing w:line="240" w:lineRule="auto"/>
              <w:jc w:val="center"/>
              <w:rPr>
                <w:rFonts w:eastAsia="仿宋"/>
                <w:kern w:val="0"/>
                <w:sz w:val="22"/>
              </w:rPr>
            </w:pPr>
          </w:p>
        </w:tc>
        <w:tc>
          <w:tcPr>
            <w:tcW w:w="1134" w:type="dxa"/>
            <w:vMerge w:val="continue"/>
            <w:vAlign w:val="center"/>
          </w:tcPr>
          <w:p w14:paraId="3085A76B">
            <w:pPr>
              <w:widowControl/>
              <w:spacing w:line="240" w:lineRule="auto"/>
              <w:jc w:val="center"/>
              <w:rPr>
                <w:rFonts w:eastAsia="仿宋"/>
                <w:kern w:val="0"/>
                <w:sz w:val="22"/>
              </w:rPr>
            </w:pPr>
          </w:p>
        </w:tc>
      </w:tr>
      <w:tr w14:paraId="24524F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863" w:type="dxa"/>
            <w:shd w:val="clear" w:color="auto" w:fill="auto"/>
            <w:noWrap/>
            <w:vAlign w:val="center"/>
          </w:tcPr>
          <w:p w14:paraId="7FEE41DC">
            <w:pPr>
              <w:widowControl/>
              <w:spacing w:line="240" w:lineRule="auto"/>
              <w:jc w:val="center"/>
              <w:rPr>
                <w:rFonts w:eastAsia="仿宋"/>
                <w:kern w:val="0"/>
                <w:sz w:val="22"/>
              </w:rPr>
            </w:pPr>
            <w:r>
              <w:rPr>
                <w:rFonts w:hint="eastAsia" w:eastAsia="仿宋"/>
                <w:kern w:val="0"/>
                <w:sz w:val="22"/>
              </w:rPr>
              <w:t>1</w:t>
            </w:r>
            <w:r>
              <w:rPr>
                <w:rFonts w:eastAsia="仿宋"/>
                <w:kern w:val="0"/>
                <w:sz w:val="22"/>
              </w:rPr>
              <w:t>3</w:t>
            </w:r>
          </w:p>
        </w:tc>
        <w:tc>
          <w:tcPr>
            <w:tcW w:w="2246" w:type="dxa"/>
            <w:shd w:val="clear" w:color="auto" w:fill="auto"/>
            <w:noWrap/>
            <w:vAlign w:val="center"/>
          </w:tcPr>
          <w:p w14:paraId="4640E8AE">
            <w:pPr>
              <w:widowControl/>
              <w:spacing w:line="240" w:lineRule="auto"/>
              <w:jc w:val="center"/>
              <w:rPr>
                <w:rFonts w:eastAsia="仿宋"/>
                <w:kern w:val="0"/>
                <w:sz w:val="22"/>
              </w:rPr>
            </w:pPr>
            <w:r>
              <w:rPr>
                <w:rFonts w:eastAsia="仿宋"/>
                <w:kern w:val="0"/>
                <w:sz w:val="22"/>
              </w:rPr>
              <w:t>增氧机</w:t>
            </w:r>
          </w:p>
        </w:tc>
        <w:tc>
          <w:tcPr>
            <w:tcW w:w="850" w:type="dxa"/>
            <w:shd w:val="clear" w:color="auto" w:fill="auto"/>
            <w:noWrap/>
            <w:vAlign w:val="center"/>
          </w:tcPr>
          <w:p w14:paraId="4C513EBE">
            <w:pPr>
              <w:widowControl/>
              <w:spacing w:line="240" w:lineRule="auto"/>
              <w:jc w:val="center"/>
              <w:rPr>
                <w:rFonts w:eastAsia="仿宋"/>
                <w:kern w:val="0"/>
                <w:sz w:val="22"/>
              </w:rPr>
            </w:pPr>
            <w:r>
              <w:rPr>
                <w:rFonts w:hint="eastAsia" w:eastAsia="仿宋"/>
                <w:kern w:val="0"/>
                <w:sz w:val="22"/>
              </w:rPr>
              <w:t>若干</w:t>
            </w:r>
          </w:p>
        </w:tc>
        <w:tc>
          <w:tcPr>
            <w:tcW w:w="851" w:type="dxa"/>
            <w:shd w:val="clear" w:color="auto" w:fill="auto"/>
            <w:noWrap/>
            <w:vAlign w:val="center"/>
          </w:tcPr>
          <w:p w14:paraId="2A32CA8E">
            <w:pPr>
              <w:widowControl/>
              <w:spacing w:line="240" w:lineRule="auto"/>
              <w:jc w:val="center"/>
              <w:rPr>
                <w:rFonts w:eastAsia="仿宋"/>
                <w:kern w:val="0"/>
                <w:sz w:val="22"/>
              </w:rPr>
            </w:pPr>
            <w:r>
              <w:rPr>
                <w:rFonts w:hint="eastAsia"/>
                <w:kern w:val="0"/>
                <w:sz w:val="22"/>
              </w:rPr>
              <w:t>台</w:t>
            </w:r>
          </w:p>
        </w:tc>
        <w:tc>
          <w:tcPr>
            <w:tcW w:w="2528" w:type="dxa"/>
            <w:vMerge w:val="continue"/>
            <w:shd w:val="clear" w:color="auto" w:fill="auto"/>
            <w:noWrap/>
            <w:vAlign w:val="center"/>
          </w:tcPr>
          <w:p w14:paraId="7BC6303A">
            <w:pPr>
              <w:widowControl/>
              <w:spacing w:line="240" w:lineRule="auto"/>
              <w:jc w:val="center"/>
              <w:rPr>
                <w:rFonts w:eastAsia="仿宋"/>
                <w:kern w:val="0"/>
                <w:sz w:val="22"/>
              </w:rPr>
            </w:pPr>
          </w:p>
        </w:tc>
        <w:tc>
          <w:tcPr>
            <w:tcW w:w="1134" w:type="dxa"/>
            <w:vMerge w:val="continue"/>
            <w:vAlign w:val="center"/>
          </w:tcPr>
          <w:p w14:paraId="06B050CD">
            <w:pPr>
              <w:widowControl/>
              <w:spacing w:line="240" w:lineRule="auto"/>
              <w:jc w:val="center"/>
              <w:rPr>
                <w:rFonts w:eastAsia="仿宋"/>
                <w:kern w:val="0"/>
                <w:sz w:val="22"/>
              </w:rPr>
            </w:pPr>
          </w:p>
        </w:tc>
      </w:tr>
      <w:tr w14:paraId="70C764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863" w:type="dxa"/>
            <w:shd w:val="clear" w:color="auto" w:fill="auto"/>
            <w:noWrap/>
            <w:vAlign w:val="center"/>
          </w:tcPr>
          <w:p w14:paraId="315F6EF4">
            <w:pPr>
              <w:widowControl/>
              <w:spacing w:line="240" w:lineRule="auto"/>
              <w:jc w:val="center"/>
              <w:rPr>
                <w:rFonts w:eastAsia="仿宋"/>
                <w:kern w:val="0"/>
                <w:sz w:val="22"/>
              </w:rPr>
            </w:pPr>
            <w:r>
              <w:rPr>
                <w:rFonts w:hint="eastAsia" w:eastAsia="仿宋"/>
                <w:kern w:val="0"/>
                <w:sz w:val="22"/>
              </w:rPr>
              <w:t>1</w:t>
            </w:r>
            <w:r>
              <w:rPr>
                <w:rFonts w:eastAsia="仿宋"/>
                <w:kern w:val="0"/>
                <w:sz w:val="22"/>
              </w:rPr>
              <w:t>4</w:t>
            </w:r>
          </w:p>
        </w:tc>
        <w:tc>
          <w:tcPr>
            <w:tcW w:w="2246" w:type="dxa"/>
            <w:shd w:val="clear" w:color="auto" w:fill="auto"/>
            <w:noWrap/>
            <w:vAlign w:val="center"/>
          </w:tcPr>
          <w:p w14:paraId="5E7C4423">
            <w:pPr>
              <w:widowControl/>
              <w:spacing w:line="240" w:lineRule="auto"/>
              <w:jc w:val="center"/>
              <w:rPr>
                <w:rFonts w:eastAsia="仿宋"/>
                <w:kern w:val="0"/>
                <w:sz w:val="22"/>
              </w:rPr>
            </w:pPr>
            <w:r>
              <w:rPr>
                <w:rFonts w:eastAsia="仿宋"/>
                <w:kern w:val="0"/>
                <w:sz w:val="22"/>
              </w:rPr>
              <w:t>编织袋</w:t>
            </w:r>
          </w:p>
        </w:tc>
        <w:tc>
          <w:tcPr>
            <w:tcW w:w="850" w:type="dxa"/>
            <w:shd w:val="clear" w:color="auto" w:fill="auto"/>
            <w:noWrap/>
            <w:vAlign w:val="center"/>
          </w:tcPr>
          <w:p w14:paraId="2983FF39">
            <w:pPr>
              <w:widowControl/>
              <w:spacing w:line="240" w:lineRule="auto"/>
              <w:jc w:val="center"/>
              <w:rPr>
                <w:rFonts w:eastAsia="仿宋"/>
                <w:kern w:val="0"/>
                <w:sz w:val="22"/>
              </w:rPr>
            </w:pPr>
            <w:r>
              <w:rPr>
                <w:rFonts w:hint="eastAsia" w:eastAsia="仿宋"/>
                <w:kern w:val="0"/>
                <w:sz w:val="22"/>
              </w:rPr>
              <w:t>若干</w:t>
            </w:r>
          </w:p>
        </w:tc>
        <w:tc>
          <w:tcPr>
            <w:tcW w:w="851" w:type="dxa"/>
            <w:shd w:val="clear" w:color="auto" w:fill="auto"/>
            <w:noWrap/>
            <w:vAlign w:val="center"/>
          </w:tcPr>
          <w:p w14:paraId="255832FF">
            <w:pPr>
              <w:widowControl/>
              <w:spacing w:line="240" w:lineRule="auto"/>
              <w:jc w:val="center"/>
              <w:rPr>
                <w:rFonts w:eastAsia="仿宋"/>
                <w:kern w:val="0"/>
                <w:sz w:val="22"/>
              </w:rPr>
            </w:pPr>
            <w:r>
              <w:rPr>
                <w:rFonts w:eastAsia="仿宋"/>
                <w:kern w:val="0"/>
                <w:sz w:val="22"/>
              </w:rPr>
              <w:t>个</w:t>
            </w:r>
          </w:p>
        </w:tc>
        <w:tc>
          <w:tcPr>
            <w:tcW w:w="2528" w:type="dxa"/>
            <w:vMerge w:val="continue"/>
            <w:shd w:val="clear" w:color="auto" w:fill="auto"/>
            <w:noWrap/>
            <w:vAlign w:val="center"/>
          </w:tcPr>
          <w:p w14:paraId="78EA76EB">
            <w:pPr>
              <w:widowControl/>
              <w:spacing w:line="240" w:lineRule="auto"/>
              <w:jc w:val="center"/>
              <w:rPr>
                <w:rFonts w:eastAsia="仿宋"/>
                <w:kern w:val="0"/>
                <w:sz w:val="22"/>
              </w:rPr>
            </w:pPr>
          </w:p>
        </w:tc>
        <w:tc>
          <w:tcPr>
            <w:tcW w:w="1134" w:type="dxa"/>
            <w:vMerge w:val="continue"/>
            <w:vAlign w:val="center"/>
          </w:tcPr>
          <w:p w14:paraId="7C5632BA">
            <w:pPr>
              <w:widowControl/>
              <w:spacing w:line="240" w:lineRule="auto"/>
              <w:jc w:val="center"/>
              <w:rPr>
                <w:rFonts w:eastAsia="仿宋"/>
                <w:kern w:val="0"/>
                <w:sz w:val="22"/>
              </w:rPr>
            </w:pPr>
          </w:p>
        </w:tc>
      </w:tr>
      <w:tr w14:paraId="71DC1E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863" w:type="dxa"/>
            <w:shd w:val="clear" w:color="auto" w:fill="auto"/>
            <w:noWrap/>
            <w:vAlign w:val="center"/>
          </w:tcPr>
          <w:p w14:paraId="10E79DCB">
            <w:pPr>
              <w:widowControl/>
              <w:spacing w:line="240" w:lineRule="auto"/>
              <w:jc w:val="center"/>
              <w:rPr>
                <w:rFonts w:eastAsia="仿宋"/>
                <w:kern w:val="0"/>
                <w:sz w:val="22"/>
              </w:rPr>
            </w:pPr>
            <w:r>
              <w:rPr>
                <w:rFonts w:eastAsia="仿宋"/>
                <w:kern w:val="0"/>
                <w:sz w:val="22"/>
              </w:rPr>
              <w:t>15</w:t>
            </w:r>
          </w:p>
        </w:tc>
        <w:tc>
          <w:tcPr>
            <w:tcW w:w="2246" w:type="dxa"/>
            <w:shd w:val="clear" w:color="auto" w:fill="auto"/>
            <w:noWrap/>
            <w:vAlign w:val="center"/>
          </w:tcPr>
          <w:p w14:paraId="23DAC430">
            <w:pPr>
              <w:widowControl/>
              <w:spacing w:line="240" w:lineRule="auto"/>
              <w:jc w:val="center"/>
              <w:rPr>
                <w:rFonts w:eastAsia="仿宋"/>
                <w:kern w:val="0"/>
                <w:sz w:val="22"/>
              </w:rPr>
            </w:pPr>
            <w:r>
              <w:rPr>
                <w:rFonts w:eastAsia="仿宋"/>
                <w:kern w:val="0"/>
                <w:sz w:val="22"/>
              </w:rPr>
              <w:t>铁锹</w:t>
            </w:r>
          </w:p>
        </w:tc>
        <w:tc>
          <w:tcPr>
            <w:tcW w:w="850" w:type="dxa"/>
            <w:shd w:val="clear" w:color="auto" w:fill="auto"/>
            <w:noWrap/>
            <w:vAlign w:val="center"/>
          </w:tcPr>
          <w:p w14:paraId="6CA65FA8">
            <w:pPr>
              <w:widowControl/>
              <w:spacing w:line="240" w:lineRule="auto"/>
              <w:jc w:val="center"/>
              <w:rPr>
                <w:rFonts w:eastAsia="仿宋"/>
                <w:kern w:val="0"/>
                <w:sz w:val="22"/>
              </w:rPr>
            </w:pPr>
            <w:r>
              <w:rPr>
                <w:rFonts w:hint="eastAsia" w:eastAsia="仿宋"/>
                <w:kern w:val="0"/>
                <w:sz w:val="22"/>
              </w:rPr>
              <w:t>若干</w:t>
            </w:r>
          </w:p>
        </w:tc>
        <w:tc>
          <w:tcPr>
            <w:tcW w:w="851" w:type="dxa"/>
            <w:shd w:val="clear" w:color="auto" w:fill="auto"/>
            <w:noWrap/>
            <w:vAlign w:val="center"/>
          </w:tcPr>
          <w:p w14:paraId="44183A98">
            <w:pPr>
              <w:widowControl/>
              <w:spacing w:line="240" w:lineRule="auto"/>
              <w:jc w:val="center"/>
              <w:rPr>
                <w:rFonts w:eastAsia="仿宋"/>
                <w:kern w:val="0"/>
                <w:sz w:val="22"/>
              </w:rPr>
            </w:pPr>
            <w:r>
              <w:rPr>
                <w:rFonts w:eastAsia="仿宋"/>
                <w:kern w:val="0"/>
                <w:sz w:val="22"/>
              </w:rPr>
              <w:t>把</w:t>
            </w:r>
          </w:p>
        </w:tc>
        <w:tc>
          <w:tcPr>
            <w:tcW w:w="2528" w:type="dxa"/>
            <w:vMerge w:val="continue"/>
            <w:vAlign w:val="center"/>
          </w:tcPr>
          <w:p w14:paraId="098B0EFF">
            <w:pPr>
              <w:spacing w:line="240" w:lineRule="auto"/>
              <w:jc w:val="center"/>
              <w:rPr>
                <w:rFonts w:eastAsia="仿宋"/>
                <w:kern w:val="0"/>
                <w:sz w:val="22"/>
              </w:rPr>
            </w:pPr>
          </w:p>
        </w:tc>
        <w:tc>
          <w:tcPr>
            <w:tcW w:w="1134" w:type="dxa"/>
            <w:vMerge w:val="continue"/>
            <w:vAlign w:val="center"/>
          </w:tcPr>
          <w:p w14:paraId="5DF40DCA">
            <w:pPr>
              <w:widowControl/>
              <w:spacing w:line="240" w:lineRule="auto"/>
              <w:jc w:val="center"/>
              <w:rPr>
                <w:rFonts w:eastAsia="仿宋"/>
                <w:kern w:val="0"/>
                <w:sz w:val="22"/>
              </w:rPr>
            </w:pPr>
          </w:p>
        </w:tc>
      </w:tr>
      <w:tr w14:paraId="6C3F89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863" w:type="dxa"/>
            <w:shd w:val="clear" w:color="auto" w:fill="auto"/>
            <w:noWrap/>
            <w:vAlign w:val="center"/>
          </w:tcPr>
          <w:p w14:paraId="2C6463D3">
            <w:pPr>
              <w:widowControl/>
              <w:spacing w:line="240" w:lineRule="auto"/>
              <w:jc w:val="center"/>
              <w:rPr>
                <w:rFonts w:eastAsia="仿宋"/>
                <w:kern w:val="0"/>
                <w:sz w:val="22"/>
              </w:rPr>
            </w:pPr>
            <w:r>
              <w:rPr>
                <w:rFonts w:hint="eastAsia" w:eastAsia="仿宋"/>
                <w:kern w:val="0"/>
                <w:sz w:val="22"/>
              </w:rPr>
              <w:t>1</w:t>
            </w:r>
            <w:r>
              <w:rPr>
                <w:rFonts w:eastAsia="仿宋"/>
                <w:kern w:val="0"/>
                <w:sz w:val="22"/>
              </w:rPr>
              <w:t>6</w:t>
            </w:r>
          </w:p>
        </w:tc>
        <w:tc>
          <w:tcPr>
            <w:tcW w:w="2246" w:type="dxa"/>
            <w:shd w:val="clear" w:color="auto" w:fill="auto"/>
            <w:noWrap/>
            <w:vAlign w:val="center"/>
          </w:tcPr>
          <w:p w14:paraId="488F1F4B">
            <w:pPr>
              <w:widowControl/>
              <w:spacing w:line="240" w:lineRule="auto"/>
              <w:jc w:val="center"/>
              <w:rPr>
                <w:rFonts w:eastAsia="仿宋"/>
                <w:kern w:val="0"/>
                <w:sz w:val="22"/>
              </w:rPr>
            </w:pPr>
            <w:r>
              <w:rPr>
                <w:rFonts w:hint="eastAsia" w:eastAsia="仿宋"/>
                <w:kern w:val="0"/>
                <w:sz w:val="22"/>
              </w:rPr>
              <w:t>可充电应急照明灯</w:t>
            </w:r>
          </w:p>
        </w:tc>
        <w:tc>
          <w:tcPr>
            <w:tcW w:w="850" w:type="dxa"/>
            <w:shd w:val="clear" w:color="auto" w:fill="auto"/>
            <w:noWrap/>
            <w:vAlign w:val="center"/>
          </w:tcPr>
          <w:p w14:paraId="41103097">
            <w:pPr>
              <w:widowControl/>
              <w:spacing w:line="240" w:lineRule="auto"/>
              <w:jc w:val="center"/>
              <w:rPr>
                <w:rFonts w:eastAsia="仿宋"/>
                <w:kern w:val="0"/>
                <w:sz w:val="22"/>
              </w:rPr>
            </w:pPr>
            <w:r>
              <w:rPr>
                <w:rFonts w:hint="eastAsia" w:eastAsia="仿宋"/>
                <w:kern w:val="0"/>
                <w:sz w:val="22"/>
              </w:rPr>
              <w:t>若干</w:t>
            </w:r>
          </w:p>
        </w:tc>
        <w:tc>
          <w:tcPr>
            <w:tcW w:w="851" w:type="dxa"/>
            <w:shd w:val="clear" w:color="auto" w:fill="auto"/>
            <w:noWrap/>
            <w:vAlign w:val="center"/>
          </w:tcPr>
          <w:p w14:paraId="05FACA8E">
            <w:pPr>
              <w:widowControl/>
              <w:spacing w:line="240" w:lineRule="auto"/>
              <w:jc w:val="center"/>
              <w:rPr>
                <w:rFonts w:eastAsia="仿宋"/>
                <w:kern w:val="0"/>
                <w:sz w:val="22"/>
              </w:rPr>
            </w:pPr>
            <w:r>
              <w:rPr>
                <w:rFonts w:hint="eastAsia" w:eastAsia="仿宋"/>
                <w:kern w:val="0"/>
                <w:sz w:val="22"/>
              </w:rPr>
              <w:t>台</w:t>
            </w:r>
          </w:p>
        </w:tc>
        <w:tc>
          <w:tcPr>
            <w:tcW w:w="2528" w:type="dxa"/>
            <w:vMerge w:val="restart"/>
            <w:vAlign w:val="center"/>
          </w:tcPr>
          <w:p w14:paraId="2C6A0782">
            <w:pPr>
              <w:widowControl/>
              <w:spacing w:line="240" w:lineRule="auto"/>
              <w:jc w:val="center"/>
              <w:rPr>
                <w:rFonts w:eastAsia="仿宋"/>
                <w:kern w:val="0"/>
                <w:sz w:val="22"/>
              </w:rPr>
            </w:pPr>
            <w:r>
              <w:rPr>
                <w:rFonts w:eastAsia="仿宋"/>
                <w:kern w:val="0"/>
                <w:sz w:val="22"/>
              </w:rPr>
              <w:t>应急</w:t>
            </w:r>
            <w:r>
              <w:rPr>
                <w:rFonts w:hint="eastAsia" w:eastAsia="仿宋"/>
                <w:kern w:val="0"/>
                <w:sz w:val="22"/>
              </w:rPr>
              <w:t>通讯和指挥</w:t>
            </w:r>
          </w:p>
        </w:tc>
        <w:tc>
          <w:tcPr>
            <w:tcW w:w="1134" w:type="dxa"/>
            <w:vMerge w:val="continue"/>
            <w:vAlign w:val="center"/>
          </w:tcPr>
          <w:p w14:paraId="2C03E9D0">
            <w:pPr>
              <w:widowControl/>
              <w:spacing w:line="240" w:lineRule="auto"/>
              <w:jc w:val="center"/>
              <w:rPr>
                <w:rFonts w:eastAsia="仿宋"/>
                <w:kern w:val="0"/>
                <w:sz w:val="22"/>
              </w:rPr>
            </w:pPr>
          </w:p>
        </w:tc>
      </w:tr>
      <w:tr w14:paraId="2CBBA8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863" w:type="dxa"/>
            <w:shd w:val="clear" w:color="auto" w:fill="auto"/>
            <w:noWrap/>
            <w:vAlign w:val="center"/>
          </w:tcPr>
          <w:p w14:paraId="0BB03699">
            <w:pPr>
              <w:widowControl/>
              <w:spacing w:line="240" w:lineRule="auto"/>
              <w:jc w:val="center"/>
              <w:rPr>
                <w:rFonts w:eastAsia="仿宋"/>
                <w:kern w:val="0"/>
                <w:sz w:val="22"/>
              </w:rPr>
            </w:pPr>
            <w:r>
              <w:rPr>
                <w:rFonts w:hint="eastAsia" w:eastAsia="仿宋"/>
                <w:kern w:val="0"/>
                <w:sz w:val="22"/>
              </w:rPr>
              <w:t>1</w:t>
            </w:r>
            <w:r>
              <w:rPr>
                <w:rFonts w:eastAsia="仿宋"/>
                <w:kern w:val="0"/>
                <w:sz w:val="22"/>
              </w:rPr>
              <w:t>7</w:t>
            </w:r>
          </w:p>
        </w:tc>
        <w:tc>
          <w:tcPr>
            <w:tcW w:w="2246" w:type="dxa"/>
            <w:shd w:val="clear" w:color="auto" w:fill="auto"/>
            <w:noWrap/>
            <w:vAlign w:val="center"/>
          </w:tcPr>
          <w:p w14:paraId="5022583E">
            <w:pPr>
              <w:widowControl/>
              <w:spacing w:line="240" w:lineRule="auto"/>
              <w:jc w:val="center"/>
              <w:rPr>
                <w:rFonts w:eastAsia="仿宋"/>
                <w:kern w:val="0"/>
                <w:sz w:val="22"/>
              </w:rPr>
            </w:pPr>
            <w:r>
              <w:rPr>
                <w:rFonts w:hint="eastAsia" w:eastAsia="仿宋"/>
                <w:kern w:val="0"/>
                <w:sz w:val="22"/>
              </w:rPr>
              <w:t>扩音器</w:t>
            </w:r>
          </w:p>
        </w:tc>
        <w:tc>
          <w:tcPr>
            <w:tcW w:w="850" w:type="dxa"/>
            <w:shd w:val="clear" w:color="auto" w:fill="auto"/>
            <w:noWrap/>
            <w:vAlign w:val="center"/>
          </w:tcPr>
          <w:p w14:paraId="4374B6FD">
            <w:pPr>
              <w:widowControl/>
              <w:spacing w:line="240" w:lineRule="auto"/>
              <w:jc w:val="center"/>
              <w:rPr>
                <w:rFonts w:eastAsia="仿宋"/>
                <w:kern w:val="0"/>
                <w:sz w:val="22"/>
              </w:rPr>
            </w:pPr>
            <w:r>
              <w:rPr>
                <w:rFonts w:hint="eastAsia" w:eastAsia="仿宋"/>
                <w:kern w:val="0"/>
                <w:sz w:val="22"/>
              </w:rPr>
              <w:t>若干</w:t>
            </w:r>
          </w:p>
        </w:tc>
        <w:tc>
          <w:tcPr>
            <w:tcW w:w="851" w:type="dxa"/>
            <w:shd w:val="clear" w:color="auto" w:fill="auto"/>
            <w:noWrap/>
            <w:vAlign w:val="center"/>
          </w:tcPr>
          <w:p w14:paraId="18E8C09A">
            <w:pPr>
              <w:widowControl/>
              <w:spacing w:line="240" w:lineRule="auto"/>
              <w:jc w:val="center"/>
              <w:rPr>
                <w:rFonts w:eastAsia="仿宋"/>
                <w:kern w:val="0"/>
                <w:sz w:val="22"/>
              </w:rPr>
            </w:pPr>
            <w:r>
              <w:rPr>
                <w:rFonts w:hint="eastAsia" w:eastAsia="仿宋"/>
                <w:kern w:val="0"/>
                <w:sz w:val="22"/>
              </w:rPr>
              <w:t>部</w:t>
            </w:r>
          </w:p>
        </w:tc>
        <w:tc>
          <w:tcPr>
            <w:tcW w:w="2528" w:type="dxa"/>
            <w:vMerge w:val="continue"/>
            <w:vAlign w:val="center"/>
          </w:tcPr>
          <w:p w14:paraId="312CB44B">
            <w:pPr>
              <w:widowControl/>
              <w:spacing w:line="240" w:lineRule="auto"/>
              <w:jc w:val="center"/>
              <w:rPr>
                <w:rFonts w:eastAsia="仿宋"/>
                <w:kern w:val="0"/>
                <w:sz w:val="22"/>
              </w:rPr>
            </w:pPr>
          </w:p>
        </w:tc>
        <w:tc>
          <w:tcPr>
            <w:tcW w:w="1134" w:type="dxa"/>
            <w:vMerge w:val="continue"/>
            <w:vAlign w:val="center"/>
          </w:tcPr>
          <w:p w14:paraId="2FF00F5A">
            <w:pPr>
              <w:widowControl/>
              <w:spacing w:line="240" w:lineRule="auto"/>
              <w:jc w:val="center"/>
              <w:rPr>
                <w:rFonts w:eastAsia="仿宋"/>
                <w:kern w:val="0"/>
                <w:sz w:val="22"/>
              </w:rPr>
            </w:pPr>
          </w:p>
        </w:tc>
      </w:tr>
      <w:tr w14:paraId="296B4B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863" w:type="dxa"/>
            <w:shd w:val="clear" w:color="auto" w:fill="auto"/>
            <w:noWrap/>
            <w:vAlign w:val="center"/>
          </w:tcPr>
          <w:p w14:paraId="43E86851">
            <w:pPr>
              <w:widowControl/>
              <w:spacing w:line="240" w:lineRule="auto"/>
              <w:jc w:val="center"/>
              <w:rPr>
                <w:rFonts w:eastAsia="仿宋"/>
                <w:kern w:val="0"/>
                <w:sz w:val="22"/>
              </w:rPr>
            </w:pPr>
            <w:r>
              <w:rPr>
                <w:rFonts w:eastAsia="仿宋"/>
                <w:kern w:val="0"/>
                <w:sz w:val="22"/>
              </w:rPr>
              <w:t>18</w:t>
            </w:r>
          </w:p>
        </w:tc>
        <w:tc>
          <w:tcPr>
            <w:tcW w:w="2246" w:type="dxa"/>
            <w:shd w:val="clear" w:color="auto" w:fill="auto"/>
            <w:noWrap/>
            <w:vAlign w:val="center"/>
          </w:tcPr>
          <w:p w14:paraId="2E58574E">
            <w:pPr>
              <w:widowControl/>
              <w:spacing w:line="240" w:lineRule="auto"/>
              <w:jc w:val="center"/>
              <w:rPr>
                <w:rFonts w:eastAsia="仿宋"/>
                <w:kern w:val="0"/>
                <w:sz w:val="22"/>
              </w:rPr>
            </w:pPr>
            <w:r>
              <w:rPr>
                <w:rFonts w:eastAsia="仿宋"/>
                <w:kern w:val="0"/>
                <w:sz w:val="22"/>
              </w:rPr>
              <w:t>充电电筒</w:t>
            </w:r>
          </w:p>
        </w:tc>
        <w:tc>
          <w:tcPr>
            <w:tcW w:w="850" w:type="dxa"/>
            <w:shd w:val="clear" w:color="auto" w:fill="auto"/>
            <w:noWrap/>
            <w:vAlign w:val="center"/>
          </w:tcPr>
          <w:p w14:paraId="132C65C4">
            <w:pPr>
              <w:widowControl/>
              <w:spacing w:line="240" w:lineRule="auto"/>
              <w:jc w:val="center"/>
              <w:rPr>
                <w:rFonts w:eastAsia="仿宋"/>
                <w:kern w:val="0"/>
                <w:sz w:val="22"/>
              </w:rPr>
            </w:pPr>
            <w:r>
              <w:rPr>
                <w:rFonts w:hint="eastAsia" w:eastAsia="仿宋"/>
                <w:kern w:val="0"/>
                <w:sz w:val="22"/>
              </w:rPr>
              <w:t>若干</w:t>
            </w:r>
          </w:p>
        </w:tc>
        <w:tc>
          <w:tcPr>
            <w:tcW w:w="851" w:type="dxa"/>
            <w:shd w:val="clear" w:color="auto" w:fill="auto"/>
            <w:noWrap/>
            <w:vAlign w:val="center"/>
          </w:tcPr>
          <w:p w14:paraId="5D2D96FB">
            <w:pPr>
              <w:widowControl/>
              <w:spacing w:line="240" w:lineRule="auto"/>
              <w:jc w:val="center"/>
              <w:rPr>
                <w:rFonts w:eastAsia="仿宋"/>
                <w:kern w:val="0"/>
                <w:sz w:val="22"/>
              </w:rPr>
            </w:pPr>
            <w:r>
              <w:rPr>
                <w:rFonts w:eastAsia="仿宋"/>
                <w:kern w:val="0"/>
                <w:sz w:val="22"/>
              </w:rPr>
              <w:t>把</w:t>
            </w:r>
          </w:p>
        </w:tc>
        <w:tc>
          <w:tcPr>
            <w:tcW w:w="2528" w:type="dxa"/>
            <w:vMerge w:val="continue"/>
            <w:vAlign w:val="center"/>
          </w:tcPr>
          <w:p w14:paraId="11D125AB">
            <w:pPr>
              <w:widowControl/>
              <w:spacing w:line="240" w:lineRule="auto"/>
              <w:jc w:val="center"/>
              <w:rPr>
                <w:rFonts w:eastAsia="仿宋"/>
                <w:kern w:val="0"/>
                <w:sz w:val="22"/>
              </w:rPr>
            </w:pPr>
          </w:p>
        </w:tc>
        <w:tc>
          <w:tcPr>
            <w:tcW w:w="1134" w:type="dxa"/>
            <w:vMerge w:val="continue"/>
            <w:vAlign w:val="center"/>
          </w:tcPr>
          <w:p w14:paraId="1ACC4556">
            <w:pPr>
              <w:widowControl/>
              <w:spacing w:line="240" w:lineRule="auto"/>
              <w:jc w:val="center"/>
              <w:rPr>
                <w:rFonts w:eastAsia="仿宋"/>
                <w:kern w:val="0"/>
                <w:sz w:val="22"/>
              </w:rPr>
            </w:pPr>
          </w:p>
        </w:tc>
      </w:tr>
      <w:tr w14:paraId="02CF61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863" w:type="dxa"/>
            <w:shd w:val="clear" w:color="auto" w:fill="auto"/>
            <w:noWrap/>
            <w:vAlign w:val="center"/>
          </w:tcPr>
          <w:p w14:paraId="3FBB9150">
            <w:pPr>
              <w:widowControl/>
              <w:spacing w:line="240" w:lineRule="auto"/>
              <w:jc w:val="center"/>
              <w:rPr>
                <w:rFonts w:eastAsia="仿宋"/>
                <w:kern w:val="0"/>
                <w:sz w:val="22"/>
              </w:rPr>
            </w:pPr>
            <w:r>
              <w:rPr>
                <w:rFonts w:eastAsia="仿宋"/>
                <w:kern w:val="0"/>
                <w:sz w:val="22"/>
              </w:rPr>
              <w:t>19</w:t>
            </w:r>
          </w:p>
        </w:tc>
        <w:tc>
          <w:tcPr>
            <w:tcW w:w="2246" w:type="dxa"/>
            <w:shd w:val="clear" w:color="auto" w:fill="auto"/>
            <w:noWrap/>
            <w:vAlign w:val="center"/>
          </w:tcPr>
          <w:p w14:paraId="500B0A94">
            <w:pPr>
              <w:widowControl/>
              <w:spacing w:line="240" w:lineRule="auto"/>
              <w:jc w:val="center"/>
              <w:rPr>
                <w:rFonts w:eastAsia="仿宋"/>
                <w:kern w:val="0"/>
                <w:sz w:val="22"/>
              </w:rPr>
            </w:pPr>
            <w:r>
              <w:rPr>
                <w:rFonts w:eastAsia="仿宋"/>
                <w:kern w:val="0"/>
                <w:sz w:val="22"/>
              </w:rPr>
              <w:t>对讲机</w:t>
            </w:r>
          </w:p>
        </w:tc>
        <w:tc>
          <w:tcPr>
            <w:tcW w:w="850" w:type="dxa"/>
            <w:shd w:val="clear" w:color="auto" w:fill="auto"/>
            <w:noWrap/>
            <w:vAlign w:val="center"/>
          </w:tcPr>
          <w:p w14:paraId="3E4B556A">
            <w:pPr>
              <w:widowControl/>
              <w:spacing w:line="240" w:lineRule="auto"/>
              <w:jc w:val="center"/>
              <w:rPr>
                <w:rFonts w:eastAsia="仿宋"/>
                <w:kern w:val="0"/>
                <w:sz w:val="22"/>
              </w:rPr>
            </w:pPr>
            <w:r>
              <w:rPr>
                <w:rFonts w:hint="eastAsia" w:eastAsia="仿宋"/>
                <w:kern w:val="0"/>
                <w:sz w:val="22"/>
              </w:rPr>
              <w:t>若干</w:t>
            </w:r>
          </w:p>
        </w:tc>
        <w:tc>
          <w:tcPr>
            <w:tcW w:w="851" w:type="dxa"/>
            <w:shd w:val="clear" w:color="auto" w:fill="auto"/>
            <w:noWrap/>
            <w:vAlign w:val="center"/>
          </w:tcPr>
          <w:p w14:paraId="35E26FDA">
            <w:pPr>
              <w:widowControl/>
              <w:spacing w:line="240" w:lineRule="auto"/>
              <w:jc w:val="center"/>
              <w:rPr>
                <w:rFonts w:eastAsia="仿宋"/>
                <w:kern w:val="0"/>
                <w:sz w:val="22"/>
              </w:rPr>
            </w:pPr>
            <w:r>
              <w:rPr>
                <w:rFonts w:eastAsia="仿宋"/>
                <w:kern w:val="0"/>
                <w:sz w:val="22"/>
              </w:rPr>
              <w:t>部</w:t>
            </w:r>
          </w:p>
        </w:tc>
        <w:tc>
          <w:tcPr>
            <w:tcW w:w="2528" w:type="dxa"/>
            <w:vMerge w:val="continue"/>
            <w:vAlign w:val="center"/>
          </w:tcPr>
          <w:p w14:paraId="136FC2B4">
            <w:pPr>
              <w:widowControl/>
              <w:spacing w:line="240" w:lineRule="auto"/>
              <w:jc w:val="center"/>
              <w:rPr>
                <w:rFonts w:eastAsia="仿宋"/>
                <w:kern w:val="0"/>
                <w:sz w:val="22"/>
              </w:rPr>
            </w:pPr>
          </w:p>
        </w:tc>
        <w:tc>
          <w:tcPr>
            <w:tcW w:w="1134" w:type="dxa"/>
            <w:vMerge w:val="continue"/>
            <w:vAlign w:val="center"/>
          </w:tcPr>
          <w:p w14:paraId="371706F2">
            <w:pPr>
              <w:widowControl/>
              <w:spacing w:line="240" w:lineRule="auto"/>
              <w:jc w:val="center"/>
              <w:rPr>
                <w:rFonts w:eastAsia="仿宋"/>
                <w:kern w:val="0"/>
                <w:sz w:val="22"/>
              </w:rPr>
            </w:pPr>
          </w:p>
        </w:tc>
      </w:tr>
      <w:tr w14:paraId="798368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863" w:type="dxa"/>
            <w:shd w:val="clear" w:color="auto" w:fill="auto"/>
            <w:noWrap/>
            <w:vAlign w:val="center"/>
          </w:tcPr>
          <w:p w14:paraId="163D602B">
            <w:pPr>
              <w:widowControl/>
              <w:spacing w:line="240" w:lineRule="auto"/>
              <w:jc w:val="center"/>
              <w:rPr>
                <w:rFonts w:eastAsia="仿宋"/>
                <w:kern w:val="0"/>
                <w:sz w:val="22"/>
              </w:rPr>
            </w:pPr>
            <w:r>
              <w:rPr>
                <w:rFonts w:eastAsia="仿宋"/>
                <w:kern w:val="0"/>
                <w:sz w:val="22"/>
              </w:rPr>
              <w:t>20</w:t>
            </w:r>
          </w:p>
        </w:tc>
        <w:tc>
          <w:tcPr>
            <w:tcW w:w="2246" w:type="dxa"/>
            <w:shd w:val="clear" w:color="auto" w:fill="auto"/>
            <w:noWrap/>
            <w:vAlign w:val="center"/>
          </w:tcPr>
          <w:p w14:paraId="08098A84">
            <w:pPr>
              <w:widowControl/>
              <w:spacing w:line="240" w:lineRule="auto"/>
              <w:jc w:val="center"/>
              <w:rPr>
                <w:rFonts w:eastAsia="仿宋"/>
                <w:kern w:val="0"/>
                <w:sz w:val="22"/>
              </w:rPr>
            </w:pPr>
            <w:r>
              <w:rPr>
                <w:rFonts w:hint="eastAsia" w:eastAsia="仿宋"/>
                <w:kern w:val="0"/>
                <w:sz w:val="22"/>
              </w:rPr>
              <w:t>警戒警示标志</w:t>
            </w:r>
          </w:p>
        </w:tc>
        <w:tc>
          <w:tcPr>
            <w:tcW w:w="850" w:type="dxa"/>
            <w:shd w:val="clear" w:color="auto" w:fill="auto"/>
            <w:noWrap/>
            <w:vAlign w:val="center"/>
          </w:tcPr>
          <w:p w14:paraId="7BB1E2B5">
            <w:pPr>
              <w:widowControl/>
              <w:spacing w:line="240" w:lineRule="auto"/>
              <w:jc w:val="center"/>
              <w:rPr>
                <w:rFonts w:eastAsia="仿宋"/>
                <w:kern w:val="0"/>
                <w:sz w:val="22"/>
              </w:rPr>
            </w:pPr>
            <w:r>
              <w:rPr>
                <w:rFonts w:hint="eastAsia" w:eastAsia="仿宋"/>
                <w:kern w:val="0"/>
                <w:sz w:val="22"/>
              </w:rPr>
              <w:t>若干</w:t>
            </w:r>
          </w:p>
        </w:tc>
        <w:tc>
          <w:tcPr>
            <w:tcW w:w="851" w:type="dxa"/>
            <w:shd w:val="clear" w:color="auto" w:fill="auto"/>
            <w:noWrap/>
            <w:vAlign w:val="center"/>
          </w:tcPr>
          <w:p w14:paraId="6D45502B">
            <w:pPr>
              <w:widowControl/>
              <w:spacing w:line="240" w:lineRule="auto"/>
              <w:jc w:val="center"/>
              <w:rPr>
                <w:rFonts w:eastAsia="仿宋"/>
                <w:kern w:val="0"/>
                <w:sz w:val="22"/>
              </w:rPr>
            </w:pPr>
            <w:r>
              <w:rPr>
                <w:rFonts w:eastAsia="仿宋"/>
                <w:kern w:val="0"/>
                <w:sz w:val="22"/>
              </w:rPr>
              <w:t>个</w:t>
            </w:r>
          </w:p>
        </w:tc>
        <w:tc>
          <w:tcPr>
            <w:tcW w:w="2528" w:type="dxa"/>
            <w:vMerge w:val="restart"/>
            <w:vAlign w:val="center"/>
          </w:tcPr>
          <w:p w14:paraId="3D9506E0">
            <w:pPr>
              <w:widowControl/>
              <w:spacing w:line="240" w:lineRule="auto"/>
              <w:jc w:val="center"/>
              <w:rPr>
                <w:rFonts w:eastAsia="仿宋"/>
                <w:kern w:val="0"/>
                <w:sz w:val="22"/>
              </w:rPr>
            </w:pPr>
            <w:r>
              <w:rPr>
                <w:rFonts w:hint="eastAsia" w:eastAsia="仿宋"/>
                <w:kern w:val="0"/>
                <w:sz w:val="22"/>
              </w:rPr>
              <w:t>警示警戒</w:t>
            </w:r>
          </w:p>
        </w:tc>
        <w:tc>
          <w:tcPr>
            <w:tcW w:w="1134" w:type="dxa"/>
            <w:vMerge w:val="continue"/>
            <w:vAlign w:val="center"/>
          </w:tcPr>
          <w:p w14:paraId="3A890CE4">
            <w:pPr>
              <w:widowControl/>
              <w:spacing w:line="240" w:lineRule="auto"/>
              <w:jc w:val="center"/>
              <w:rPr>
                <w:rFonts w:eastAsia="仿宋"/>
                <w:kern w:val="0"/>
                <w:sz w:val="22"/>
              </w:rPr>
            </w:pPr>
          </w:p>
        </w:tc>
      </w:tr>
      <w:tr w14:paraId="0B5ACF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863" w:type="dxa"/>
            <w:shd w:val="clear" w:color="auto" w:fill="auto"/>
            <w:noWrap/>
            <w:vAlign w:val="center"/>
          </w:tcPr>
          <w:p w14:paraId="14ECC8EC">
            <w:pPr>
              <w:widowControl/>
              <w:spacing w:line="240" w:lineRule="auto"/>
              <w:jc w:val="center"/>
              <w:rPr>
                <w:rFonts w:eastAsia="仿宋"/>
                <w:kern w:val="0"/>
                <w:sz w:val="22"/>
              </w:rPr>
            </w:pPr>
            <w:r>
              <w:rPr>
                <w:rFonts w:eastAsia="仿宋"/>
                <w:kern w:val="0"/>
                <w:sz w:val="22"/>
              </w:rPr>
              <w:t>21</w:t>
            </w:r>
          </w:p>
        </w:tc>
        <w:tc>
          <w:tcPr>
            <w:tcW w:w="2246" w:type="dxa"/>
            <w:shd w:val="clear" w:color="auto" w:fill="auto"/>
            <w:noWrap/>
            <w:vAlign w:val="center"/>
          </w:tcPr>
          <w:p w14:paraId="492F25A5">
            <w:pPr>
              <w:widowControl/>
              <w:spacing w:line="240" w:lineRule="auto"/>
              <w:jc w:val="center"/>
              <w:rPr>
                <w:rFonts w:eastAsia="仿宋"/>
                <w:kern w:val="0"/>
                <w:sz w:val="22"/>
              </w:rPr>
            </w:pPr>
            <w:r>
              <w:rPr>
                <w:rFonts w:eastAsia="仿宋"/>
                <w:kern w:val="0"/>
                <w:sz w:val="22"/>
              </w:rPr>
              <w:t>风向标</w:t>
            </w:r>
          </w:p>
        </w:tc>
        <w:tc>
          <w:tcPr>
            <w:tcW w:w="850" w:type="dxa"/>
            <w:shd w:val="clear" w:color="auto" w:fill="auto"/>
            <w:noWrap/>
            <w:vAlign w:val="center"/>
          </w:tcPr>
          <w:p w14:paraId="28851A46">
            <w:pPr>
              <w:widowControl/>
              <w:spacing w:line="240" w:lineRule="auto"/>
              <w:jc w:val="center"/>
              <w:rPr>
                <w:rFonts w:eastAsia="仿宋"/>
                <w:kern w:val="0"/>
                <w:sz w:val="22"/>
              </w:rPr>
            </w:pPr>
            <w:r>
              <w:rPr>
                <w:rFonts w:hint="eastAsia" w:eastAsia="仿宋"/>
                <w:kern w:val="0"/>
                <w:sz w:val="22"/>
              </w:rPr>
              <w:t>若干</w:t>
            </w:r>
          </w:p>
        </w:tc>
        <w:tc>
          <w:tcPr>
            <w:tcW w:w="851" w:type="dxa"/>
            <w:shd w:val="clear" w:color="auto" w:fill="auto"/>
            <w:noWrap/>
            <w:vAlign w:val="center"/>
          </w:tcPr>
          <w:p w14:paraId="34FE88F4">
            <w:pPr>
              <w:widowControl/>
              <w:spacing w:line="240" w:lineRule="auto"/>
              <w:jc w:val="center"/>
              <w:rPr>
                <w:rFonts w:eastAsia="仿宋"/>
                <w:kern w:val="0"/>
                <w:sz w:val="22"/>
              </w:rPr>
            </w:pPr>
            <w:r>
              <w:rPr>
                <w:rFonts w:eastAsia="仿宋"/>
                <w:kern w:val="0"/>
                <w:sz w:val="22"/>
              </w:rPr>
              <w:t>个</w:t>
            </w:r>
          </w:p>
        </w:tc>
        <w:tc>
          <w:tcPr>
            <w:tcW w:w="2528" w:type="dxa"/>
            <w:vMerge w:val="continue"/>
            <w:vAlign w:val="center"/>
          </w:tcPr>
          <w:p w14:paraId="44BC04BB">
            <w:pPr>
              <w:widowControl/>
              <w:spacing w:line="240" w:lineRule="auto"/>
              <w:jc w:val="center"/>
              <w:rPr>
                <w:rFonts w:eastAsia="仿宋"/>
                <w:kern w:val="0"/>
                <w:sz w:val="22"/>
              </w:rPr>
            </w:pPr>
          </w:p>
        </w:tc>
        <w:tc>
          <w:tcPr>
            <w:tcW w:w="1134" w:type="dxa"/>
            <w:vMerge w:val="continue"/>
            <w:vAlign w:val="center"/>
          </w:tcPr>
          <w:p w14:paraId="768BD13B">
            <w:pPr>
              <w:widowControl/>
              <w:spacing w:line="240" w:lineRule="auto"/>
              <w:jc w:val="center"/>
              <w:rPr>
                <w:rFonts w:eastAsia="仿宋"/>
                <w:kern w:val="0"/>
                <w:sz w:val="22"/>
              </w:rPr>
            </w:pPr>
          </w:p>
        </w:tc>
      </w:tr>
    </w:tbl>
    <w:p w14:paraId="39C20186">
      <w:pPr>
        <w:jc w:val="center"/>
        <w:rPr>
          <w:rFonts w:eastAsia="仿宋"/>
          <w:b/>
          <w:kern w:val="0"/>
          <w:sz w:val="21"/>
          <w:szCs w:val="21"/>
        </w:rPr>
      </w:pPr>
      <w:r>
        <w:rPr>
          <w:rFonts w:hint="eastAsia" w:eastAsia="仿宋"/>
          <w:b/>
          <w:kern w:val="0"/>
          <w:sz w:val="21"/>
          <w:szCs w:val="21"/>
        </w:rPr>
        <w:t>表2-</w:t>
      </w:r>
      <w:r>
        <w:rPr>
          <w:rFonts w:eastAsia="仿宋"/>
          <w:b/>
          <w:kern w:val="0"/>
          <w:sz w:val="21"/>
          <w:szCs w:val="21"/>
        </w:rPr>
        <w:t xml:space="preserve">3  </w:t>
      </w:r>
      <w:r>
        <w:rPr>
          <w:rFonts w:hint="eastAsia" w:eastAsia="仿宋"/>
          <w:b/>
          <w:kern w:val="0"/>
          <w:sz w:val="21"/>
          <w:szCs w:val="21"/>
        </w:rPr>
        <w:t>花溪区千人以上</w:t>
      </w:r>
      <w:r>
        <w:rPr>
          <w:rFonts w:eastAsia="仿宋"/>
          <w:b/>
          <w:kern w:val="0"/>
          <w:sz w:val="21"/>
          <w:szCs w:val="21"/>
        </w:rPr>
        <w:t>集中式饮用水水源地应急</w:t>
      </w:r>
      <w:r>
        <w:rPr>
          <w:rFonts w:hint="eastAsia" w:eastAsia="仿宋"/>
          <w:b/>
          <w:kern w:val="0"/>
          <w:sz w:val="21"/>
          <w:szCs w:val="21"/>
        </w:rPr>
        <w:t>环境监测物资</w:t>
      </w:r>
    </w:p>
    <w:p w14:paraId="01CD8C99">
      <w:pPr>
        <w:rPr>
          <w:rFonts w:eastAsia="仿宋"/>
        </w:rPr>
      </w:pPr>
      <w:r>
        <w:rPr>
          <w:rFonts w:eastAsia="仿宋"/>
        </w:rPr>
        <w:drawing>
          <wp:inline distT="0" distB="0" distL="0" distR="0">
            <wp:extent cx="5412740" cy="299783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5435452" cy="3010132"/>
                    </a:xfrm>
                    <a:prstGeom prst="rect">
                      <a:avLst/>
                    </a:prstGeom>
                    <a:noFill/>
                    <a:ln>
                      <a:noFill/>
                    </a:ln>
                  </pic:spPr>
                </pic:pic>
              </a:graphicData>
            </a:graphic>
          </wp:inline>
        </w:drawing>
      </w:r>
    </w:p>
    <w:bookmarkEnd w:id="52"/>
    <w:p w14:paraId="060D9BE2">
      <w:pPr>
        <w:rPr>
          <w:rFonts w:eastAsia="仿宋"/>
        </w:rPr>
      </w:pPr>
    </w:p>
    <w:p w14:paraId="29C5F3FF">
      <w:pPr>
        <w:rPr>
          <w:rFonts w:eastAsia="仿宋"/>
        </w:rPr>
        <w:sectPr>
          <w:pgSz w:w="11906" w:h="16838"/>
          <w:pgMar w:top="1440" w:right="1644" w:bottom="1440" w:left="1644" w:header="851" w:footer="992" w:gutter="0"/>
          <w:cols w:space="425" w:num="1"/>
          <w:docGrid w:type="lines" w:linePitch="312" w:charSpace="0"/>
        </w:sectPr>
      </w:pPr>
    </w:p>
    <w:p w14:paraId="2497DFF5">
      <w:pPr>
        <w:spacing w:line="240" w:lineRule="auto"/>
        <w:rPr>
          <w:rFonts w:eastAsia="仿宋"/>
          <w:sz w:val="18"/>
        </w:rPr>
      </w:pPr>
    </w:p>
    <w:p w14:paraId="1C7F50F3">
      <w:pPr>
        <w:widowControl/>
        <w:spacing w:line="240" w:lineRule="auto"/>
        <w:jc w:val="center"/>
        <w:outlineLvl w:val="0"/>
        <w:rPr>
          <w:rFonts w:eastAsia="仿宋"/>
          <w:b/>
          <w:bCs/>
          <w:sz w:val="32"/>
          <w:szCs w:val="28"/>
        </w:rPr>
      </w:pPr>
      <w:bookmarkStart w:id="53" w:name="_Toc60930791"/>
      <w:r>
        <w:rPr>
          <w:rFonts w:eastAsia="仿宋"/>
          <w:b/>
          <w:bCs/>
          <w:sz w:val="32"/>
          <w:szCs w:val="28"/>
        </w:rPr>
        <w:t>3  应急组织指挥体系</w:t>
      </w:r>
      <w:bookmarkEnd w:id="53"/>
    </w:p>
    <w:p w14:paraId="54C79E61">
      <w:pPr>
        <w:spacing w:line="240" w:lineRule="auto"/>
        <w:rPr>
          <w:rFonts w:eastAsia="仿宋"/>
        </w:rPr>
      </w:pPr>
    </w:p>
    <w:p w14:paraId="446EDB2C">
      <w:pPr>
        <w:pStyle w:val="3"/>
        <w:rPr>
          <w:rFonts w:eastAsia="仿宋"/>
          <w:sz w:val="32"/>
        </w:rPr>
      </w:pPr>
      <w:bookmarkStart w:id="54" w:name="_Toc60930792"/>
      <w:r>
        <w:rPr>
          <w:rFonts w:eastAsia="仿宋"/>
          <w:sz w:val="32"/>
        </w:rPr>
        <w:t>3.1 应急组织体系构成</w:t>
      </w:r>
      <w:bookmarkEnd w:id="54"/>
    </w:p>
    <w:p w14:paraId="3341309C">
      <w:pPr>
        <w:ind w:firstLine="560" w:firstLineChars="200"/>
        <w:rPr>
          <w:rFonts w:eastAsia="仿宋"/>
          <w:sz w:val="28"/>
          <w:szCs w:val="28"/>
        </w:rPr>
      </w:pPr>
      <w:r>
        <w:rPr>
          <w:rFonts w:eastAsia="仿宋"/>
          <w:sz w:val="28"/>
          <w:szCs w:val="28"/>
        </w:rPr>
        <w:t>成立花溪区</w:t>
      </w:r>
      <w:r>
        <w:rPr>
          <w:rFonts w:hint="eastAsia" w:eastAsia="仿宋"/>
          <w:sz w:val="28"/>
          <w:szCs w:val="28"/>
        </w:rPr>
        <w:t>千人以上</w:t>
      </w:r>
      <w:r>
        <w:rPr>
          <w:rFonts w:eastAsia="仿宋"/>
          <w:sz w:val="28"/>
          <w:szCs w:val="28"/>
        </w:rPr>
        <w:t>集中式饮用水水源地突发环境事件应急指挥部（以下简称“应急指挥部”）</w:t>
      </w:r>
      <w:r>
        <w:rPr>
          <w:rFonts w:hint="eastAsia" w:eastAsia="仿宋"/>
          <w:sz w:val="28"/>
          <w:szCs w:val="28"/>
        </w:rPr>
        <w:t>，</w:t>
      </w:r>
      <w:r>
        <w:rPr>
          <w:rFonts w:eastAsia="仿宋"/>
          <w:sz w:val="28"/>
          <w:szCs w:val="28"/>
        </w:rPr>
        <w:t>在花溪区人民政府领导下专门负责应急处置花溪区</w:t>
      </w:r>
      <w:r>
        <w:rPr>
          <w:rFonts w:hint="eastAsia" w:eastAsia="仿宋"/>
          <w:sz w:val="28"/>
          <w:szCs w:val="28"/>
        </w:rPr>
        <w:t>千人以上</w:t>
      </w:r>
      <w:r>
        <w:rPr>
          <w:rFonts w:eastAsia="仿宋"/>
          <w:sz w:val="28"/>
          <w:szCs w:val="28"/>
        </w:rPr>
        <w:t>集中式饮用水水源地突发环境事件工作的领导机构。指挥长由花溪区分管生态环境工作的副区长</w:t>
      </w:r>
      <w:r>
        <w:rPr>
          <w:rFonts w:hint="eastAsia" w:eastAsia="仿宋"/>
          <w:sz w:val="28"/>
          <w:szCs w:val="28"/>
          <w:lang w:eastAsia="zh-CN"/>
        </w:rPr>
        <w:t>王小兵</w:t>
      </w:r>
      <w:r>
        <w:rPr>
          <w:rFonts w:eastAsia="仿宋"/>
          <w:sz w:val="28"/>
          <w:szCs w:val="28"/>
        </w:rPr>
        <w:t>担任，下设花溪区</w:t>
      </w:r>
      <w:r>
        <w:rPr>
          <w:rFonts w:hint="eastAsia" w:eastAsia="仿宋"/>
          <w:sz w:val="28"/>
          <w:szCs w:val="28"/>
        </w:rPr>
        <w:t>千人以上</w:t>
      </w:r>
      <w:r>
        <w:rPr>
          <w:rFonts w:eastAsia="仿宋"/>
          <w:sz w:val="28"/>
          <w:szCs w:val="28"/>
        </w:rPr>
        <w:t>集中式饮用水水源地突发环境事件应急办公室，为常设机构，办公室主任由贵阳市生态环境局花溪分局局长</w:t>
      </w:r>
      <w:r>
        <w:rPr>
          <w:rFonts w:hint="eastAsia" w:eastAsia="仿宋"/>
          <w:sz w:val="28"/>
          <w:szCs w:val="28"/>
        </w:rPr>
        <w:t>张君发</w:t>
      </w:r>
      <w:r>
        <w:rPr>
          <w:rFonts w:eastAsia="仿宋"/>
          <w:sz w:val="28"/>
          <w:szCs w:val="28"/>
        </w:rPr>
        <w:t>兼任。应急指挥部下设应急监测组、应急处置组、后勤保障组、警戒疏散组、医疗救援组、新闻宣传组、事后调查组、专家咨询组、社会稳定组。</w:t>
      </w:r>
    </w:p>
    <w:p w14:paraId="0B8C8DDB">
      <w:pPr>
        <w:autoSpaceDE w:val="0"/>
        <w:autoSpaceDN w:val="0"/>
        <w:adjustRightInd w:val="0"/>
        <w:spacing w:line="240" w:lineRule="auto"/>
        <w:jc w:val="center"/>
        <w:rPr>
          <w:rFonts w:eastAsia="仿宋"/>
          <w:kern w:val="0"/>
          <w:szCs w:val="24"/>
        </w:rPr>
      </w:pPr>
      <w:r>
        <w:rPr>
          <w:rFonts w:eastAsia="仿宋"/>
          <w:kern w:val="0"/>
          <w:szCs w:val="24"/>
        </w:rPr>
        <w:drawing>
          <wp:inline distT="0" distB="0" distL="0" distR="0">
            <wp:extent cx="5278120" cy="2529840"/>
            <wp:effectExtent l="0" t="0" r="0" b="381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278120" cy="2529840"/>
                    </a:xfrm>
                    <a:prstGeom prst="rect">
                      <a:avLst/>
                    </a:prstGeom>
                  </pic:spPr>
                </pic:pic>
              </a:graphicData>
            </a:graphic>
          </wp:inline>
        </w:drawing>
      </w:r>
    </w:p>
    <w:p w14:paraId="11AA8E18">
      <w:pPr>
        <w:autoSpaceDE w:val="0"/>
        <w:autoSpaceDN w:val="0"/>
        <w:adjustRightInd w:val="0"/>
        <w:spacing w:line="240" w:lineRule="auto"/>
        <w:jc w:val="center"/>
        <w:rPr>
          <w:rFonts w:eastAsia="仿宋"/>
          <w:b/>
          <w:kern w:val="0"/>
          <w:sz w:val="21"/>
          <w:szCs w:val="21"/>
        </w:rPr>
      </w:pPr>
      <w:r>
        <w:rPr>
          <w:rFonts w:hint="eastAsia" w:eastAsia="仿宋"/>
          <w:b/>
          <w:kern w:val="0"/>
          <w:sz w:val="21"/>
          <w:szCs w:val="21"/>
        </w:rPr>
        <w:t>图3-</w:t>
      </w:r>
      <w:r>
        <w:rPr>
          <w:rFonts w:eastAsia="仿宋"/>
          <w:b/>
          <w:kern w:val="0"/>
          <w:sz w:val="21"/>
          <w:szCs w:val="21"/>
        </w:rPr>
        <w:t>1 花溪区</w:t>
      </w:r>
      <w:r>
        <w:rPr>
          <w:rFonts w:hint="eastAsia" w:eastAsia="仿宋"/>
          <w:b/>
          <w:kern w:val="0"/>
          <w:sz w:val="21"/>
          <w:szCs w:val="21"/>
        </w:rPr>
        <w:t>千人以上</w:t>
      </w:r>
      <w:r>
        <w:rPr>
          <w:rFonts w:eastAsia="仿宋"/>
          <w:b/>
          <w:kern w:val="0"/>
          <w:sz w:val="21"/>
          <w:szCs w:val="21"/>
        </w:rPr>
        <w:t>集中式饮用水水源地突发环境事件应急预案组织结构图</w:t>
      </w:r>
    </w:p>
    <w:p w14:paraId="53E2ADAF">
      <w:pPr>
        <w:autoSpaceDE w:val="0"/>
        <w:autoSpaceDN w:val="0"/>
        <w:adjustRightInd w:val="0"/>
        <w:spacing w:line="240" w:lineRule="auto"/>
        <w:jc w:val="center"/>
        <w:rPr>
          <w:rFonts w:eastAsia="仿宋"/>
          <w:b/>
          <w:kern w:val="0"/>
          <w:sz w:val="21"/>
          <w:szCs w:val="21"/>
        </w:rPr>
      </w:pPr>
    </w:p>
    <w:p w14:paraId="381DADEA">
      <w:pPr>
        <w:pStyle w:val="3"/>
        <w:rPr>
          <w:rFonts w:eastAsia="仿宋"/>
          <w:sz w:val="32"/>
        </w:rPr>
      </w:pPr>
      <w:bookmarkStart w:id="55" w:name="_Toc45007266"/>
      <w:bookmarkStart w:id="56" w:name="_Toc22278"/>
      <w:bookmarkStart w:id="57" w:name="_Toc3731"/>
      <w:bookmarkStart w:id="58" w:name="_Toc538"/>
      <w:bookmarkStart w:id="59" w:name="_Toc60930793"/>
      <w:r>
        <w:rPr>
          <w:rFonts w:eastAsia="仿宋"/>
          <w:sz w:val="32"/>
        </w:rPr>
        <w:t>3.2</w:t>
      </w:r>
      <w:bookmarkEnd w:id="55"/>
      <w:bookmarkEnd w:id="56"/>
      <w:bookmarkEnd w:id="57"/>
      <w:bookmarkEnd w:id="58"/>
      <w:r>
        <w:rPr>
          <w:rFonts w:eastAsia="仿宋"/>
          <w:sz w:val="32"/>
        </w:rPr>
        <w:t>应急工作组设置及职责</w:t>
      </w:r>
      <w:bookmarkEnd w:id="59"/>
    </w:p>
    <w:p w14:paraId="660A8F30">
      <w:pPr>
        <w:widowControl/>
        <w:ind w:firstLine="480"/>
        <w:rPr>
          <w:rFonts w:eastAsia="仿宋"/>
          <w:sz w:val="28"/>
          <w:szCs w:val="28"/>
        </w:rPr>
      </w:pPr>
      <w:r>
        <w:rPr>
          <w:rFonts w:eastAsia="仿宋"/>
          <w:sz w:val="28"/>
          <w:szCs w:val="28"/>
        </w:rPr>
        <w:t>花溪区</w:t>
      </w:r>
      <w:r>
        <w:rPr>
          <w:rFonts w:hint="eastAsia" w:eastAsia="仿宋"/>
          <w:sz w:val="28"/>
          <w:szCs w:val="28"/>
        </w:rPr>
        <w:t>千人以上</w:t>
      </w:r>
      <w:r>
        <w:rPr>
          <w:rFonts w:eastAsia="仿宋"/>
          <w:sz w:val="28"/>
          <w:szCs w:val="28"/>
        </w:rPr>
        <w:t>集中式饮用水水源地突发环境事件应急组织机构成员以花溪区相关职能部门为主，应急组织机构成员单位及牵头人员联系方式如下表所示：</w:t>
      </w:r>
    </w:p>
    <w:p w14:paraId="59EBB924">
      <w:pPr>
        <w:widowControl/>
        <w:ind w:firstLine="480"/>
        <w:jc w:val="center"/>
        <w:rPr>
          <w:rFonts w:eastAsia="仿宋"/>
          <w:b/>
          <w:kern w:val="0"/>
          <w:sz w:val="21"/>
          <w:szCs w:val="21"/>
        </w:rPr>
      </w:pPr>
      <w:r>
        <w:rPr>
          <w:rFonts w:eastAsia="仿宋"/>
          <w:b/>
          <w:kern w:val="0"/>
          <w:sz w:val="21"/>
          <w:szCs w:val="21"/>
        </w:rPr>
        <w:t>表4-1 花溪区</w:t>
      </w:r>
      <w:r>
        <w:rPr>
          <w:rFonts w:hint="eastAsia" w:eastAsia="仿宋"/>
          <w:b/>
          <w:kern w:val="0"/>
          <w:sz w:val="21"/>
          <w:szCs w:val="21"/>
        </w:rPr>
        <w:t>千人以上</w:t>
      </w:r>
      <w:r>
        <w:rPr>
          <w:rFonts w:eastAsia="仿宋"/>
          <w:b/>
          <w:kern w:val="0"/>
          <w:sz w:val="21"/>
          <w:szCs w:val="21"/>
        </w:rPr>
        <w:t>集中式饮用水水源地突发环境事件应急组织成员一览表</w:t>
      </w:r>
    </w:p>
    <w:tbl>
      <w:tblPr>
        <w:tblStyle w:val="14"/>
        <w:tblW w:w="66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78"/>
        <w:gridCol w:w="691"/>
        <w:gridCol w:w="912"/>
        <w:gridCol w:w="1031"/>
        <w:gridCol w:w="1874"/>
        <w:gridCol w:w="1294"/>
      </w:tblGrid>
      <w:tr w14:paraId="06E69B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2" w:hRule="atLeast"/>
          <w:tblHeader/>
          <w:jc w:val="center"/>
        </w:trPr>
        <w:tc>
          <w:tcPr>
            <w:tcW w:w="878" w:type="dxa"/>
            <w:noWrap w:val="0"/>
            <w:vAlign w:val="center"/>
          </w:tcPr>
          <w:p w14:paraId="22703EC0">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序号</w:t>
            </w:r>
          </w:p>
        </w:tc>
        <w:tc>
          <w:tcPr>
            <w:tcW w:w="1603" w:type="dxa"/>
            <w:gridSpan w:val="2"/>
            <w:noWrap w:val="0"/>
            <w:vAlign w:val="center"/>
          </w:tcPr>
          <w:p w14:paraId="205781F2">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应急机构职务</w:t>
            </w:r>
          </w:p>
        </w:tc>
        <w:tc>
          <w:tcPr>
            <w:tcW w:w="1031" w:type="dxa"/>
            <w:noWrap w:val="0"/>
            <w:vAlign w:val="center"/>
          </w:tcPr>
          <w:p w14:paraId="61BE2B4F">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姓名</w:t>
            </w:r>
          </w:p>
        </w:tc>
        <w:tc>
          <w:tcPr>
            <w:tcW w:w="1874" w:type="dxa"/>
            <w:noWrap w:val="0"/>
            <w:vAlign w:val="center"/>
          </w:tcPr>
          <w:p w14:paraId="11923E72">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单位</w:t>
            </w:r>
          </w:p>
        </w:tc>
        <w:tc>
          <w:tcPr>
            <w:tcW w:w="1294" w:type="dxa"/>
            <w:noWrap w:val="0"/>
            <w:vAlign w:val="center"/>
          </w:tcPr>
          <w:p w14:paraId="1F877E8C">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职务</w:t>
            </w:r>
          </w:p>
        </w:tc>
      </w:tr>
      <w:tr w14:paraId="094BFD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9" w:hRule="atLeast"/>
          <w:jc w:val="center"/>
        </w:trPr>
        <w:tc>
          <w:tcPr>
            <w:tcW w:w="878" w:type="dxa"/>
            <w:vMerge w:val="restart"/>
            <w:noWrap w:val="0"/>
            <w:vAlign w:val="center"/>
          </w:tcPr>
          <w:p w14:paraId="0B930121">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1</w:t>
            </w:r>
          </w:p>
        </w:tc>
        <w:tc>
          <w:tcPr>
            <w:tcW w:w="691" w:type="dxa"/>
            <w:vMerge w:val="restart"/>
            <w:noWrap w:val="0"/>
            <w:vAlign w:val="center"/>
          </w:tcPr>
          <w:p w14:paraId="3B045498">
            <w:pPr>
              <w:widowControl/>
              <w:jc w:val="left"/>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指挥部</w:t>
            </w:r>
          </w:p>
        </w:tc>
        <w:tc>
          <w:tcPr>
            <w:tcW w:w="912" w:type="dxa"/>
            <w:noWrap w:val="0"/>
            <w:vAlign w:val="center"/>
          </w:tcPr>
          <w:p w14:paraId="32391BF7">
            <w:pPr>
              <w:widowControl/>
              <w:jc w:val="left"/>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指挥长</w:t>
            </w:r>
          </w:p>
        </w:tc>
        <w:tc>
          <w:tcPr>
            <w:tcW w:w="1031" w:type="dxa"/>
            <w:noWrap w:val="0"/>
            <w:vAlign w:val="center"/>
          </w:tcPr>
          <w:p w14:paraId="10BD9144">
            <w:pPr>
              <w:widowControl/>
              <w:jc w:val="center"/>
              <w:rPr>
                <w:rFonts w:hint="eastAsia" w:ascii="仿宋_GB2312" w:hAnsi="仿宋_GB2312" w:eastAsia="仿宋_GB2312" w:cs="仿宋_GB2312"/>
                <w:b w:val="0"/>
                <w:bCs w:val="0"/>
                <w:color w:val="auto"/>
                <w:sz w:val="21"/>
                <w:szCs w:val="21"/>
                <w:lang w:eastAsia="zh-CN"/>
              </w:rPr>
            </w:pPr>
            <w:r>
              <w:rPr>
                <w:rFonts w:hint="eastAsia" w:ascii="仿宋_GB2312" w:hAnsi="仿宋_GB2312" w:eastAsia="仿宋_GB2312" w:cs="仿宋_GB2312"/>
                <w:b w:val="0"/>
                <w:bCs w:val="0"/>
                <w:color w:val="auto"/>
                <w:sz w:val="21"/>
                <w:szCs w:val="21"/>
                <w:lang w:eastAsia="zh-CN"/>
              </w:rPr>
              <w:t>王小兵</w:t>
            </w:r>
          </w:p>
        </w:tc>
        <w:tc>
          <w:tcPr>
            <w:tcW w:w="1874" w:type="dxa"/>
            <w:noWrap w:val="0"/>
            <w:vAlign w:val="center"/>
          </w:tcPr>
          <w:p w14:paraId="1951E55F">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花溪区人民政府</w:t>
            </w:r>
          </w:p>
        </w:tc>
        <w:tc>
          <w:tcPr>
            <w:tcW w:w="1294" w:type="dxa"/>
            <w:noWrap w:val="0"/>
            <w:vAlign w:val="center"/>
          </w:tcPr>
          <w:p w14:paraId="66552994">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副区长</w:t>
            </w:r>
          </w:p>
        </w:tc>
      </w:tr>
      <w:tr w14:paraId="4AFA7B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13" w:hRule="atLeast"/>
          <w:jc w:val="center"/>
        </w:trPr>
        <w:tc>
          <w:tcPr>
            <w:tcW w:w="878" w:type="dxa"/>
            <w:vMerge w:val="continue"/>
            <w:noWrap w:val="0"/>
            <w:vAlign w:val="center"/>
          </w:tcPr>
          <w:p w14:paraId="369FFF50">
            <w:pPr>
              <w:widowControl/>
              <w:jc w:val="center"/>
              <w:rPr>
                <w:rFonts w:hint="eastAsia" w:ascii="仿宋_GB2312" w:hAnsi="仿宋_GB2312" w:eastAsia="仿宋_GB2312" w:cs="仿宋_GB2312"/>
                <w:b w:val="0"/>
                <w:bCs w:val="0"/>
                <w:color w:val="auto"/>
                <w:sz w:val="21"/>
                <w:szCs w:val="21"/>
              </w:rPr>
            </w:pPr>
          </w:p>
        </w:tc>
        <w:tc>
          <w:tcPr>
            <w:tcW w:w="691" w:type="dxa"/>
            <w:vMerge w:val="continue"/>
            <w:noWrap w:val="0"/>
            <w:vAlign w:val="center"/>
          </w:tcPr>
          <w:p w14:paraId="069C443B">
            <w:pPr>
              <w:widowControl/>
              <w:jc w:val="left"/>
              <w:rPr>
                <w:rFonts w:hint="eastAsia" w:ascii="仿宋_GB2312" w:hAnsi="仿宋_GB2312" w:eastAsia="仿宋_GB2312" w:cs="仿宋_GB2312"/>
                <w:b w:val="0"/>
                <w:bCs w:val="0"/>
                <w:color w:val="auto"/>
                <w:sz w:val="21"/>
                <w:szCs w:val="21"/>
              </w:rPr>
            </w:pPr>
          </w:p>
        </w:tc>
        <w:tc>
          <w:tcPr>
            <w:tcW w:w="912" w:type="dxa"/>
            <w:vMerge w:val="restart"/>
            <w:noWrap w:val="0"/>
            <w:vAlign w:val="center"/>
          </w:tcPr>
          <w:p w14:paraId="7B6F344C">
            <w:pPr>
              <w:widowControl/>
              <w:jc w:val="left"/>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副指挥长</w:t>
            </w:r>
          </w:p>
        </w:tc>
        <w:tc>
          <w:tcPr>
            <w:tcW w:w="1031" w:type="dxa"/>
            <w:noWrap w:val="0"/>
            <w:vAlign w:val="center"/>
          </w:tcPr>
          <w:p w14:paraId="705AF8E9">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张君发</w:t>
            </w:r>
          </w:p>
        </w:tc>
        <w:tc>
          <w:tcPr>
            <w:tcW w:w="1874" w:type="dxa"/>
            <w:noWrap w:val="0"/>
            <w:vAlign w:val="center"/>
          </w:tcPr>
          <w:p w14:paraId="3092521E">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贵阳市生态环境局花溪分局</w:t>
            </w:r>
          </w:p>
        </w:tc>
        <w:tc>
          <w:tcPr>
            <w:tcW w:w="1294" w:type="dxa"/>
            <w:noWrap w:val="0"/>
            <w:vAlign w:val="center"/>
          </w:tcPr>
          <w:p w14:paraId="0B404473">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局长</w:t>
            </w:r>
          </w:p>
        </w:tc>
      </w:tr>
      <w:tr w14:paraId="6CA408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99" w:hRule="atLeast"/>
          <w:jc w:val="center"/>
        </w:trPr>
        <w:tc>
          <w:tcPr>
            <w:tcW w:w="878" w:type="dxa"/>
            <w:vMerge w:val="continue"/>
            <w:noWrap w:val="0"/>
            <w:vAlign w:val="center"/>
          </w:tcPr>
          <w:p w14:paraId="7EE632FA">
            <w:pPr>
              <w:widowControl/>
              <w:jc w:val="center"/>
              <w:rPr>
                <w:rFonts w:hint="eastAsia" w:ascii="仿宋_GB2312" w:hAnsi="仿宋_GB2312" w:eastAsia="仿宋_GB2312" w:cs="仿宋_GB2312"/>
                <w:b w:val="0"/>
                <w:bCs w:val="0"/>
                <w:color w:val="auto"/>
                <w:sz w:val="21"/>
                <w:szCs w:val="21"/>
              </w:rPr>
            </w:pPr>
          </w:p>
        </w:tc>
        <w:tc>
          <w:tcPr>
            <w:tcW w:w="691" w:type="dxa"/>
            <w:vMerge w:val="continue"/>
            <w:noWrap w:val="0"/>
            <w:vAlign w:val="center"/>
          </w:tcPr>
          <w:p w14:paraId="6C9C6482">
            <w:pPr>
              <w:widowControl/>
              <w:jc w:val="left"/>
              <w:rPr>
                <w:rFonts w:hint="eastAsia" w:ascii="仿宋_GB2312" w:hAnsi="仿宋_GB2312" w:eastAsia="仿宋_GB2312" w:cs="仿宋_GB2312"/>
                <w:b w:val="0"/>
                <w:bCs w:val="0"/>
                <w:color w:val="auto"/>
                <w:sz w:val="21"/>
                <w:szCs w:val="21"/>
              </w:rPr>
            </w:pPr>
          </w:p>
        </w:tc>
        <w:tc>
          <w:tcPr>
            <w:tcW w:w="912" w:type="dxa"/>
            <w:vMerge w:val="continue"/>
            <w:noWrap w:val="0"/>
            <w:vAlign w:val="center"/>
          </w:tcPr>
          <w:p w14:paraId="764F7B03">
            <w:pPr>
              <w:widowControl/>
              <w:jc w:val="left"/>
              <w:rPr>
                <w:rFonts w:hint="eastAsia" w:ascii="仿宋_GB2312" w:hAnsi="仿宋_GB2312" w:eastAsia="仿宋_GB2312" w:cs="仿宋_GB2312"/>
                <w:b w:val="0"/>
                <w:bCs w:val="0"/>
                <w:color w:val="auto"/>
                <w:sz w:val="21"/>
                <w:szCs w:val="21"/>
              </w:rPr>
            </w:pPr>
          </w:p>
        </w:tc>
        <w:tc>
          <w:tcPr>
            <w:tcW w:w="1031" w:type="dxa"/>
            <w:noWrap w:val="0"/>
            <w:vAlign w:val="center"/>
          </w:tcPr>
          <w:p w14:paraId="51878378">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李斌</w:t>
            </w:r>
          </w:p>
        </w:tc>
        <w:tc>
          <w:tcPr>
            <w:tcW w:w="1874" w:type="dxa"/>
            <w:noWrap w:val="0"/>
            <w:vAlign w:val="center"/>
          </w:tcPr>
          <w:p w14:paraId="024594A7">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花溪区水务局</w:t>
            </w:r>
          </w:p>
        </w:tc>
        <w:tc>
          <w:tcPr>
            <w:tcW w:w="1294" w:type="dxa"/>
            <w:noWrap w:val="0"/>
            <w:vAlign w:val="center"/>
          </w:tcPr>
          <w:p w14:paraId="03A3E3F2">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局长</w:t>
            </w:r>
          </w:p>
        </w:tc>
      </w:tr>
      <w:tr w14:paraId="10A30B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4" w:hRule="atLeast"/>
          <w:jc w:val="center"/>
        </w:trPr>
        <w:tc>
          <w:tcPr>
            <w:tcW w:w="878" w:type="dxa"/>
            <w:vMerge w:val="continue"/>
            <w:noWrap w:val="0"/>
            <w:vAlign w:val="center"/>
          </w:tcPr>
          <w:p w14:paraId="523558D6">
            <w:pPr>
              <w:widowControl/>
              <w:jc w:val="center"/>
              <w:rPr>
                <w:rFonts w:hint="eastAsia" w:ascii="仿宋_GB2312" w:hAnsi="仿宋_GB2312" w:eastAsia="仿宋_GB2312" w:cs="仿宋_GB2312"/>
                <w:b w:val="0"/>
                <w:bCs w:val="0"/>
                <w:color w:val="auto"/>
                <w:sz w:val="21"/>
                <w:szCs w:val="21"/>
              </w:rPr>
            </w:pPr>
          </w:p>
        </w:tc>
        <w:tc>
          <w:tcPr>
            <w:tcW w:w="691" w:type="dxa"/>
            <w:vMerge w:val="continue"/>
            <w:noWrap w:val="0"/>
            <w:vAlign w:val="center"/>
          </w:tcPr>
          <w:p w14:paraId="42BB732B">
            <w:pPr>
              <w:widowControl/>
              <w:jc w:val="left"/>
              <w:rPr>
                <w:rFonts w:hint="eastAsia" w:ascii="仿宋_GB2312" w:hAnsi="仿宋_GB2312" w:eastAsia="仿宋_GB2312" w:cs="仿宋_GB2312"/>
                <w:b w:val="0"/>
                <w:bCs w:val="0"/>
                <w:color w:val="auto"/>
                <w:sz w:val="21"/>
                <w:szCs w:val="21"/>
              </w:rPr>
            </w:pPr>
          </w:p>
        </w:tc>
        <w:tc>
          <w:tcPr>
            <w:tcW w:w="912" w:type="dxa"/>
            <w:vMerge w:val="continue"/>
            <w:noWrap w:val="0"/>
            <w:vAlign w:val="center"/>
          </w:tcPr>
          <w:p w14:paraId="2AE5D793">
            <w:pPr>
              <w:widowControl/>
              <w:jc w:val="left"/>
              <w:rPr>
                <w:rFonts w:hint="eastAsia" w:ascii="仿宋_GB2312" w:hAnsi="仿宋_GB2312" w:eastAsia="仿宋_GB2312" w:cs="仿宋_GB2312"/>
                <w:b w:val="0"/>
                <w:bCs w:val="0"/>
                <w:color w:val="auto"/>
                <w:sz w:val="21"/>
                <w:szCs w:val="21"/>
              </w:rPr>
            </w:pPr>
          </w:p>
        </w:tc>
        <w:tc>
          <w:tcPr>
            <w:tcW w:w="1031" w:type="dxa"/>
            <w:noWrap w:val="0"/>
            <w:vAlign w:val="center"/>
          </w:tcPr>
          <w:p w14:paraId="6692AF99">
            <w:pPr>
              <w:pStyle w:val="12"/>
              <w:spacing w:beforeAutospacing="0" w:afterAutospacing="0" w:line="240" w:lineRule="auto"/>
              <w:ind w:firstLine="0" w:firstLineChars="0"/>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lang w:val="en-US" w:eastAsia="zh-CN"/>
              </w:rPr>
              <w:t>严培松</w:t>
            </w:r>
          </w:p>
        </w:tc>
        <w:tc>
          <w:tcPr>
            <w:tcW w:w="1874" w:type="dxa"/>
            <w:noWrap w:val="0"/>
            <w:vAlign w:val="center"/>
          </w:tcPr>
          <w:p w14:paraId="2E01B166">
            <w:pPr>
              <w:pStyle w:val="12"/>
              <w:spacing w:beforeAutospacing="0" w:afterAutospacing="0" w:line="240" w:lineRule="auto"/>
              <w:ind w:firstLine="0" w:firstLineChars="0"/>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贵阳市公安局花溪分局</w:t>
            </w:r>
          </w:p>
        </w:tc>
        <w:tc>
          <w:tcPr>
            <w:tcW w:w="1294" w:type="dxa"/>
            <w:noWrap w:val="0"/>
            <w:vAlign w:val="center"/>
          </w:tcPr>
          <w:p w14:paraId="61075B46">
            <w:pPr>
              <w:pStyle w:val="12"/>
              <w:spacing w:beforeAutospacing="0" w:afterAutospacing="0" w:line="240" w:lineRule="auto"/>
              <w:ind w:firstLine="0" w:firstLineChars="0"/>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lang w:val="en-US" w:eastAsia="zh-CN"/>
              </w:rPr>
              <w:t>党委委员、副局长</w:t>
            </w:r>
          </w:p>
        </w:tc>
      </w:tr>
      <w:tr w14:paraId="27763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4" w:hRule="atLeast"/>
          <w:jc w:val="center"/>
        </w:trPr>
        <w:tc>
          <w:tcPr>
            <w:tcW w:w="878" w:type="dxa"/>
            <w:vMerge w:val="continue"/>
            <w:noWrap w:val="0"/>
            <w:vAlign w:val="center"/>
          </w:tcPr>
          <w:p w14:paraId="68DCB31A">
            <w:pPr>
              <w:widowControl/>
              <w:jc w:val="center"/>
              <w:rPr>
                <w:rFonts w:hint="eastAsia" w:ascii="仿宋_GB2312" w:hAnsi="仿宋_GB2312" w:eastAsia="仿宋_GB2312" w:cs="仿宋_GB2312"/>
                <w:b w:val="0"/>
                <w:bCs w:val="0"/>
                <w:color w:val="auto"/>
                <w:sz w:val="21"/>
                <w:szCs w:val="21"/>
              </w:rPr>
            </w:pPr>
          </w:p>
        </w:tc>
        <w:tc>
          <w:tcPr>
            <w:tcW w:w="691" w:type="dxa"/>
            <w:vMerge w:val="continue"/>
            <w:noWrap w:val="0"/>
            <w:vAlign w:val="center"/>
          </w:tcPr>
          <w:p w14:paraId="44E19F14">
            <w:pPr>
              <w:widowControl/>
              <w:jc w:val="left"/>
              <w:rPr>
                <w:rFonts w:hint="eastAsia" w:ascii="仿宋_GB2312" w:hAnsi="仿宋_GB2312" w:eastAsia="仿宋_GB2312" w:cs="仿宋_GB2312"/>
                <w:b w:val="0"/>
                <w:bCs w:val="0"/>
                <w:color w:val="auto"/>
                <w:sz w:val="21"/>
                <w:szCs w:val="21"/>
              </w:rPr>
            </w:pPr>
          </w:p>
        </w:tc>
        <w:tc>
          <w:tcPr>
            <w:tcW w:w="912" w:type="dxa"/>
            <w:vMerge w:val="continue"/>
            <w:noWrap w:val="0"/>
            <w:vAlign w:val="center"/>
          </w:tcPr>
          <w:p w14:paraId="1C39BCE5">
            <w:pPr>
              <w:widowControl/>
              <w:jc w:val="left"/>
              <w:rPr>
                <w:rFonts w:hint="eastAsia" w:ascii="仿宋_GB2312" w:hAnsi="仿宋_GB2312" w:eastAsia="仿宋_GB2312" w:cs="仿宋_GB2312"/>
                <w:b w:val="0"/>
                <w:bCs w:val="0"/>
                <w:color w:val="auto"/>
                <w:sz w:val="21"/>
                <w:szCs w:val="21"/>
              </w:rPr>
            </w:pPr>
          </w:p>
        </w:tc>
        <w:tc>
          <w:tcPr>
            <w:tcW w:w="1031" w:type="dxa"/>
            <w:noWrap w:val="0"/>
            <w:vAlign w:val="center"/>
          </w:tcPr>
          <w:p w14:paraId="609DE458">
            <w:pPr>
              <w:pStyle w:val="12"/>
              <w:spacing w:beforeAutospacing="0" w:afterAutospacing="0" w:line="240" w:lineRule="auto"/>
              <w:ind w:firstLine="0" w:firstLineChars="0"/>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lang w:eastAsia="zh-CN"/>
              </w:rPr>
              <w:t>李</w:t>
            </w:r>
            <w:r>
              <w:rPr>
                <w:rFonts w:hint="eastAsia" w:ascii="仿宋_GB2312" w:hAnsi="仿宋_GB2312" w:eastAsia="仿宋_GB2312" w:cs="仿宋_GB2312"/>
                <w:b w:val="0"/>
                <w:bCs w:val="0"/>
                <w:color w:val="auto"/>
                <w:sz w:val="21"/>
                <w:szCs w:val="21"/>
                <w:lang w:val="en-US" w:eastAsia="zh-CN"/>
              </w:rPr>
              <w:t xml:space="preserve">  </w:t>
            </w:r>
            <w:r>
              <w:rPr>
                <w:rFonts w:hint="eastAsia" w:ascii="仿宋_GB2312" w:hAnsi="仿宋_GB2312" w:eastAsia="仿宋_GB2312" w:cs="仿宋_GB2312"/>
                <w:b w:val="0"/>
                <w:bCs w:val="0"/>
                <w:color w:val="auto"/>
                <w:sz w:val="21"/>
                <w:szCs w:val="21"/>
                <w:lang w:eastAsia="zh-CN"/>
              </w:rPr>
              <w:t>金</w:t>
            </w:r>
          </w:p>
        </w:tc>
        <w:tc>
          <w:tcPr>
            <w:tcW w:w="1874" w:type="dxa"/>
            <w:noWrap w:val="0"/>
            <w:vAlign w:val="center"/>
          </w:tcPr>
          <w:p w14:paraId="6B192DED">
            <w:pPr>
              <w:pStyle w:val="12"/>
              <w:spacing w:beforeAutospacing="0" w:afterAutospacing="0" w:line="240" w:lineRule="auto"/>
              <w:ind w:firstLine="0" w:firstLineChars="0"/>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区</w:t>
            </w:r>
            <w:r>
              <w:rPr>
                <w:rFonts w:hint="eastAsia" w:ascii="仿宋_GB2312" w:hAnsi="仿宋_GB2312" w:eastAsia="仿宋_GB2312" w:cs="仿宋_GB2312"/>
                <w:b w:val="0"/>
                <w:bCs w:val="0"/>
                <w:color w:val="auto"/>
                <w:sz w:val="21"/>
                <w:szCs w:val="21"/>
                <w:lang w:val="en-US" w:eastAsia="zh-CN"/>
              </w:rPr>
              <w:t>应急局副</w:t>
            </w:r>
            <w:r>
              <w:rPr>
                <w:rFonts w:hint="eastAsia" w:ascii="仿宋_GB2312" w:hAnsi="仿宋_GB2312" w:eastAsia="仿宋_GB2312" w:cs="仿宋_GB2312"/>
                <w:b w:val="0"/>
                <w:bCs w:val="0"/>
                <w:color w:val="auto"/>
                <w:sz w:val="21"/>
                <w:szCs w:val="21"/>
              </w:rPr>
              <w:t>局长</w:t>
            </w:r>
            <w:r>
              <w:rPr>
                <w:rFonts w:hint="eastAsia" w:ascii="仿宋_GB2312" w:hAnsi="仿宋_GB2312" w:eastAsia="仿宋_GB2312" w:cs="仿宋_GB2312"/>
                <w:b w:val="0"/>
                <w:bCs w:val="0"/>
                <w:color w:val="auto"/>
                <w:sz w:val="21"/>
                <w:szCs w:val="21"/>
                <w:lang w:eastAsia="zh-CN"/>
              </w:rPr>
              <w:t>（主持工作）</w:t>
            </w:r>
          </w:p>
        </w:tc>
        <w:tc>
          <w:tcPr>
            <w:tcW w:w="1294" w:type="dxa"/>
            <w:noWrap w:val="0"/>
            <w:vAlign w:val="center"/>
          </w:tcPr>
          <w:p w14:paraId="3930CE7B">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lang w:eastAsia="zh-CN"/>
              </w:rPr>
              <w:t>副</w:t>
            </w:r>
            <w:r>
              <w:rPr>
                <w:rFonts w:hint="eastAsia" w:ascii="仿宋_GB2312" w:hAnsi="仿宋_GB2312" w:eastAsia="仿宋_GB2312" w:cs="仿宋_GB2312"/>
                <w:b w:val="0"/>
                <w:bCs w:val="0"/>
                <w:color w:val="auto"/>
                <w:sz w:val="21"/>
                <w:szCs w:val="21"/>
              </w:rPr>
              <w:t>局长</w:t>
            </w:r>
          </w:p>
        </w:tc>
      </w:tr>
      <w:tr w14:paraId="502525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42" w:hRule="atLeast"/>
          <w:jc w:val="center"/>
        </w:trPr>
        <w:tc>
          <w:tcPr>
            <w:tcW w:w="878" w:type="dxa"/>
            <w:vMerge w:val="restart"/>
            <w:noWrap w:val="0"/>
            <w:vAlign w:val="center"/>
          </w:tcPr>
          <w:p w14:paraId="5B3A0A23">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2</w:t>
            </w:r>
          </w:p>
        </w:tc>
        <w:tc>
          <w:tcPr>
            <w:tcW w:w="691" w:type="dxa"/>
            <w:vMerge w:val="restart"/>
            <w:noWrap w:val="0"/>
            <w:vAlign w:val="center"/>
          </w:tcPr>
          <w:p w14:paraId="568646D0">
            <w:pPr>
              <w:widowControl/>
              <w:jc w:val="left"/>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应急办公室</w:t>
            </w:r>
          </w:p>
        </w:tc>
        <w:tc>
          <w:tcPr>
            <w:tcW w:w="912" w:type="dxa"/>
            <w:noWrap w:val="0"/>
            <w:vAlign w:val="center"/>
          </w:tcPr>
          <w:p w14:paraId="4A0DAA8A">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主任</w:t>
            </w:r>
          </w:p>
        </w:tc>
        <w:tc>
          <w:tcPr>
            <w:tcW w:w="1031" w:type="dxa"/>
            <w:noWrap w:val="0"/>
            <w:vAlign w:val="center"/>
          </w:tcPr>
          <w:p w14:paraId="0D8C99E3">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张君发</w:t>
            </w:r>
          </w:p>
        </w:tc>
        <w:tc>
          <w:tcPr>
            <w:tcW w:w="1874" w:type="dxa"/>
            <w:noWrap w:val="0"/>
            <w:vAlign w:val="center"/>
          </w:tcPr>
          <w:p w14:paraId="02D9236A">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贵阳市生态环境局花溪分局</w:t>
            </w:r>
          </w:p>
        </w:tc>
        <w:tc>
          <w:tcPr>
            <w:tcW w:w="1294" w:type="dxa"/>
            <w:noWrap w:val="0"/>
            <w:vAlign w:val="center"/>
          </w:tcPr>
          <w:p w14:paraId="2B66D3E3">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局长</w:t>
            </w:r>
          </w:p>
        </w:tc>
      </w:tr>
      <w:tr w14:paraId="58CD6E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41" w:hRule="atLeast"/>
          <w:jc w:val="center"/>
        </w:trPr>
        <w:tc>
          <w:tcPr>
            <w:tcW w:w="878" w:type="dxa"/>
            <w:vMerge w:val="continue"/>
            <w:noWrap w:val="0"/>
            <w:vAlign w:val="center"/>
          </w:tcPr>
          <w:p w14:paraId="75BB6E2E">
            <w:pPr>
              <w:widowControl/>
              <w:jc w:val="center"/>
              <w:rPr>
                <w:rFonts w:hint="eastAsia" w:ascii="仿宋_GB2312" w:hAnsi="仿宋_GB2312" w:eastAsia="仿宋_GB2312" w:cs="仿宋_GB2312"/>
                <w:b w:val="0"/>
                <w:bCs w:val="0"/>
                <w:color w:val="auto"/>
                <w:sz w:val="21"/>
                <w:szCs w:val="21"/>
              </w:rPr>
            </w:pPr>
          </w:p>
        </w:tc>
        <w:tc>
          <w:tcPr>
            <w:tcW w:w="691" w:type="dxa"/>
            <w:vMerge w:val="continue"/>
            <w:noWrap w:val="0"/>
            <w:vAlign w:val="center"/>
          </w:tcPr>
          <w:p w14:paraId="4FA401FD">
            <w:pPr>
              <w:widowControl/>
              <w:jc w:val="left"/>
              <w:rPr>
                <w:rFonts w:hint="eastAsia" w:ascii="仿宋_GB2312" w:hAnsi="仿宋_GB2312" w:eastAsia="仿宋_GB2312" w:cs="仿宋_GB2312"/>
                <w:b w:val="0"/>
                <w:bCs w:val="0"/>
                <w:color w:val="auto"/>
                <w:sz w:val="21"/>
                <w:szCs w:val="21"/>
              </w:rPr>
            </w:pPr>
          </w:p>
        </w:tc>
        <w:tc>
          <w:tcPr>
            <w:tcW w:w="912" w:type="dxa"/>
            <w:noWrap w:val="0"/>
            <w:vAlign w:val="center"/>
          </w:tcPr>
          <w:p w14:paraId="40C7AAED">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副主任</w:t>
            </w:r>
          </w:p>
        </w:tc>
        <w:tc>
          <w:tcPr>
            <w:tcW w:w="1031" w:type="dxa"/>
            <w:noWrap w:val="0"/>
            <w:vAlign w:val="center"/>
          </w:tcPr>
          <w:p w14:paraId="7B6619F0">
            <w:pPr>
              <w:pStyle w:val="12"/>
              <w:spacing w:beforeAutospacing="0" w:afterAutospacing="0" w:line="240" w:lineRule="auto"/>
              <w:ind w:firstLine="0" w:firstLineChars="0"/>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lang w:eastAsia="zh-CN"/>
              </w:rPr>
              <w:t>李</w:t>
            </w:r>
            <w:r>
              <w:rPr>
                <w:rFonts w:hint="eastAsia" w:ascii="仿宋_GB2312" w:hAnsi="仿宋_GB2312" w:eastAsia="仿宋_GB2312" w:cs="仿宋_GB2312"/>
                <w:b w:val="0"/>
                <w:bCs w:val="0"/>
                <w:color w:val="auto"/>
                <w:sz w:val="21"/>
                <w:szCs w:val="21"/>
                <w:lang w:val="en-US" w:eastAsia="zh-CN"/>
              </w:rPr>
              <w:t xml:space="preserve">  </w:t>
            </w:r>
            <w:r>
              <w:rPr>
                <w:rFonts w:hint="eastAsia" w:ascii="仿宋_GB2312" w:hAnsi="仿宋_GB2312" w:eastAsia="仿宋_GB2312" w:cs="仿宋_GB2312"/>
                <w:b w:val="0"/>
                <w:bCs w:val="0"/>
                <w:color w:val="auto"/>
                <w:sz w:val="21"/>
                <w:szCs w:val="21"/>
                <w:lang w:eastAsia="zh-CN"/>
              </w:rPr>
              <w:t>金</w:t>
            </w:r>
          </w:p>
        </w:tc>
        <w:tc>
          <w:tcPr>
            <w:tcW w:w="1874" w:type="dxa"/>
            <w:noWrap w:val="0"/>
            <w:vAlign w:val="center"/>
          </w:tcPr>
          <w:p w14:paraId="116DC00D">
            <w:pPr>
              <w:pStyle w:val="12"/>
              <w:spacing w:beforeAutospacing="0" w:afterAutospacing="0" w:line="240" w:lineRule="auto"/>
              <w:ind w:firstLine="0" w:firstLineChars="0"/>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区</w:t>
            </w:r>
            <w:r>
              <w:rPr>
                <w:rFonts w:hint="eastAsia" w:ascii="仿宋_GB2312" w:hAnsi="仿宋_GB2312" w:eastAsia="仿宋_GB2312" w:cs="仿宋_GB2312"/>
                <w:b w:val="0"/>
                <w:bCs w:val="0"/>
                <w:color w:val="auto"/>
                <w:sz w:val="21"/>
                <w:szCs w:val="21"/>
                <w:lang w:val="en-US" w:eastAsia="zh-CN"/>
              </w:rPr>
              <w:t>应急局副</w:t>
            </w:r>
            <w:r>
              <w:rPr>
                <w:rFonts w:hint="eastAsia" w:ascii="仿宋_GB2312" w:hAnsi="仿宋_GB2312" w:eastAsia="仿宋_GB2312" w:cs="仿宋_GB2312"/>
                <w:b w:val="0"/>
                <w:bCs w:val="0"/>
                <w:color w:val="auto"/>
                <w:sz w:val="21"/>
                <w:szCs w:val="21"/>
              </w:rPr>
              <w:t>局长</w:t>
            </w:r>
            <w:r>
              <w:rPr>
                <w:rFonts w:hint="eastAsia" w:ascii="仿宋_GB2312" w:hAnsi="仿宋_GB2312" w:eastAsia="仿宋_GB2312" w:cs="仿宋_GB2312"/>
                <w:b w:val="0"/>
                <w:bCs w:val="0"/>
                <w:color w:val="auto"/>
                <w:sz w:val="21"/>
                <w:szCs w:val="21"/>
                <w:lang w:eastAsia="zh-CN"/>
              </w:rPr>
              <w:t>（主持工作）</w:t>
            </w:r>
          </w:p>
        </w:tc>
        <w:tc>
          <w:tcPr>
            <w:tcW w:w="1294" w:type="dxa"/>
            <w:noWrap w:val="0"/>
            <w:vAlign w:val="center"/>
          </w:tcPr>
          <w:p w14:paraId="631EE7A5">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lang w:eastAsia="zh-CN"/>
              </w:rPr>
              <w:t>副</w:t>
            </w:r>
            <w:r>
              <w:rPr>
                <w:rFonts w:hint="eastAsia" w:ascii="仿宋_GB2312" w:hAnsi="仿宋_GB2312" w:eastAsia="仿宋_GB2312" w:cs="仿宋_GB2312"/>
                <w:b w:val="0"/>
                <w:bCs w:val="0"/>
                <w:color w:val="auto"/>
                <w:sz w:val="21"/>
                <w:szCs w:val="21"/>
              </w:rPr>
              <w:t>局长</w:t>
            </w:r>
          </w:p>
        </w:tc>
      </w:tr>
      <w:tr w14:paraId="643974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4" w:hRule="atLeast"/>
          <w:jc w:val="center"/>
        </w:trPr>
        <w:tc>
          <w:tcPr>
            <w:tcW w:w="878" w:type="dxa"/>
            <w:vMerge w:val="restart"/>
            <w:noWrap w:val="0"/>
            <w:vAlign w:val="center"/>
          </w:tcPr>
          <w:p w14:paraId="13D17B62">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3</w:t>
            </w:r>
          </w:p>
        </w:tc>
        <w:tc>
          <w:tcPr>
            <w:tcW w:w="691" w:type="dxa"/>
            <w:vMerge w:val="restart"/>
            <w:noWrap w:val="0"/>
            <w:vAlign w:val="center"/>
          </w:tcPr>
          <w:p w14:paraId="6CB5F678">
            <w:pPr>
              <w:widowControl/>
              <w:jc w:val="left"/>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应急处置组</w:t>
            </w:r>
          </w:p>
        </w:tc>
        <w:tc>
          <w:tcPr>
            <w:tcW w:w="912" w:type="dxa"/>
            <w:noWrap w:val="0"/>
            <w:vAlign w:val="center"/>
          </w:tcPr>
          <w:p w14:paraId="2AB0764F">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组长</w:t>
            </w:r>
          </w:p>
        </w:tc>
        <w:tc>
          <w:tcPr>
            <w:tcW w:w="1031" w:type="dxa"/>
            <w:noWrap w:val="0"/>
            <w:vAlign w:val="center"/>
          </w:tcPr>
          <w:p w14:paraId="1F53C047">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徐应周</w:t>
            </w:r>
          </w:p>
        </w:tc>
        <w:tc>
          <w:tcPr>
            <w:tcW w:w="1874" w:type="dxa"/>
            <w:noWrap w:val="0"/>
            <w:vAlign w:val="center"/>
          </w:tcPr>
          <w:p w14:paraId="5B3B66D1">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贵阳市生态环境局花溪分局</w:t>
            </w:r>
          </w:p>
        </w:tc>
        <w:tc>
          <w:tcPr>
            <w:tcW w:w="1294" w:type="dxa"/>
            <w:noWrap w:val="0"/>
            <w:vAlign w:val="center"/>
          </w:tcPr>
          <w:p w14:paraId="4A7C45C2">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副局长</w:t>
            </w:r>
          </w:p>
        </w:tc>
      </w:tr>
      <w:tr w14:paraId="45BE5D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6" w:hRule="atLeast"/>
          <w:jc w:val="center"/>
        </w:trPr>
        <w:tc>
          <w:tcPr>
            <w:tcW w:w="878" w:type="dxa"/>
            <w:vMerge w:val="continue"/>
            <w:noWrap w:val="0"/>
            <w:vAlign w:val="center"/>
          </w:tcPr>
          <w:p w14:paraId="46BF4EFD">
            <w:pPr>
              <w:widowControl/>
              <w:jc w:val="center"/>
              <w:rPr>
                <w:rFonts w:hint="eastAsia" w:ascii="仿宋_GB2312" w:hAnsi="仿宋_GB2312" w:eastAsia="仿宋_GB2312" w:cs="仿宋_GB2312"/>
                <w:b w:val="0"/>
                <w:bCs w:val="0"/>
                <w:color w:val="auto"/>
                <w:sz w:val="21"/>
                <w:szCs w:val="21"/>
              </w:rPr>
            </w:pPr>
          </w:p>
        </w:tc>
        <w:tc>
          <w:tcPr>
            <w:tcW w:w="691" w:type="dxa"/>
            <w:vMerge w:val="continue"/>
            <w:noWrap w:val="0"/>
            <w:vAlign w:val="center"/>
          </w:tcPr>
          <w:p w14:paraId="7F2292CF">
            <w:pPr>
              <w:widowControl/>
              <w:jc w:val="left"/>
              <w:rPr>
                <w:rFonts w:hint="eastAsia" w:ascii="仿宋_GB2312" w:hAnsi="仿宋_GB2312" w:eastAsia="仿宋_GB2312" w:cs="仿宋_GB2312"/>
                <w:b w:val="0"/>
                <w:bCs w:val="0"/>
                <w:color w:val="auto"/>
                <w:sz w:val="21"/>
                <w:szCs w:val="21"/>
              </w:rPr>
            </w:pPr>
          </w:p>
        </w:tc>
        <w:tc>
          <w:tcPr>
            <w:tcW w:w="912" w:type="dxa"/>
            <w:noWrap w:val="0"/>
            <w:vAlign w:val="center"/>
          </w:tcPr>
          <w:p w14:paraId="125F982C">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成员</w:t>
            </w:r>
          </w:p>
        </w:tc>
        <w:tc>
          <w:tcPr>
            <w:tcW w:w="1031" w:type="dxa"/>
            <w:noWrap w:val="0"/>
            <w:vAlign w:val="center"/>
          </w:tcPr>
          <w:p w14:paraId="237BE42C">
            <w:pPr>
              <w:pStyle w:val="12"/>
              <w:spacing w:beforeAutospacing="0" w:afterAutospacing="0" w:line="240" w:lineRule="auto"/>
              <w:ind w:firstLine="0" w:firstLineChars="0"/>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lang w:eastAsia="zh-CN"/>
              </w:rPr>
              <w:t>李</w:t>
            </w:r>
            <w:r>
              <w:rPr>
                <w:rFonts w:hint="eastAsia" w:ascii="仿宋_GB2312" w:hAnsi="仿宋_GB2312" w:eastAsia="仿宋_GB2312" w:cs="仿宋_GB2312"/>
                <w:b w:val="0"/>
                <w:bCs w:val="0"/>
                <w:color w:val="auto"/>
                <w:sz w:val="21"/>
                <w:szCs w:val="21"/>
                <w:lang w:val="en-US" w:eastAsia="zh-CN"/>
              </w:rPr>
              <w:t xml:space="preserve">  </w:t>
            </w:r>
            <w:r>
              <w:rPr>
                <w:rFonts w:hint="eastAsia" w:ascii="仿宋_GB2312" w:hAnsi="仿宋_GB2312" w:eastAsia="仿宋_GB2312" w:cs="仿宋_GB2312"/>
                <w:b w:val="0"/>
                <w:bCs w:val="0"/>
                <w:color w:val="auto"/>
                <w:sz w:val="21"/>
                <w:szCs w:val="21"/>
                <w:lang w:eastAsia="zh-CN"/>
              </w:rPr>
              <w:t>金</w:t>
            </w:r>
          </w:p>
        </w:tc>
        <w:tc>
          <w:tcPr>
            <w:tcW w:w="1874" w:type="dxa"/>
            <w:noWrap w:val="0"/>
            <w:vAlign w:val="center"/>
          </w:tcPr>
          <w:p w14:paraId="65909216">
            <w:pPr>
              <w:pStyle w:val="12"/>
              <w:spacing w:beforeAutospacing="0" w:afterAutospacing="0" w:line="240" w:lineRule="auto"/>
              <w:ind w:firstLine="0" w:firstLineChars="0"/>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区</w:t>
            </w:r>
            <w:r>
              <w:rPr>
                <w:rFonts w:hint="eastAsia" w:ascii="仿宋_GB2312" w:hAnsi="仿宋_GB2312" w:eastAsia="仿宋_GB2312" w:cs="仿宋_GB2312"/>
                <w:b w:val="0"/>
                <w:bCs w:val="0"/>
                <w:color w:val="auto"/>
                <w:sz w:val="21"/>
                <w:szCs w:val="21"/>
                <w:lang w:val="en-US" w:eastAsia="zh-CN"/>
              </w:rPr>
              <w:t>应急局副</w:t>
            </w:r>
            <w:r>
              <w:rPr>
                <w:rFonts w:hint="eastAsia" w:ascii="仿宋_GB2312" w:hAnsi="仿宋_GB2312" w:eastAsia="仿宋_GB2312" w:cs="仿宋_GB2312"/>
                <w:b w:val="0"/>
                <w:bCs w:val="0"/>
                <w:color w:val="auto"/>
                <w:sz w:val="21"/>
                <w:szCs w:val="21"/>
              </w:rPr>
              <w:t>局长</w:t>
            </w:r>
            <w:r>
              <w:rPr>
                <w:rFonts w:hint="eastAsia" w:ascii="仿宋_GB2312" w:hAnsi="仿宋_GB2312" w:eastAsia="仿宋_GB2312" w:cs="仿宋_GB2312"/>
                <w:b w:val="0"/>
                <w:bCs w:val="0"/>
                <w:color w:val="auto"/>
                <w:sz w:val="21"/>
                <w:szCs w:val="21"/>
                <w:lang w:eastAsia="zh-CN"/>
              </w:rPr>
              <w:t>（主持工作）</w:t>
            </w:r>
          </w:p>
        </w:tc>
        <w:tc>
          <w:tcPr>
            <w:tcW w:w="1294" w:type="dxa"/>
            <w:noWrap w:val="0"/>
            <w:vAlign w:val="center"/>
          </w:tcPr>
          <w:p w14:paraId="63D8F823">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lang w:eastAsia="zh-CN"/>
              </w:rPr>
              <w:t>副</w:t>
            </w:r>
            <w:r>
              <w:rPr>
                <w:rFonts w:hint="eastAsia" w:ascii="仿宋_GB2312" w:hAnsi="仿宋_GB2312" w:eastAsia="仿宋_GB2312" w:cs="仿宋_GB2312"/>
                <w:b w:val="0"/>
                <w:bCs w:val="0"/>
                <w:color w:val="auto"/>
                <w:sz w:val="21"/>
                <w:szCs w:val="21"/>
              </w:rPr>
              <w:t>局长</w:t>
            </w:r>
          </w:p>
        </w:tc>
      </w:tr>
      <w:tr w14:paraId="0BB102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08" w:hRule="atLeast"/>
          <w:jc w:val="center"/>
        </w:trPr>
        <w:tc>
          <w:tcPr>
            <w:tcW w:w="878" w:type="dxa"/>
            <w:vMerge w:val="continue"/>
            <w:noWrap w:val="0"/>
            <w:vAlign w:val="center"/>
          </w:tcPr>
          <w:p w14:paraId="51F8E919">
            <w:pPr>
              <w:widowControl/>
              <w:jc w:val="center"/>
              <w:rPr>
                <w:rFonts w:hint="eastAsia" w:ascii="仿宋_GB2312" w:hAnsi="仿宋_GB2312" w:eastAsia="仿宋_GB2312" w:cs="仿宋_GB2312"/>
                <w:b w:val="0"/>
                <w:bCs w:val="0"/>
                <w:color w:val="auto"/>
                <w:sz w:val="21"/>
                <w:szCs w:val="21"/>
              </w:rPr>
            </w:pPr>
          </w:p>
        </w:tc>
        <w:tc>
          <w:tcPr>
            <w:tcW w:w="691" w:type="dxa"/>
            <w:vMerge w:val="continue"/>
            <w:noWrap w:val="0"/>
            <w:vAlign w:val="center"/>
          </w:tcPr>
          <w:p w14:paraId="7A4E8C2A">
            <w:pPr>
              <w:widowControl/>
              <w:jc w:val="left"/>
              <w:rPr>
                <w:rFonts w:hint="eastAsia" w:ascii="仿宋_GB2312" w:hAnsi="仿宋_GB2312" w:eastAsia="仿宋_GB2312" w:cs="仿宋_GB2312"/>
                <w:b w:val="0"/>
                <w:bCs w:val="0"/>
                <w:color w:val="auto"/>
                <w:sz w:val="21"/>
                <w:szCs w:val="21"/>
              </w:rPr>
            </w:pPr>
          </w:p>
        </w:tc>
        <w:tc>
          <w:tcPr>
            <w:tcW w:w="912" w:type="dxa"/>
            <w:noWrap w:val="0"/>
            <w:vAlign w:val="center"/>
          </w:tcPr>
          <w:p w14:paraId="11F4CD42">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成员</w:t>
            </w:r>
          </w:p>
        </w:tc>
        <w:tc>
          <w:tcPr>
            <w:tcW w:w="1031" w:type="dxa"/>
            <w:noWrap w:val="0"/>
            <w:vAlign w:val="center"/>
          </w:tcPr>
          <w:p w14:paraId="2EC075FB">
            <w:pPr>
              <w:pStyle w:val="12"/>
              <w:spacing w:beforeAutospacing="0" w:afterAutospacing="0" w:line="240" w:lineRule="auto"/>
              <w:ind w:firstLine="0" w:firstLineChars="0"/>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lang w:val="en-US" w:eastAsia="zh-CN"/>
              </w:rPr>
              <w:t>严培松</w:t>
            </w:r>
          </w:p>
        </w:tc>
        <w:tc>
          <w:tcPr>
            <w:tcW w:w="1874" w:type="dxa"/>
            <w:noWrap w:val="0"/>
            <w:vAlign w:val="center"/>
          </w:tcPr>
          <w:p w14:paraId="54F6066C">
            <w:pPr>
              <w:pStyle w:val="12"/>
              <w:spacing w:beforeAutospacing="0" w:afterAutospacing="0" w:line="240" w:lineRule="auto"/>
              <w:ind w:firstLine="0" w:firstLineChars="0"/>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贵阳市公安局花溪分局</w:t>
            </w:r>
          </w:p>
        </w:tc>
        <w:tc>
          <w:tcPr>
            <w:tcW w:w="1294" w:type="dxa"/>
            <w:noWrap w:val="0"/>
            <w:vAlign w:val="center"/>
          </w:tcPr>
          <w:p w14:paraId="1B9134A2">
            <w:pPr>
              <w:pStyle w:val="12"/>
              <w:spacing w:beforeAutospacing="0" w:afterAutospacing="0" w:line="240" w:lineRule="auto"/>
              <w:ind w:firstLine="0" w:firstLineChars="0"/>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lang w:val="en-US" w:eastAsia="zh-CN"/>
              </w:rPr>
              <w:t>党委委员、副局长</w:t>
            </w:r>
          </w:p>
        </w:tc>
      </w:tr>
      <w:tr w14:paraId="60AABE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06" w:hRule="atLeast"/>
          <w:jc w:val="center"/>
        </w:trPr>
        <w:tc>
          <w:tcPr>
            <w:tcW w:w="878" w:type="dxa"/>
            <w:vMerge w:val="continue"/>
            <w:noWrap w:val="0"/>
            <w:vAlign w:val="center"/>
          </w:tcPr>
          <w:p w14:paraId="0E5557E1">
            <w:pPr>
              <w:widowControl/>
              <w:jc w:val="center"/>
              <w:rPr>
                <w:rFonts w:hint="eastAsia" w:ascii="仿宋_GB2312" w:hAnsi="仿宋_GB2312" w:eastAsia="仿宋_GB2312" w:cs="仿宋_GB2312"/>
                <w:b w:val="0"/>
                <w:bCs w:val="0"/>
                <w:color w:val="auto"/>
                <w:sz w:val="21"/>
                <w:szCs w:val="21"/>
              </w:rPr>
            </w:pPr>
          </w:p>
        </w:tc>
        <w:tc>
          <w:tcPr>
            <w:tcW w:w="691" w:type="dxa"/>
            <w:vMerge w:val="continue"/>
            <w:noWrap w:val="0"/>
            <w:vAlign w:val="center"/>
          </w:tcPr>
          <w:p w14:paraId="3B61BA97">
            <w:pPr>
              <w:widowControl/>
              <w:jc w:val="left"/>
              <w:rPr>
                <w:rFonts w:hint="eastAsia" w:ascii="仿宋_GB2312" w:hAnsi="仿宋_GB2312" w:eastAsia="仿宋_GB2312" w:cs="仿宋_GB2312"/>
                <w:b w:val="0"/>
                <w:bCs w:val="0"/>
                <w:color w:val="auto"/>
                <w:sz w:val="21"/>
                <w:szCs w:val="21"/>
              </w:rPr>
            </w:pPr>
          </w:p>
        </w:tc>
        <w:tc>
          <w:tcPr>
            <w:tcW w:w="912" w:type="dxa"/>
            <w:noWrap w:val="0"/>
            <w:vAlign w:val="center"/>
          </w:tcPr>
          <w:p w14:paraId="41B0D8E5">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成员</w:t>
            </w:r>
          </w:p>
        </w:tc>
        <w:tc>
          <w:tcPr>
            <w:tcW w:w="1031" w:type="dxa"/>
            <w:noWrap w:val="0"/>
            <w:vAlign w:val="center"/>
          </w:tcPr>
          <w:p w14:paraId="59216E22">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李斌</w:t>
            </w:r>
          </w:p>
        </w:tc>
        <w:tc>
          <w:tcPr>
            <w:tcW w:w="1874" w:type="dxa"/>
            <w:noWrap w:val="0"/>
            <w:vAlign w:val="center"/>
          </w:tcPr>
          <w:p w14:paraId="579D9C62">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花溪区水务局</w:t>
            </w:r>
          </w:p>
        </w:tc>
        <w:tc>
          <w:tcPr>
            <w:tcW w:w="1294" w:type="dxa"/>
            <w:noWrap w:val="0"/>
            <w:vAlign w:val="center"/>
          </w:tcPr>
          <w:p w14:paraId="6B1D81E8">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局长</w:t>
            </w:r>
          </w:p>
        </w:tc>
      </w:tr>
      <w:tr w14:paraId="5755FE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9" w:hRule="atLeast"/>
          <w:jc w:val="center"/>
        </w:trPr>
        <w:tc>
          <w:tcPr>
            <w:tcW w:w="878" w:type="dxa"/>
            <w:vMerge w:val="continue"/>
            <w:noWrap w:val="0"/>
            <w:vAlign w:val="center"/>
          </w:tcPr>
          <w:p w14:paraId="7385A1AB">
            <w:pPr>
              <w:widowControl/>
              <w:jc w:val="center"/>
              <w:rPr>
                <w:rFonts w:hint="eastAsia" w:ascii="仿宋_GB2312" w:hAnsi="仿宋_GB2312" w:eastAsia="仿宋_GB2312" w:cs="仿宋_GB2312"/>
                <w:b w:val="0"/>
                <w:bCs w:val="0"/>
                <w:color w:val="auto"/>
                <w:sz w:val="21"/>
                <w:szCs w:val="21"/>
              </w:rPr>
            </w:pPr>
          </w:p>
        </w:tc>
        <w:tc>
          <w:tcPr>
            <w:tcW w:w="691" w:type="dxa"/>
            <w:vMerge w:val="continue"/>
            <w:noWrap w:val="0"/>
            <w:vAlign w:val="center"/>
          </w:tcPr>
          <w:p w14:paraId="5F54A384">
            <w:pPr>
              <w:widowControl/>
              <w:jc w:val="left"/>
              <w:rPr>
                <w:rFonts w:hint="eastAsia" w:ascii="仿宋_GB2312" w:hAnsi="仿宋_GB2312" w:eastAsia="仿宋_GB2312" w:cs="仿宋_GB2312"/>
                <w:b w:val="0"/>
                <w:bCs w:val="0"/>
                <w:color w:val="auto"/>
                <w:sz w:val="21"/>
                <w:szCs w:val="21"/>
              </w:rPr>
            </w:pPr>
          </w:p>
        </w:tc>
        <w:tc>
          <w:tcPr>
            <w:tcW w:w="912" w:type="dxa"/>
            <w:noWrap w:val="0"/>
            <w:vAlign w:val="center"/>
          </w:tcPr>
          <w:p w14:paraId="03D5F1AE">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成员</w:t>
            </w:r>
          </w:p>
        </w:tc>
        <w:tc>
          <w:tcPr>
            <w:tcW w:w="1031" w:type="dxa"/>
            <w:noWrap w:val="0"/>
            <w:vAlign w:val="center"/>
          </w:tcPr>
          <w:p w14:paraId="29707C91">
            <w:pPr>
              <w:pStyle w:val="12"/>
              <w:spacing w:beforeAutospacing="0" w:afterAutospacing="0" w:line="240" w:lineRule="auto"/>
              <w:ind w:firstLine="199" w:firstLineChars="95"/>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杨江</w:t>
            </w:r>
          </w:p>
        </w:tc>
        <w:tc>
          <w:tcPr>
            <w:tcW w:w="1874" w:type="dxa"/>
            <w:noWrap w:val="0"/>
            <w:vAlign w:val="center"/>
          </w:tcPr>
          <w:p w14:paraId="1DEE4F11">
            <w:pPr>
              <w:pStyle w:val="12"/>
              <w:spacing w:beforeAutospacing="0" w:afterAutospacing="0" w:line="240" w:lineRule="auto"/>
              <w:ind w:firstLine="0" w:firstLineChars="0"/>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区消防大队</w:t>
            </w:r>
          </w:p>
        </w:tc>
        <w:tc>
          <w:tcPr>
            <w:tcW w:w="1294" w:type="dxa"/>
            <w:noWrap w:val="0"/>
            <w:vAlign w:val="center"/>
          </w:tcPr>
          <w:p w14:paraId="344D555C">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大队长</w:t>
            </w:r>
          </w:p>
        </w:tc>
      </w:tr>
      <w:tr w14:paraId="4DC94C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2" w:hRule="atLeast"/>
          <w:jc w:val="center"/>
        </w:trPr>
        <w:tc>
          <w:tcPr>
            <w:tcW w:w="878" w:type="dxa"/>
            <w:vMerge w:val="continue"/>
            <w:noWrap w:val="0"/>
            <w:vAlign w:val="center"/>
          </w:tcPr>
          <w:p w14:paraId="0C54CD84">
            <w:pPr>
              <w:widowControl/>
              <w:jc w:val="center"/>
              <w:rPr>
                <w:rFonts w:hint="eastAsia" w:ascii="仿宋_GB2312" w:hAnsi="仿宋_GB2312" w:eastAsia="仿宋_GB2312" w:cs="仿宋_GB2312"/>
                <w:b w:val="0"/>
                <w:bCs w:val="0"/>
                <w:color w:val="auto"/>
                <w:sz w:val="21"/>
                <w:szCs w:val="21"/>
              </w:rPr>
            </w:pPr>
          </w:p>
        </w:tc>
        <w:tc>
          <w:tcPr>
            <w:tcW w:w="691" w:type="dxa"/>
            <w:vMerge w:val="continue"/>
            <w:noWrap w:val="0"/>
            <w:vAlign w:val="center"/>
          </w:tcPr>
          <w:p w14:paraId="5053A1FE">
            <w:pPr>
              <w:widowControl/>
              <w:jc w:val="left"/>
              <w:rPr>
                <w:rFonts w:hint="eastAsia" w:ascii="仿宋_GB2312" w:hAnsi="仿宋_GB2312" w:eastAsia="仿宋_GB2312" w:cs="仿宋_GB2312"/>
                <w:b w:val="0"/>
                <w:bCs w:val="0"/>
                <w:color w:val="auto"/>
                <w:sz w:val="21"/>
                <w:szCs w:val="21"/>
              </w:rPr>
            </w:pPr>
          </w:p>
        </w:tc>
        <w:tc>
          <w:tcPr>
            <w:tcW w:w="912" w:type="dxa"/>
            <w:noWrap w:val="0"/>
            <w:vAlign w:val="center"/>
          </w:tcPr>
          <w:p w14:paraId="46BD364A">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成员</w:t>
            </w:r>
          </w:p>
        </w:tc>
        <w:tc>
          <w:tcPr>
            <w:tcW w:w="1031" w:type="dxa"/>
            <w:noWrap w:val="0"/>
            <w:vAlign w:val="center"/>
          </w:tcPr>
          <w:p w14:paraId="5A13F57D">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陈小进</w:t>
            </w:r>
          </w:p>
        </w:tc>
        <w:tc>
          <w:tcPr>
            <w:tcW w:w="1874" w:type="dxa"/>
            <w:noWrap w:val="0"/>
            <w:vAlign w:val="center"/>
          </w:tcPr>
          <w:p w14:paraId="16B06B87">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花溪区交通运输局</w:t>
            </w:r>
          </w:p>
        </w:tc>
        <w:tc>
          <w:tcPr>
            <w:tcW w:w="1294" w:type="dxa"/>
            <w:noWrap w:val="0"/>
            <w:vAlign w:val="center"/>
          </w:tcPr>
          <w:p w14:paraId="59EE46B7">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副局长</w:t>
            </w:r>
          </w:p>
        </w:tc>
      </w:tr>
      <w:tr w14:paraId="732542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73" w:hRule="atLeast"/>
          <w:jc w:val="center"/>
        </w:trPr>
        <w:tc>
          <w:tcPr>
            <w:tcW w:w="878" w:type="dxa"/>
            <w:vMerge w:val="continue"/>
            <w:noWrap w:val="0"/>
            <w:vAlign w:val="center"/>
          </w:tcPr>
          <w:p w14:paraId="23E13BF7">
            <w:pPr>
              <w:widowControl/>
              <w:jc w:val="center"/>
              <w:rPr>
                <w:rFonts w:hint="eastAsia" w:ascii="仿宋_GB2312" w:hAnsi="仿宋_GB2312" w:eastAsia="仿宋_GB2312" w:cs="仿宋_GB2312"/>
                <w:b w:val="0"/>
                <w:bCs w:val="0"/>
                <w:color w:val="auto"/>
                <w:sz w:val="21"/>
                <w:szCs w:val="21"/>
              </w:rPr>
            </w:pPr>
          </w:p>
        </w:tc>
        <w:tc>
          <w:tcPr>
            <w:tcW w:w="691" w:type="dxa"/>
            <w:vMerge w:val="continue"/>
            <w:noWrap w:val="0"/>
            <w:vAlign w:val="center"/>
          </w:tcPr>
          <w:p w14:paraId="468FF110">
            <w:pPr>
              <w:widowControl/>
              <w:jc w:val="left"/>
              <w:rPr>
                <w:rFonts w:hint="eastAsia" w:ascii="仿宋_GB2312" w:hAnsi="仿宋_GB2312" w:eastAsia="仿宋_GB2312" w:cs="仿宋_GB2312"/>
                <w:b w:val="0"/>
                <w:bCs w:val="0"/>
                <w:color w:val="auto"/>
                <w:sz w:val="21"/>
                <w:szCs w:val="21"/>
              </w:rPr>
            </w:pPr>
          </w:p>
        </w:tc>
        <w:tc>
          <w:tcPr>
            <w:tcW w:w="912" w:type="dxa"/>
            <w:noWrap w:val="0"/>
            <w:vAlign w:val="center"/>
          </w:tcPr>
          <w:p w14:paraId="6ED1EEFE">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成员</w:t>
            </w:r>
          </w:p>
        </w:tc>
        <w:tc>
          <w:tcPr>
            <w:tcW w:w="1031" w:type="dxa"/>
            <w:noWrap w:val="0"/>
            <w:vAlign w:val="center"/>
          </w:tcPr>
          <w:p w14:paraId="30946CDD">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黄碧祥</w:t>
            </w:r>
          </w:p>
        </w:tc>
        <w:tc>
          <w:tcPr>
            <w:tcW w:w="1874" w:type="dxa"/>
            <w:noWrap w:val="0"/>
            <w:vAlign w:val="center"/>
          </w:tcPr>
          <w:p w14:paraId="4847822D">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花溪区自然资源局</w:t>
            </w:r>
          </w:p>
        </w:tc>
        <w:tc>
          <w:tcPr>
            <w:tcW w:w="1294" w:type="dxa"/>
            <w:noWrap w:val="0"/>
            <w:vAlign w:val="center"/>
          </w:tcPr>
          <w:p w14:paraId="0FFC4292">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局长</w:t>
            </w:r>
          </w:p>
        </w:tc>
      </w:tr>
      <w:tr w14:paraId="69907E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9" w:hRule="atLeast"/>
          <w:jc w:val="center"/>
        </w:trPr>
        <w:tc>
          <w:tcPr>
            <w:tcW w:w="878" w:type="dxa"/>
            <w:vMerge w:val="continue"/>
            <w:noWrap w:val="0"/>
            <w:vAlign w:val="center"/>
          </w:tcPr>
          <w:p w14:paraId="59FD997F">
            <w:pPr>
              <w:widowControl/>
              <w:jc w:val="center"/>
              <w:rPr>
                <w:rFonts w:hint="eastAsia" w:ascii="仿宋_GB2312" w:hAnsi="仿宋_GB2312" w:eastAsia="仿宋_GB2312" w:cs="仿宋_GB2312"/>
                <w:b w:val="0"/>
                <w:bCs w:val="0"/>
                <w:color w:val="auto"/>
                <w:sz w:val="21"/>
                <w:szCs w:val="21"/>
              </w:rPr>
            </w:pPr>
          </w:p>
        </w:tc>
        <w:tc>
          <w:tcPr>
            <w:tcW w:w="691" w:type="dxa"/>
            <w:vMerge w:val="continue"/>
            <w:noWrap w:val="0"/>
            <w:vAlign w:val="center"/>
          </w:tcPr>
          <w:p w14:paraId="654418E4">
            <w:pPr>
              <w:widowControl/>
              <w:jc w:val="left"/>
              <w:rPr>
                <w:rFonts w:hint="eastAsia" w:ascii="仿宋_GB2312" w:hAnsi="仿宋_GB2312" w:eastAsia="仿宋_GB2312" w:cs="仿宋_GB2312"/>
                <w:b w:val="0"/>
                <w:bCs w:val="0"/>
                <w:color w:val="auto"/>
                <w:sz w:val="21"/>
                <w:szCs w:val="21"/>
              </w:rPr>
            </w:pPr>
          </w:p>
        </w:tc>
        <w:tc>
          <w:tcPr>
            <w:tcW w:w="912" w:type="dxa"/>
            <w:noWrap w:val="0"/>
            <w:vAlign w:val="center"/>
          </w:tcPr>
          <w:p w14:paraId="2B11BC2C">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成员</w:t>
            </w:r>
          </w:p>
        </w:tc>
        <w:tc>
          <w:tcPr>
            <w:tcW w:w="1031" w:type="dxa"/>
            <w:noWrap w:val="0"/>
            <w:vAlign w:val="center"/>
          </w:tcPr>
          <w:p w14:paraId="753210B7">
            <w:pPr>
              <w:widowControl/>
              <w:jc w:val="center"/>
              <w:rPr>
                <w:rFonts w:hint="eastAsia" w:ascii="仿宋_GB2312" w:hAnsi="仿宋_GB2312" w:eastAsia="仿宋_GB2312" w:cs="仿宋_GB2312"/>
                <w:b w:val="0"/>
                <w:bCs w:val="0"/>
                <w:color w:val="auto"/>
                <w:sz w:val="21"/>
                <w:szCs w:val="21"/>
                <w:lang w:eastAsia="zh-CN"/>
              </w:rPr>
            </w:pPr>
            <w:r>
              <w:rPr>
                <w:rFonts w:hint="eastAsia" w:ascii="仿宋_GB2312" w:hAnsi="仿宋_GB2312" w:eastAsia="仿宋_GB2312" w:cs="仿宋_GB2312"/>
                <w:b w:val="0"/>
                <w:bCs w:val="0"/>
                <w:color w:val="auto"/>
                <w:sz w:val="21"/>
                <w:szCs w:val="21"/>
                <w:lang w:eastAsia="zh-CN"/>
              </w:rPr>
              <w:t>李震宇</w:t>
            </w:r>
          </w:p>
        </w:tc>
        <w:tc>
          <w:tcPr>
            <w:tcW w:w="1874" w:type="dxa"/>
            <w:noWrap w:val="0"/>
            <w:vAlign w:val="center"/>
          </w:tcPr>
          <w:p w14:paraId="2E799951">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花溪区农业农村局</w:t>
            </w:r>
          </w:p>
        </w:tc>
        <w:tc>
          <w:tcPr>
            <w:tcW w:w="1294" w:type="dxa"/>
            <w:noWrap w:val="0"/>
            <w:vAlign w:val="center"/>
          </w:tcPr>
          <w:p w14:paraId="014F2470">
            <w:pPr>
              <w:widowControl/>
              <w:jc w:val="center"/>
              <w:rPr>
                <w:rFonts w:hint="eastAsia" w:ascii="仿宋_GB2312" w:hAnsi="仿宋_GB2312" w:eastAsia="仿宋_GB2312" w:cs="仿宋_GB2312"/>
                <w:b w:val="0"/>
                <w:bCs w:val="0"/>
                <w:color w:val="auto"/>
                <w:sz w:val="21"/>
                <w:szCs w:val="21"/>
                <w:lang w:eastAsia="zh-CN"/>
              </w:rPr>
            </w:pPr>
            <w:r>
              <w:rPr>
                <w:rFonts w:hint="eastAsia" w:ascii="仿宋_GB2312" w:hAnsi="仿宋_GB2312" w:eastAsia="仿宋_GB2312" w:cs="仿宋_GB2312"/>
                <w:b w:val="0"/>
                <w:bCs w:val="0"/>
                <w:color w:val="auto"/>
                <w:sz w:val="21"/>
                <w:szCs w:val="21"/>
              </w:rPr>
              <w:t>局长</w:t>
            </w:r>
            <w:r>
              <w:rPr>
                <w:rFonts w:hint="eastAsia" w:ascii="仿宋_GB2312" w:hAnsi="仿宋_GB2312" w:eastAsia="仿宋_GB2312" w:cs="仿宋_GB2312"/>
                <w:b w:val="0"/>
                <w:bCs w:val="0"/>
                <w:color w:val="auto"/>
                <w:sz w:val="21"/>
                <w:szCs w:val="21"/>
                <w:lang w:eastAsia="zh-CN"/>
              </w:rPr>
              <w:t>人选</w:t>
            </w:r>
          </w:p>
        </w:tc>
      </w:tr>
      <w:tr w14:paraId="09A851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3" w:hRule="atLeast"/>
          <w:jc w:val="center"/>
        </w:trPr>
        <w:tc>
          <w:tcPr>
            <w:tcW w:w="878" w:type="dxa"/>
            <w:vMerge w:val="continue"/>
            <w:noWrap w:val="0"/>
            <w:vAlign w:val="center"/>
          </w:tcPr>
          <w:p w14:paraId="19322C6E">
            <w:pPr>
              <w:widowControl/>
              <w:jc w:val="center"/>
              <w:rPr>
                <w:rFonts w:hint="eastAsia" w:ascii="仿宋_GB2312" w:hAnsi="仿宋_GB2312" w:eastAsia="仿宋_GB2312" w:cs="仿宋_GB2312"/>
                <w:b w:val="0"/>
                <w:bCs w:val="0"/>
                <w:color w:val="auto"/>
                <w:sz w:val="21"/>
                <w:szCs w:val="21"/>
              </w:rPr>
            </w:pPr>
          </w:p>
        </w:tc>
        <w:tc>
          <w:tcPr>
            <w:tcW w:w="691" w:type="dxa"/>
            <w:vMerge w:val="continue"/>
            <w:noWrap w:val="0"/>
            <w:vAlign w:val="center"/>
          </w:tcPr>
          <w:p w14:paraId="74B87528">
            <w:pPr>
              <w:widowControl/>
              <w:jc w:val="left"/>
              <w:rPr>
                <w:rFonts w:hint="eastAsia" w:ascii="仿宋_GB2312" w:hAnsi="仿宋_GB2312" w:eastAsia="仿宋_GB2312" w:cs="仿宋_GB2312"/>
                <w:b w:val="0"/>
                <w:bCs w:val="0"/>
                <w:color w:val="auto"/>
                <w:sz w:val="21"/>
                <w:szCs w:val="21"/>
              </w:rPr>
            </w:pPr>
          </w:p>
        </w:tc>
        <w:tc>
          <w:tcPr>
            <w:tcW w:w="912" w:type="dxa"/>
            <w:noWrap w:val="0"/>
            <w:vAlign w:val="center"/>
          </w:tcPr>
          <w:p w14:paraId="0AF503C7">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成员</w:t>
            </w:r>
          </w:p>
        </w:tc>
        <w:tc>
          <w:tcPr>
            <w:tcW w:w="1031" w:type="dxa"/>
            <w:noWrap w:val="0"/>
            <w:vAlign w:val="center"/>
          </w:tcPr>
          <w:p w14:paraId="34EF77A1">
            <w:pPr>
              <w:widowControl/>
              <w:jc w:val="center"/>
              <w:rPr>
                <w:rFonts w:hint="eastAsia" w:ascii="仿宋_GB2312" w:hAnsi="仿宋_GB2312" w:eastAsia="仿宋_GB2312" w:cs="仿宋_GB2312"/>
                <w:b w:val="0"/>
                <w:bCs w:val="0"/>
                <w:color w:val="auto"/>
                <w:sz w:val="21"/>
                <w:szCs w:val="21"/>
                <w:lang w:eastAsia="zh-CN"/>
              </w:rPr>
            </w:pPr>
            <w:r>
              <w:rPr>
                <w:rFonts w:hint="eastAsia" w:ascii="仿宋_GB2312" w:hAnsi="仿宋_GB2312" w:eastAsia="仿宋_GB2312" w:cs="仿宋_GB2312"/>
                <w:b w:val="0"/>
                <w:bCs w:val="0"/>
                <w:color w:val="auto"/>
                <w:sz w:val="21"/>
                <w:szCs w:val="21"/>
                <w:lang w:eastAsia="zh-CN"/>
              </w:rPr>
              <w:t>刘梦洋</w:t>
            </w:r>
          </w:p>
        </w:tc>
        <w:tc>
          <w:tcPr>
            <w:tcW w:w="1874" w:type="dxa"/>
            <w:noWrap w:val="0"/>
            <w:vAlign w:val="center"/>
          </w:tcPr>
          <w:p w14:paraId="7714D974">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高坡乡人民政府</w:t>
            </w:r>
          </w:p>
        </w:tc>
        <w:tc>
          <w:tcPr>
            <w:tcW w:w="1294" w:type="dxa"/>
            <w:noWrap w:val="0"/>
            <w:vAlign w:val="center"/>
          </w:tcPr>
          <w:p w14:paraId="05985B97">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党委副书记、政法委书记</w:t>
            </w:r>
          </w:p>
        </w:tc>
      </w:tr>
      <w:tr w14:paraId="0F776F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3" w:hRule="atLeast"/>
          <w:jc w:val="center"/>
        </w:trPr>
        <w:tc>
          <w:tcPr>
            <w:tcW w:w="878" w:type="dxa"/>
            <w:vMerge w:val="continue"/>
            <w:noWrap w:val="0"/>
            <w:vAlign w:val="center"/>
          </w:tcPr>
          <w:p w14:paraId="04DCA3F1">
            <w:pPr>
              <w:widowControl/>
              <w:jc w:val="center"/>
              <w:rPr>
                <w:rFonts w:hint="eastAsia" w:ascii="仿宋_GB2312" w:hAnsi="仿宋_GB2312" w:eastAsia="仿宋_GB2312" w:cs="仿宋_GB2312"/>
                <w:b w:val="0"/>
                <w:bCs w:val="0"/>
                <w:color w:val="auto"/>
                <w:sz w:val="21"/>
                <w:szCs w:val="21"/>
              </w:rPr>
            </w:pPr>
          </w:p>
        </w:tc>
        <w:tc>
          <w:tcPr>
            <w:tcW w:w="691" w:type="dxa"/>
            <w:vMerge w:val="continue"/>
            <w:noWrap w:val="0"/>
            <w:vAlign w:val="center"/>
          </w:tcPr>
          <w:p w14:paraId="0B02E0F4">
            <w:pPr>
              <w:widowControl/>
              <w:jc w:val="left"/>
              <w:rPr>
                <w:rFonts w:hint="eastAsia" w:ascii="仿宋_GB2312" w:hAnsi="仿宋_GB2312" w:eastAsia="仿宋_GB2312" w:cs="仿宋_GB2312"/>
                <w:b w:val="0"/>
                <w:bCs w:val="0"/>
                <w:color w:val="auto"/>
                <w:sz w:val="21"/>
                <w:szCs w:val="21"/>
              </w:rPr>
            </w:pPr>
          </w:p>
        </w:tc>
        <w:tc>
          <w:tcPr>
            <w:tcW w:w="912" w:type="dxa"/>
            <w:noWrap w:val="0"/>
            <w:vAlign w:val="center"/>
          </w:tcPr>
          <w:p w14:paraId="259315A2">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成员</w:t>
            </w:r>
          </w:p>
        </w:tc>
        <w:tc>
          <w:tcPr>
            <w:tcW w:w="1031" w:type="dxa"/>
            <w:noWrap w:val="0"/>
            <w:vAlign w:val="center"/>
          </w:tcPr>
          <w:p w14:paraId="7D79BB7D">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刘龙</w:t>
            </w:r>
          </w:p>
        </w:tc>
        <w:tc>
          <w:tcPr>
            <w:tcW w:w="1874" w:type="dxa"/>
            <w:noWrap w:val="0"/>
            <w:vAlign w:val="center"/>
          </w:tcPr>
          <w:p w14:paraId="09B6A30B">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马铃乡人民政府</w:t>
            </w:r>
          </w:p>
        </w:tc>
        <w:tc>
          <w:tcPr>
            <w:tcW w:w="1294" w:type="dxa"/>
            <w:noWrap w:val="0"/>
            <w:vAlign w:val="center"/>
          </w:tcPr>
          <w:p w14:paraId="3E2019AB">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四级主任科员</w:t>
            </w:r>
          </w:p>
        </w:tc>
      </w:tr>
      <w:tr w14:paraId="506226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3" w:hRule="atLeast"/>
          <w:jc w:val="center"/>
        </w:trPr>
        <w:tc>
          <w:tcPr>
            <w:tcW w:w="878" w:type="dxa"/>
            <w:vMerge w:val="continue"/>
            <w:noWrap w:val="0"/>
            <w:vAlign w:val="center"/>
          </w:tcPr>
          <w:p w14:paraId="5573E4E8">
            <w:pPr>
              <w:widowControl/>
              <w:jc w:val="center"/>
              <w:rPr>
                <w:rFonts w:hint="eastAsia" w:ascii="仿宋_GB2312" w:hAnsi="仿宋_GB2312" w:eastAsia="仿宋_GB2312" w:cs="仿宋_GB2312"/>
                <w:b w:val="0"/>
                <w:bCs w:val="0"/>
                <w:color w:val="auto"/>
                <w:sz w:val="21"/>
                <w:szCs w:val="21"/>
              </w:rPr>
            </w:pPr>
          </w:p>
        </w:tc>
        <w:tc>
          <w:tcPr>
            <w:tcW w:w="691" w:type="dxa"/>
            <w:vMerge w:val="continue"/>
            <w:noWrap w:val="0"/>
            <w:vAlign w:val="center"/>
          </w:tcPr>
          <w:p w14:paraId="2D182EBF">
            <w:pPr>
              <w:widowControl/>
              <w:jc w:val="left"/>
              <w:rPr>
                <w:rFonts w:hint="eastAsia" w:ascii="仿宋_GB2312" w:hAnsi="仿宋_GB2312" w:eastAsia="仿宋_GB2312" w:cs="仿宋_GB2312"/>
                <w:b w:val="0"/>
                <w:bCs w:val="0"/>
                <w:color w:val="auto"/>
                <w:sz w:val="21"/>
                <w:szCs w:val="21"/>
              </w:rPr>
            </w:pPr>
          </w:p>
        </w:tc>
        <w:tc>
          <w:tcPr>
            <w:tcW w:w="912" w:type="dxa"/>
            <w:noWrap w:val="0"/>
            <w:vAlign w:val="center"/>
          </w:tcPr>
          <w:p w14:paraId="74CB7233">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成员</w:t>
            </w:r>
          </w:p>
        </w:tc>
        <w:tc>
          <w:tcPr>
            <w:tcW w:w="1031" w:type="dxa"/>
            <w:noWrap w:val="0"/>
            <w:vAlign w:val="center"/>
          </w:tcPr>
          <w:p w14:paraId="743B9695">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刘海川</w:t>
            </w:r>
          </w:p>
        </w:tc>
        <w:tc>
          <w:tcPr>
            <w:tcW w:w="1874" w:type="dxa"/>
            <w:noWrap w:val="0"/>
            <w:vAlign w:val="center"/>
          </w:tcPr>
          <w:p w14:paraId="717F6B79">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黔陶乡人民政府</w:t>
            </w:r>
          </w:p>
        </w:tc>
        <w:tc>
          <w:tcPr>
            <w:tcW w:w="1294" w:type="dxa"/>
            <w:noWrap w:val="0"/>
            <w:vAlign w:val="center"/>
          </w:tcPr>
          <w:p w14:paraId="475A6CAD">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副乡长</w:t>
            </w:r>
          </w:p>
        </w:tc>
      </w:tr>
      <w:tr w14:paraId="430316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3" w:hRule="atLeast"/>
          <w:jc w:val="center"/>
        </w:trPr>
        <w:tc>
          <w:tcPr>
            <w:tcW w:w="878" w:type="dxa"/>
            <w:vMerge w:val="continue"/>
            <w:noWrap w:val="0"/>
            <w:vAlign w:val="center"/>
          </w:tcPr>
          <w:p w14:paraId="2253DC2D">
            <w:pPr>
              <w:widowControl/>
              <w:jc w:val="center"/>
              <w:rPr>
                <w:rFonts w:hint="eastAsia" w:ascii="仿宋_GB2312" w:hAnsi="仿宋_GB2312" w:eastAsia="仿宋_GB2312" w:cs="仿宋_GB2312"/>
                <w:b w:val="0"/>
                <w:bCs w:val="0"/>
                <w:color w:val="auto"/>
                <w:sz w:val="21"/>
                <w:szCs w:val="21"/>
              </w:rPr>
            </w:pPr>
          </w:p>
        </w:tc>
        <w:tc>
          <w:tcPr>
            <w:tcW w:w="691" w:type="dxa"/>
            <w:vMerge w:val="continue"/>
            <w:noWrap w:val="0"/>
            <w:vAlign w:val="center"/>
          </w:tcPr>
          <w:p w14:paraId="6B986000">
            <w:pPr>
              <w:widowControl/>
              <w:jc w:val="left"/>
              <w:rPr>
                <w:rFonts w:hint="eastAsia" w:ascii="仿宋_GB2312" w:hAnsi="仿宋_GB2312" w:eastAsia="仿宋_GB2312" w:cs="仿宋_GB2312"/>
                <w:b w:val="0"/>
                <w:bCs w:val="0"/>
                <w:color w:val="auto"/>
                <w:sz w:val="21"/>
                <w:szCs w:val="21"/>
              </w:rPr>
            </w:pPr>
          </w:p>
        </w:tc>
        <w:tc>
          <w:tcPr>
            <w:tcW w:w="912" w:type="dxa"/>
            <w:noWrap w:val="0"/>
            <w:vAlign w:val="center"/>
          </w:tcPr>
          <w:p w14:paraId="178741A3">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成员</w:t>
            </w:r>
          </w:p>
        </w:tc>
        <w:tc>
          <w:tcPr>
            <w:tcW w:w="1031" w:type="dxa"/>
            <w:noWrap w:val="0"/>
            <w:vAlign w:val="center"/>
          </w:tcPr>
          <w:p w14:paraId="30A5691F">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何耘</w:t>
            </w:r>
          </w:p>
        </w:tc>
        <w:tc>
          <w:tcPr>
            <w:tcW w:w="1874" w:type="dxa"/>
            <w:noWrap w:val="0"/>
            <w:vAlign w:val="center"/>
          </w:tcPr>
          <w:p w14:paraId="2A795ECC">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清溪街道办</w:t>
            </w:r>
          </w:p>
        </w:tc>
        <w:tc>
          <w:tcPr>
            <w:tcW w:w="1294" w:type="dxa"/>
            <w:noWrap w:val="0"/>
            <w:vAlign w:val="center"/>
          </w:tcPr>
          <w:p w14:paraId="4112F5E1">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优化营商环境服务中心主任</w:t>
            </w:r>
          </w:p>
        </w:tc>
      </w:tr>
      <w:tr w14:paraId="1344DA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3" w:hRule="atLeast"/>
          <w:jc w:val="center"/>
        </w:trPr>
        <w:tc>
          <w:tcPr>
            <w:tcW w:w="878" w:type="dxa"/>
            <w:vMerge w:val="continue"/>
            <w:noWrap w:val="0"/>
            <w:vAlign w:val="center"/>
          </w:tcPr>
          <w:p w14:paraId="3F9BE1A1">
            <w:pPr>
              <w:widowControl/>
              <w:jc w:val="center"/>
              <w:rPr>
                <w:rFonts w:hint="eastAsia" w:ascii="仿宋_GB2312" w:hAnsi="仿宋_GB2312" w:eastAsia="仿宋_GB2312" w:cs="仿宋_GB2312"/>
                <w:b w:val="0"/>
                <w:bCs w:val="0"/>
                <w:color w:val="auto"/>
                <w:sz w:val="21"/>
                <w:szCs w:val="21"/>
              </w:rPr>
            </w:pPr>
          </w:p>
        </w:tc>
        <w:tc>
          <w:tcPr>
            <w:tcW w:w="691" w:type="dxa"/>
            <w:vMerge w:val="continue"/>
            <w:noWrap w:val="0"/>
            <w:vAlign w:val="center"/>
          </w:tcPr>
          <w:p w14:paraId="41A88FB2">
            <w:pPr>
              <w:widowControl/>
              <w:jc w:val="left"/>
              <w:rPr>
                <w:rFonts w:hint="eastAsia" w:ascii="仿宋_GB2312" w:hAnsi="仿宋_GB2312" w:eastAsia="仿宋_GB2312" w:cs="仿宋_GB2312"/>
                <w:b w:val="0"/>
                <w:bCs w:val="0"/>
                <w:color w:val="auto"/>
                <w:sz w:val="21"/>
                <w:szCs w:val="21"/>
              </w:rPr>
            </w:pPr>
          </w:p>
        </w:tc>
        <w:tc>
          <w:tcPr>
            <w:tcW w:w="912" w:type="dxa"/>
            <w:noWrap w:val="0"/>
            <w:vAlign w:val="center"/>
          </w:tcPr>
          <w:p w14:paraId="258BCF80">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成员</w:t>
            </w:r>
          </w:p>
        </w:tc>
        <w:tc>
          <w:tcPr>
            <w:tcW w:w="1031" w:type="dxa"/>
            <w:noWrap w:val="0"/>
            <w:vAlign w:val="center"/>
          </w:tcPr>
          <w:p w14:paraId="44E46079">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刘泓吟</w:t>
            </w:r>
          </w:p>
        </w:tc>
        <w:tc>
          <w:tcPr>
            <w:tcW w:w="1874" w:type="dxa"/>
            <w:noWrap w:val="0"/>
            <w:vAlign w:val="center"/>
          </w:tcPr>
          <w:p w14:paraId="27352939">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石板镇人民政府</w:t>
            </w:r>
          </w:p>
        </w:tc>
        <w:tc>
          <w:tcPr>
            <w:tcW w:w="1294" w:type="dxa"/>
            <w:noWrap w:val="0"/>
            <w:vAlign w:val="center"/>
          </w:tcPr>
          <w:p w14:paraId="272ACE5A">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副镇长</w:t>
            </w:r>
          </w:p>
        </w:tc>
      </w:tr>
      <w:tr w14:paraId="1AA243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3" w:hRule="atLeast"/>
          <w:jc w:val="center"/>
        </w:trPr>
        <w:tc>
          <w:tcPr>
            <w:tcW w:w="878" w:type="dxa"/>
            <w:vMerge w:val="continue"/>
            <w:noWrap w:val="0"/>
            <w:vAlign w:val="center"/>
          </w:tcPr>
          <w:p w14:paraId="140F66F9">
            <w:pPr>
              <w:widowControl/>
              <w:jc w:val="center"/>
              <w:rPr>
                <w:rFonts w:hint="eastAsia" w:ascii="仿宋_GB2312" w:hAnsi="仿宋_GB2312" w:eastAsia="仿宋_GB2312" w:cs="仿宋_GB2312"/>
                <w:b w:val="0"/>
                <w:bCs w:val="0"/>
                <w:color w:val="auto"/>
                <w:sz w:val="21"/>
                <w:szCs w:val="21"/>
              </w:rPr>
            </w:pPr>
          </w:p>
        </w:tc>
        <w:tc>
          <w:tcPr>
            <w:tcW w:w="691" w:type="dxa"/>
            <w:vMerge w:val="continue"/>
            <w:noWrap w:val="0"/>
            <w:vAlign w:val="center"/>
          </w:tcPr>
          <w:p w14:paraId="44492B75">
            <w:pPr>
              <w:widowControl/>
              <w:jc w:val="left"/>
              <w:rPr>
                <w:rFonts w:hint="eastAsia" w:ascii="仿宋_GB2312" w:hAnsi="仿宋_GB2312" w:eastAsia="仿宋_GB2312" w:cs="仿宋_GB2312"/>
                <w:b w:val="0"/>
                <w:bCs w:val="0"/>
                <w:color w:val="auto"/>
                <w:sz w:val="21"/>
                <w:szCs w:val="21"/>
              </w:rPr>
            </w:pPr>
          </w:p>
        </w:tc>
        <w:tc>
          <w:tcPr>
            <w:tcW w:w="912" w:type="dxa"/>
            <w:noWrap w:val="0"/>
            <w:vAlign w:val="center"/>
          </w:tcPr>
          <w:p w14:paraId="45CA4425">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成员</w:t>
            </w:r>
          </w:p>
        </w:tc>
        <w:tc>
          <w:tcPr>
            <w:tcW w:w="1031" w:type="dxa"/>
            <w:noWrap w:val="0"/>
            <w:vAlign w:val="center"/>
          </w:tcPr>
          <w:p w14:paraId="2D572299">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蔡鹏程</w:t>
            </w:r>
          </w:p>
        </w:tc>
        <w:tc>
          <w:tcPr>
            <w:tcW w:w="1874" w:type="dxa"/>
            <w:noWrap w:val="0"/>
            <w:vAlign w:val="center"/>
          </w:tcPr>
          <w:p w14:paraId="17388D72">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青岩镇人民政府</w:t>
            </w:r>
          </w:p>
        </w:tc>
        <w:tc>
          <w:tcPr>
            <w:tcW w:w="1294" w:type="dxa"/>
            <w:noWrap w:val="0"/>
            <w:vAlign w:val="center"/>
          </w:tcPr>
          <w:p w14:paraId="661C2660">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副镇长</w:t>
            </w:r>
          </w:p>
        </w:tc>
      </w:tr>
      <w:tr w14:paraId="2001E1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3" w:hRule="atLeast"/>
          <w:jc w:val="center"/>
        </w:trPr>
        <w:tc>
          <w:tcPr>
            <w:tcW w:w="878" w:type="dxa"/>
            <w:vMerge w:val="continue"/>
            <w:noWrap w:val="0"/>
            <w:vAlign w:val="center"/>
          </w:tcPr>
          <w:p w14:paraId="010DC357">
            <w:pPr>
              <w:widowControl/>
              <w:jc w:val="center"/>
              <w:rPr>
                <w:rFonts w:hint="eastAsia" w:ascii="仿宋_GB2312" w:hAnsi="仿宋_GB2312" w:eastAsia="仿宋_GB2312" w:cs="仿宋_GB2312"/>
                <w:b w:val="0"/>
                <w:bCs w:val="0"/>
                <w:color w:val="auto"/>
                <w:sz w:val="21"/>
                <w:szCs w:val="21"/>
              </w:rPr>
            </w:pPr>
          </w:p>
        </w:tc>
        <w:tc>
          <w:tcPr>
            <w:tcW w:w="691" w:type="dxa"/>
            <w:vMerge w:val="continue"/>
            <w:noWrap w:val="0"/>
            <w:vAlign w:val="center"/>
          </w:tcPr>
          <w:p w14:paraId="28338F65">
            <w:pPr>
              <w:widowControl/>
              <w:jc w:val="left"/>
              <w:rPr>
                <w:rFonts w:hint="eastAsia" w:ascii="仿宋_GB2312" w:hAnsi="仿宋_GB2312" w:eastAsia="仿宋_GB2312" w:cs="仿宋_GB2312"/>
                <w:b w:val="0"/>
                <w:bCs w:val="0"/>
                <w:color w:val="auto"/>
                <w:sz w:val="21"/>
                <w:szCs w:val="21"/>
              </w:rPr>
            </w:pPr>
          </w:p>
        </w:tc>
        <w:tc>
          <w:tcPr>
            <w:tcW w:w="912" w:type="dxa"/>
            <w:noWrap w:val="0"/>
            <w:vAlign w:val="center"/>
          </w:tcPr>
          <w:p w14:paraId="5870AAB2">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成员</w:t>
            </w:r>
          </w:p>
        </w:tc>
        <w:tc>
          <w:tcPr>
            <w:tcW w:w="1031" w:type="dxa"/>
            <w:noWrap w:val="0"/>
            <w:vAlign w:val="center"/>
          </w:tcPr>
          <w:p w14:paraId="3378E0AE">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王林</w:t>
            </w:r>
          </w:p>
        </w:tc>
        <w:tc>
          <w:tcPr>
            <w:tcW w:w="1874" w:type="dxa"/>
            <w:noWrap w:val="0"/>
            <w:vAlign w:val="center"/>
          </w:tcPr>
          <w:p w14:paraId="2EA11890">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燕楼镇人民政府</w:t>
            </w:r>
          </w:p>
        </w:tc>
        <w:tc>
          <w:tcPr>
            <w:tcW w:w="1294" w:type="dxa"/>
            <w:noWrap w:val="0"/>
            <w:vAlign w:val="center"/>
          </w:tcPr>
          <w:p w14:paraId="6C534402">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副镇长</w:t>
            </w:r>
          </w:p>
        </w:tc>
      </w:tr>
      <w:tr w14:paraId="2AA2EF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atLeast"/>
          <w:jc w:val="center"/>
        </w:trPr>
        <w:tc>
          <w:tcPr>
            <w:tcW w:w="878" w:type="dxa"/>
            <w:vMerge w:val="restart"/>
            <w:noWrap w:val="0"/>
            <w:vAlign w:val="center"/>
          </w:tcPr>
          <w:p w14:paraId="32F194C7">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4</w:t>
            </w:r>
          </w:p>
        </w:tc>
        <w:tc>
          <w:tcPr>
            <w:tcW w:w="691" w:type="dxa"/>
            <w:vMerge w:val="restart"/>
            <w:noWrap w:val="0"/>
            <w:vAlign w:val="center"/>
          </w:tcPr>
          <w:p w14:paraId="4D0C38FA">
            <w:pPr>
              <w:widowControl/>
              <w:jc w:val="left"/>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应急监测组</w:t>
            </w:r>
          </w:p>
        </w:tc>
        <w:tc>
          <w:tcPr>
            <w:tcW w:w="912" w:type="dxa"/>
            <w:noWrap w:val="0"/>
            <w:vAlign w:val="center"/>
          </w:tcPr>
          <w:p w14:paraId="0B2DDCC7">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组长</w:t>
            </w:r>
          </w:p>
        </w:tc>
        <w:tc>
          <w:tcPr>
            <w:tcW w:w="1031" w:type="dxa"/>
            <w:noWrap w:val="0"/>
            <w:vAlign w:val="center"/>
          </w:tcPr>
          <w:p w14:paraId="20BC56CB">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李有志</w:t>
            </w:r>
          </w:p>
        </w:tc>
        <w:tc>
          <w:tcPr>
            <w:tcW w:w="1874" w:type="dxa"/>
            <w:noWrap w:val="0"/>
            <w:vAlign w:val="center"/>
          </w:tcPr>
          <w:p w14:paraId="6808FE34">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花溪区生态环境保护综合执法大队</w:t>
            </w:r>
          </w:p>
        </w:tc>
        <w:tc>
          <w:tcPr>
            <w:tcW w:w="1294" w:type="dxa"/>
            <w:noWrap w:val="0"/>
            <w:vAlign w:val="center"/>
          </w:tcPr>
          <w:p w14:paraId="193E2B60">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副大队长</w:t>
            </w:r>
          </w:p>
        </w:tc>
      </w:tr>
      <w:tr w14:paraId="7860E9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99" w:hRule="atLeast"/>
          <w:jc w:val="center"/>
        </w:trPr>
        <w:tc>
          <w:tcPr>
            <w:tcW w:w="878" w:type="dxa"/>
            <w:vMerge w:val="continue"/>
            <w:noWrap w:val="0"/>
            <w:vAlign w:val="center"/>
          </w:tcPr>
          <w:p w14:paraId="40AA1CAE">
            <w:pPr>
              <w:widowControl/>
              <w:jc w:val="center"/>
              <w:rPr>
                <w:rFonts w:hint="eastAsia" w:ascii="仿宋_GB2312" w:hAnsi="仿宋_GB2312" w:eastAsia="仿宋_GB2312" w:cs="仿宋_GB2312"/>
                <w:b w:val="0"/>
                <w:bCs w:val="0"/>
                <w:color w:val="auto"/>
                <w:sz w:val="21"/>
                <w:szCs w:val="21"/>
              </w:rPr>
            </w:pPr>
          </w:p>
        </w:tc>
        <w:tc>
          <w:tcPr>
            <w:tcW w:w="691" w:type="dxa"/>
            <w:vMerge w:val="continue"/>
            <w:noWrap w:val="0"/>
            <w:vAlign w:val="center"/>
          </w:tcPr>
          <w:p w14:paraId="1B435E88">
            <w:pPr>
              <w:widowControl/>
              <w:jc w:val="left"/>
              <w:rPr>
                <w:rFonts w:hint="eastAsia" w:ascii="仿宋_GB2312" w:hAnsi="仿宋_GB2312" w:eastAsia="仿宋_GB2312" w:cs="仿宋_GB2312"/>
                <w:b w:val="0"/>
                <w:bCs w:val="0"/>
                <w:color w:val="auto"/>
                <w:sz w:val="21"/>
                <w:szCs w:val="21"/>
              </w:rPr>
            </w:pPr>
          </w:p>
        </w:tc>
        <w:tc>
          <w:tcPr>
            <w:tcW w:w="912" w:type="dxa"/>
            <w:noWrap w:val="0"/>
            <w:vAlign w:val="center"/>
          </w:tcPr>
          <w:p w14:paraId="27FCC14E">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成员</w:t>
            </w:r>
          </w:p>
        </w:tc>
        <w:tc>
          <w:tcPr>
            <w:tcW w:w="1031" w:type="dxa"/>
            <w:noWrap w:val="0"/>
            <w:vAlign w:val="center"/>
          </w:tcPr>
          <w:p w14:paraId="46435958">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李斌</w:t>
            </w:r>
          </w:p>
        </w:tc>
        <w:tc>
          <w:tcPr>
            <w:tcW w:w="1874" w:type="dxa"/>
            <w:noWrap w:val="0"/>
            <w:vAlign w:val="center"/>
          </w:tcPr>
          <w:p w14:paraId="1F82B510">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花溪区水务局</w:t>
            </w:r>
          </w:p>
        </w:tc>
        <w:tc>
          <w:tcPr>
            <w:tcW w:w="1294" w:type="dxa"/>
            <w:noWrap w:val="0"/>
            <w:vAlign w:val="center"/>
          </w:tcPr>
          <w:p w14:paraId="6A148551">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局长</w:t>
            </w:r>
          </w:p>
        </w:tc>
      </w:tr>
      <w:tr w14:paraId="22923E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2" w:hRule="atLeast"/>
          <w:jc w:val="center"/>
        </w:trPr>
        <w:tc>
          <w:tcPr>
            <w:tcW w:w="878" w:type="dxa"/>
            <w:vMerge w:val="continue"/>
            <w:noWrap w:val="0"/>
            <w:vAlign w:val="center"/>
          </w:tcPr>
          <w:p w14:paraId="62318B14">
            <w:pPr>
              <w:widowControl/>
              <w:jc w:val="center"/>
              <w:rPr>
                <w:rFonts w:hint="eastAsia" w:ascii="仿宋_GB2312" w:hAnsi="仿宋_GB2312" w:eastAsia="仿宋_GB2312" w:cs="仿宋_GB2312"/>
                <w:b w:val="0"/>
                <w:bCs w:val="0"/>
                <w:color w:val="auto"/>
                <w:sz w:val="21"/>
                <w:szCs w:val="21"/>
              </w:rPr>
            </w:pPr>
          </w:p>
        </w:tc>
        <w:tc>
          <w:tcPr>
            <w:tcW w:w="691" w:type="dxa"/>
            <w:vMerge w:val="continue"/>
            <w:noWrap w:val="0"/>
            <w:vAlign w:val="center"/>
          </w:tcPr>
          <w:p w14:paraId="790C15C5">
            <w:pPr>
              <w:widowControl/>
              <w:jc w:val="left"/>
              <w:rPr>
                <w:rFonts w:hint="eastAsia" w:ascii="仿宋_GB2312" w:hAnsi="仿宋_GB2312" w:eastAsia="仿宋_GB2312" w:cs="仿宋_GB2312"/>
                <w:b w:val="0"/>
                <w:bCs w:val="0"/>
                <w:color w:val="auto"/>
                <w:sz w:val="21"/>
                <w:szCs w:val="21"/>
              </w:rPr>
            </w:pPr>
          </w:p>
        </w:tc>
        <w:tc>
          <w:tcPr>
            <w:tcW w:w="912" w:type="dxa"/>
            <w:noWrap w:val="0"/>
            <w:vAlign w:val="center"/>
          </w:tcPr>
          <w:p w14:paraId="05D3DD85">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成员</w:t>
            </w:r>
          </w:p>
        </w:tc>
        <w:tc>
          <w:tcPr>
            <w:tcW w:w="1031" w:type="dxa"/>
            <w:noWrap w:val="0"/>
            <w:vAlign w:val="center"/>
          </w:tcPr>
          <w:p w14:paraId="38AE578C">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 xml:space="preserve">黄兴翠 </w:t>
            </w:r>
          </w:p>
        </w:tc>
        <w:tc>
          <w:tcPr>
            <w:tcW w:w="1874" w:type="dxa"/>
            <w:noWrap w:val="0"/>
            <w:vAlign w:val="center"/>
          </w:tcPr>
          <w:p w14:paraId="50237021">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花溪区卫生健康局</w:t>
            </w:r>
          </w:p>
        </w:tc>
        <w:tc>
          <w:tcPr>
            <w:tcW w:w="1294" w:type="dxa"/>
            <w:noWrap w:val="0"/>
            <w:vAlign w:val="center"/>
          </w:tcPr>
          <w:p w14:paraId="403D5158">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局长</w:t>
            </w:r>
          </w:p>
        </w:tc>
      </w:tr>
      <w:tr w14:paraId="25276A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90" w:hRule="atLeast"/>
          <w:jc w:val="center"/>
        </w:trPr>
        <w:tc>
          <w:tcPr>
            <w:tcW w:w="878" w:type="dxa"/>
            <w:vMerge w:val="restart"/>
            <w:noWrap w:val="0"/>
            <w:vAlign w:val="center"/>
          </w:tcPr>
          <w:p w14:paraId="54C7C92C">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5</w:t>
            </w:r>
          </w:p>
        </w:tc>
        <w:tc>
          <w:tcPr>
            <w:tcW w:w="691" w:type="dxa"/>
            <w:vMerge w:val="restart"/>
            <w:noWrap w:val="0"/>
            <w:vAlign w:val="center"/>
          </w:tcPr>
          <w:p w14:paraId="48BF8210">
            <w:pPr>
              <w:widowControl/>
              <w:jc w:val="left"/>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医疗救援组</w:t>
            </w:r>
          </w:p>
        </w:tc>
        <w:tc>
          <w:tcPr>
            <w:tcW w:w="912" w:type="dxa"/>
            <w:noWrap w:val="0"/>
            <w:vAlign w:val="center"/>
          </w:tcPr>
          <w:p w14:paraId="0F0DE6DD">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组长</w:t>
            </w:r>
          </w:p>
        </w:tc>
        <w:tc>
          <w:tcPr>
            <w:tcW w:w="1031" w:type="dxa"/>
            <w:noWrap w:val="0"/>
            <w:vAlign w:val="center"/>
          </w:tcPr>
          <w:p w14:paraId="0ECD762D">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 xml:space="preserve">黄兴翠 </w:t>
            </w:r>
          </w:p>
        </w:tc>
        <w:tc>
          <w:tcPr>
            <w:tcW w:w="1874" w:type="dxa"/>
            <w:noWrap w:val="0"/>
            <w:vAlign w:val="center"/>
          </w:tcPr>
          <w:p w14:paraId="3BB407A4">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花溪区卫生健康局</w:t>
            </w:r>
          </w:p>
        </w:tc>
        <w:tc>
          <w:tcPr>
            <w:tcW w:w="1294" w:type="dxa"/>
            <w:noWrap w:val="0"/>
            <w:vAlign w:val="center"/>
          </w:tcPr>
          <w:p w14:paraId="6E3FC07A">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局长</w:t>
            </w:r>
          </w:p>
        </w:tc>
      </w:tr>
      <w:tr w14:paraId="317C30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3"/>
          <w:wAfter w:w="4199" w:type="dxa"/>
          <w:trHeight w:val="565" w:hRule="atLeast"/>
          <w:jc w:val="center"/>
        </w:trPr>
        <w:tc>
          <w:tcPr>
            <w:tcW w:w="878" w:type="dxa"/>
            <w:vMerge w:val="continue"/>
            <w:noWrap w:val="0"/>
            <w:vAlign w:val="center"/>
          </w:tcPr>
          <w:p w14:paraId="5820D827">
            <w:pPr>
              <w:widowControl/>
              <w:jc w:val="center"/>
              <w:rPr>
                <w:rFonts w:hint="eastAsia" w:ascii="仿宋_GB2312" w:hAnsi="仿宋_GB2312" w:eastAsia="仿宋_GB2312" w:cs="仿宋_GB2312"/>
                <w:b w:val="0"/>
                <w:bCs w:val="0"/>
                <w:color w:val="auto"/>
                <w:sz w:val="21"/>
                <w:szCs w:val="21"/>
              </w:rPr>
            </w:pPr>
          </w:p>
        </w:tc>
        <w:tc>
          <w:tcPr>
            <w:tcW w:w="691" w:type="dxa"/>
            <w:vMerge w:val="continue"/>
            <w:noWrap w:val="0"/>
            <w:vAlign w:val="center"/>
          </w:tcPr>
          <w:p w14:paraId="6ED7A37D">
            <w:pPr>
              <w:widowControl/>
              <w:jc w:val="left"/>
              <w:rPr>
                <w:rFonts w:hint="eastAsia" w:ascii="仿宋_GB2312" w:hAnsi="仿宋_GB2312" w:eastAsia="仿宋_GB2312" w:cs="仿宋_GB2312"/>
                <w:b w:val="0"/>
                <w:bCs w:val="0"/>
                <w:color w:val="auto"/>
                <w:sz w:val="21"/>
                <w:szCs w:val="21"/>
              </w:rPr>
            </w:pPr>
          </w:p>
        </w:tc>
        <w:tc>
          <w:tcPr>
            <w:tcW w:w="912" w:type="dxa"/>
            <w:noWrap w:val="0"/>
            <w:vAlign w:val="center"/>
          </w:tcPr>
          <w:p w14:paraId="25229471">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成员</w:t>
            </w:r>
          </w:p>
        </w:tc>
      </w:tr>
      <w:tr w14:paraId="2D6F06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8" w:hRule="atLeast"/>
          <w:jc w:val="center"/>
        </w:trPr>
        <w:tc>
          <w:tcPr>
            <w:tcW w:w="878" w:type="dxa"/>
            <w:vMerge w:val="restart"/>
            <w:noWrap w:val="0"/>
            <w:vAlign w:val="center"/>
          </w:tcPr>
          <w:p w14:paraId="2D2990D0">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6</w:t>
            </w:r>
          </w:p>
        </w:tc>
        <w:tc>
          <w:tcPr>
            <w:tcW w:w="691" w:type="dxa"/>
            <w:vMerge w:val="restart"/>
            <w:noWrap w:val="0"/>
            <w:vAlign w:val="center"/>
          </w:tcPr>
          <w:p w14:paraId="72FE810A">
            <w:pPr>
              <w:widowControl/>
              <w:jc w:val="left"/>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后勤保障组</w:t>
            </w:r>
          </w:p>
        </w:tc>
        <w:tc>
          <w:tcPr>
            <w:tcW w:w="912" w:type="dxa"/>
            <w:noWrap w:val="0"/>
            <w:vAlign w:val="center"/>
          </w:tcPr>
          <w:p w14:paraId="00B176AE">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组长</w:t>
            </w:r>
          </w:p>
        </w:tc>
        <w:tc>
          <w:tcPr>
            <w:tcW w:w="1031" w:type="dxa"/>
            <w:noWrap w:val="0"/>
            <w:vAlign w:val="center"/>
          </w:tcPr>
          <w:p w14:paraId="601813F0">
            <w:pPr>
              <w:pStyle w:val="12"/>
              <w:spacing w:beforeAutospacing="0" w:afterAutospacing="0" w:line="240" w:lineRule="auto"/>
              <w:ind w:firstLine="0" w:firstLineChars="0"/>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lang w:eastAsia="zh-CN"/>
              </w:rPr>
              <w:t>李</w:t>
            </w:r>
            <w:r>
              <w:rPr>
                <w:rFonts w:hint="eastAsia" w:ascii="仿宋_GB2312" w:hAnsi="仿宋_GB2312" w:eastAsia="仿宋_GB2312" w:cs="仿宋_GB2312"/>
                <w:b w:val="0"/>
                <w:bCs w:val="0"/>
                <w:color w:val="auto"/>
                <w:sz w:val="21"/>
                <w:szCs w:val="21"/>
                <w:lang w:val="en-US" w:eastAsia="zh-CN"/>
              </w:rPr>
              <w:t xml:space="preserve">  </w:t>
            </w:r>
            <w:r>
              <w:rPr>
                <w:rFonts w:hint="eastAsia" w:ascii="仿宋_GB2312" w:hAnsi="仿宋_GB2312" w:eastAsia="仿宋_GB2312" w:cs="仿宋_GB2312"/>
                <w:b w:val="0"/>
                <w:bCs w:val="0"/>
                <w:color w:val="auto"/>
                <w:sz w:val="21"/>
                <w:szCs w:val="21"/>
                <w:lang w:eastAsia="zh-CN"/>
              </w:rPr>
              <w:t>金</w:t>
            </w:r>
          </w:p>
        </w:tc>
        <w:tc>
          <w:tcPr>
            <w:tcW w:w="1874" w:type="dxa"/>
            <w:noWrap w:val="0"/>
            <w:vAlign w:val="center"/>
          </w:tcPr>
          <w:p w14:paraId="79D40F79">
            <w:pPr>
              <w:pStyle w:val="12"/>
              <w:spacing w:beforeAutospacing="0" w:afterAutospacing="0" w:line="240" w:lineRule="auto"/>
              <w:ind w:firstLine="0" w:firstLineChars="0"/>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区</w:t>
            </w:r>
            <w:r>
              <w:rPr>
                <w:rFonts w:hint="eastAsia" w:ascii="仿宋_GB2312" w:hAnsi="仿宋_GB2312" w:eastAsia="仿宋_GB2312" w:cs="仿宋_GB2312"/>
                <w:b w:val="0"/>
                <w:bCs w:val="0"/>
                <w:color w:val="auto"/>
                <w:sz w:val="21"/>
                <w:szCs w:val="21"/>
                <w:lang w:val="en-US" w:eastAsia="zh-CN"/>
              </w:rPr>
              <w:t>应急局副</w:t>
            </w:r>
            <w:r>
              <w:rPr>
                <w:rFonts w:hint="eastAsia" w:ascii="仿宋_GB2312" w:hAnsi="仿宋_GB2312" w:eastAsia="仿宋_GB2312" w:cs="仿宋_GB2312"/>
                <w:b w:val="0"/>
                <w:bCs w:val="0"/>
                <w:color w:val="auto"/>
                <w:sz w:val="21"/>
                <w:szCs w:val="21"/>
              </w:rPr>
              <w:t>局长</w:t>
            </w:r>
            <w:r>
              <w:rPr>
                <w:rFonts w:hint="eastAsia" w:ascii="仿宋_GB2312" w:hAnsi="仿宋_GB2312" w:eastAsia="仿宋_GB2312" w:cs="仿宋_GB2312"/>
                <w:b w:val="0"/>
                <w:bCs w:val="0"/>
                <w:color w:val="auto"/>
                <w:sz w:val="21"/>
                <w:szCs w:val="21"/>
                <w:lang w:eastAsia="zh-CN"/>
              </w:rPr>
              <w:t>（主持工作）</w:t>
            </w:r>
          </w:p>
        </w:tc>
        <w:tc>
          <w:tcPr>
            <w:tcW w:w="1294" w:type="dxa"/>
            <w:noWrap w:val="0"/>
            <w:vAlign w:val="center"/>
          </w:tcPr>
          <w:p w14:paraId="11D675A3">
            <w:pPr>
              <w:widowControl/>
              <w:ind w:firstLine="420" w:firstLineChars="200"/>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lang w:eastAsia="zh-CN"/>
              </w:rPr>
              <w:t>副</w:t>
            </w:r>
            <w:r>
              <w:rPr>
                <w:rFonts w:hint="eastAsia" w:ascii="仿宋_GB2312" w:hAnsi="仿宋_GB2312" w:eastAsia="仿宋_GB2312" w:cs="仿宋_GB2312"/>
                <w:b w:val="0"/>
                <w:bCs w:val="0"/>
                <w:color w:val="auto"/>
                <w:sz w:val="21"/>
                <w:szCs w:val="21"/>
              </w:rPr>
              <w:t>局长</w:t>
            </w:r>
          </w:p>
        </w:tc>
      </w:tr>
      <w:tr w14:paraId="032D21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8" w:hRule="atLeast"/>
          <w:jc w:val="center"/>
        </w:trPr>
        <w:tc>
          <w:tcPr>
            <w:tcW w:w="878" w:type="dxa"/>
            <w:vMerge w:val="continue"/>
            <w:noWrap w:val="0"/>
            <w:vAlign w:val="center"/>
          </w:tcPr>
          <w:p w14:paraId="5A54BCFD">
            <w:pPr>
              <w:widowControl/>
              <w:jc w:val="center"/>
              <w:rPr>
                <w:rFonts w:hint="eastAsia" w:ascii="仿宋_GB2312" w:hAnsi="仿宋_GB2312" w:eastAsia="仿宋_GB2312" w:cs="仿宋_GB2312"/>
                <w:b w:val="0"/>
                <w:bCs w:val="0"/>
                <w:color w:val="auto"/>
                <w:sz w:val="21"/>
                <w:szCs w:val="21"/>
              </w:rPr>
            </w:pPr>
          </w:p>
        </w:tc>
        <w:tc>
          <w:tcPr>
            <w:tcW w:w="691" w:type="dxa"/>
            <w:vMerge w:val="continue"/>
            <w:noWrap w:val="0"/>
            <w:vAlign w:val="center"/>
          </w:tcPr>
          <w:p w14:paraId="49CB6B37">
            <w:pPr>
              <w:widowControl/>
              <w:jc w:val="left"/>
              <w:rPr>
                <w:rFonts w:hint="eastAsia" w:ascii="仿宋_GB2312" w:hAnsi="仿宋_GB2312" w:eastAsia="仿宋_GB2312" w:cs="仿宋_GB2312"/>
                <w:b w:val="0"/>
                <w:bCs w:val="0"/>
                <w:color w:val="auto"/>
                <w:sz w:val="21"/>
                <w:szCs w:val="21"/>
              </w:rPr>
            </w:pPr>
          </w:p>
        </w:tc>
        <w:tc>
          <w:tcPr>
            <w:tcW w:w="912" w:type="dxa"/>
            <w:noWrap w:val="0"/>
            <w:vAlign w:val="center"/>
          </w:tcPr>
          <w:p w14:paraId="58C0C13D">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成员</w:t>
            </w:r>
          </w:p>
        </w:tc>
        <w:tc>
          <w:tcPr>
            <w:tcW w:w="1031" w:type="dxa"/>
            <w:noWrap w:val="0"/>
            <w:vAlign w:val="center"/>
          </w:tcPr>
          <w:p w14:paraId="78592ABC">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简秀华</w:t>
            </w:r>
          </w:p>
        </w:tc>
        <w:tc>
          <w:tcPr>
            <w:tcW w:w="1874" w:type="dxa"/>
            <w:noWrap w:val="0"/>
            <w:vAlign w:val="center"/>
          </w:tcPr>
          <w:p w14:paraId="45878166">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花溪区发展和改革局</w:t>
            </w:r>
          </w:p>
        </w:tc>
        <w:tc>
          <w:tcPr>
            <w:tcW w:w="1294" w:type="dxa"/>
            <w:noWrap w:val="0"/>
            <w:vAlign w:val="center"/>
          </w:tcPr>
          <w:p w14:paraId="620E4670">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副局长</w:t>
            </w:r>
          </w:p>
        </w:tc>
      </w:tr>
      <w:tr w14:paraId="030E7F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46" w:hRule="atLeast"/>
          <w:jc w:val="center"/>
        </w:trPr>
        <w:tc>
          <w:tcPr>
            <w:tcW w:w="878" w:type="dxa"/>
            <w:vMerge w:val="continue"/>
            <w:noWrap w:val="0"/>
            <w:vAlign w:val="center"/>
          </w:tcPr>
          <w:p w14:paraId="79291F7F">
            <w:pPr>
              <w:widowControl/>
              <w:jc w:val="center"/>
              <w:rPr>
                <w:rFonts w:hint="eastAsia" w:ascii="仿宋_GB2312" w:hAnsi="仿宋_GB2312" w:eastAsia="仿宋_GB2312" w:cs="仿宋_GB2312"/>
                <w:b w:val="0"/>
                <w:bCs w:val="0"/>
                <w:color w:val="auto"/>
                <w:sz w:val="21"/>
                <w:szCs w:val="21"/>
              </w:rPr>
            </w:pPr>
          </w:p>
        </w:tc>
        <w:tc>
          <w:tcPr>
            <w:tcW w:w="691" w:type="dxa"/>
            <w:vMerge w:val="continue"/>
            <w:noWrap w:val="0"/>
            <w:vAlign w:val="center"/>
          </w:tcPr>
          <w:p w14:paraId="5CE29EBD">
            <w:pPr>
              <w:widowControl/>
              <w:jc w:val="left"/>
              <w:rPr>
                <w:rFonts w:hint="eastAsia" w:ascii="仿宋_GB2312" w:hAnsi="仿宋_GB2312" w:eastAsia="仿宋_GB2312" w:cs="仿宋_GB2312"/>
                <w:b w:val="0"/>
                <w:bCs w:val="0"/>
                <w:color w:val="auto"/>
                <w:sz w:val="21"/>
                <w:szCs w:val="21"/>
              </w:rPr>
            </w:pPr>
          </w:p>
        </w:tc>
        <w:tc>
          <w:tcPr>
            <w:tcW w:w="912" w:type="dxa"/>
            <w:noWrap w:val="0"/>
            <w:vAlign w:val="center"/>
          </w:tcPr>
          <w:p w14:paraId="293F3923">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成员</w:t>
            </w:r>
          </w:p>
        </w:tc>
        <w:tc>
          <w:tcPr>
            <w:tcW w:w="1031" w:type="dxa"/>
            <w:noWrap w:val="0"/>
            <w:vAlign w:val="center"/>
          </w:tcPr>
          <w:p w14:paraId="2D34953D">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蔡  舟</w:t>
            </w:r>
          </w:p>
        </w:tc>
        <w:tc>
          <w:tcPr>
            <w:tcW w:w="1874" w:type="dxa"/>
            <w:noWrap w:val="0"/>
            <w:vAlign w:val="center"/>
          </w:tcPr>
          <w:p w14:paraId="48BCA74E">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花溪区民政局</w:t>
            </w:r>
          </w:p>
        </w:tc>
        <w:tc>
          <w:tcPr>
            <w:tcW w:w="1294" w:type="dxa"/>
            <w:noWrap w:val="0"/>
            <w:vAlign w:val="center"/>
          </w:tcPr>
          <w:p w14:paraId="4BEF31B9">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局长</w:t>
            </w:r>
          </w:p>
        </w:tc>
      </w:tr>
      <w:tr w14:paraId="580907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9" w:hRule="atLeast"/>
          <w:jc w:val="center"/>
        </w:trPr>
        <w:tc>
          <w:tcPr>
            <w:tcW w:w="878" w:type="dxa"/>
            <w:vMerge w:val="continue"/>
            <w:noWrap w:val="0"/>
            <w:vAlign w:val="center"/>
          </w:tcPr>
          <w:p w14:paraId="1FDFFA0F">
            <w:pPr>
              <w:widowControl/>
              <w:jc w:val="center"/>
              <w:rPr>
                <w:rFonts w:hint="eastAsia" w:ascii="仿宋_GB2312" w:hAnsi="仿宋_GB2312" w:eastAsia="仿宋_GB2312" w:cs="仿宋_GB2312"/>
                <w:b w:val="0"/>
                <w:bCs w:val="0"/>
                <w:color w:val="auto"/>
                <w:sz w:val="21"/>
                <w:szCs w:val="21"/>
              </w:rPr>
            </w:pPr>
          </w:p>
        </w:tc>
        <w:tc>
          <w:tcPr>
            <w:tcW w:w="691" w:type="dxa"/>
            <w:vMerge w:val="continue"/>
            <w:noWrap w:val="0"/>
            <w:vAlign w:val="center"/>
          </w:tcPr>
          <w:p w14:paraId="249A683B">
            <w:pPr>
              <w:widowControl/>
              <w:jc w:val="left"/>
              <w:rPr>
                <w:rFonts w:hint="eastAsia" w:ascii="仿宋_GB2312" w:hAnsi="仿宋_GB2312" w:eastAsia="仿宋_GB2312" w:cs="仿宋_GB2312"/>
                <w:b w:val="0"/>
                <w:bCs w:val="0"/>
                <w:color w:val="auto"/>
                <w:sz w:val="21"/>
                <w:szCs w:val="21"/>
              </w:rPr>
            </w:pPr>
          </w:p>
        </w:tc>
        <w:tc>
          <w:tcPr>
            <w:tcW w:w="912" w:type="dxa"/>
            <w:noWrap w:val="0"/>
            <w:vAlign w:val="center"/>
          </w:tcPr>
          <w:p w14:paraId="4EEC5971">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成员</w:t>
            </w:r>
          </w:p>
        </w:tc>
        <w:tc>
          <w:tcPr>
            <w:tcW w:w="1031" w:type="dxa"/>
            <w:noWrap w:val="0"/>
            <w:vAlign w:val="center"/>
          </w:tcPr>
          <w:p w14:paraId="01A20507">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李斌</w:t>
            </w:r>
          </w:p>
        </w:tc>
        <w:tc>
          <w:tcPr>
            <w:tcW w:w="1874" w:type="dxa"/>
            <w:noWrap w:val="0"/>
            <w:vAlign w:val="center"/>
          </w:tcPr>
          <w:p w14:paraId="4792EC9A">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花溪区水务局</w:t>
            </w:r>
          </w:p>
        </w:tc>
        <w:tc>
          <w:tcPr>
            <w:tcW w:w="1294" w:type="dxa"/>
            <w:noWrap w:val="0"/>
            <w:vAlign w:val="center"/>
          </w:tcPr>
          <w:p w14:paraId="1188A1DC">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局长</w:t>
            </w:r>
          </w:p>
        </w:tc>
      </w:tr>
      <w:tr w14:paraId="37F24C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06" w:hRule="atLeast"/>
          <w:jc w:val="center"/>
        </w:trPr>
        <w:tc>
          <w:tcPr>
            <w:tcW w:w="878" w:type="dxa"/>
            <w:vMerge w:val="continue"/>
            <w:noWrap w:val="0"/>
            <w:vAlign w:val="center"/>
          </w:tcPr>
          <w:p w14:paraId="1805C855">
            <w:pPr>
              <w:widowControl/>
              <w:jc w:val="center"/>
              <w:rPr>
                <w:rFonts w:hint="eastAsia" w:ascii="仿宋_GB2312" w:hAnsi="仿宋_GB2312" w:eastAsia="仿宋_GB2312" w:cs="仿宋_GB2312"/>
                <w:b w:val="0"/>
                <w:bCs w:val="0"/>
                <w:color w:val="auto"/>
                <w:sz w:val="21"/>
                <w:szCs w:val="21"/>
              </w:rPr>
            </w:pPr>
          </w:p>
        </w:tc>
        <w:tc>
          <w:tcPr>
            <w:tcW w:w="691" w:type="dxa"/>
            <w:vMerge w:val="continue"/>
            <w:noWrap w:val="0"/>
            <w:vAlign w:val="center"/>
          </w:tcPr>
          <w:p w14:paraId="0C73222B">
            <w:pPr>
              <w:widowControl/>
              <w:jc w:val="left"/>
              <w:rPr>
                <w:rFonts w:hint="eastAsia" w:ascii="仿宋_GB2312" w:hAnsi="仿宋_GB2312" w:eastAsia="仿宋_GB2312" w:cs="仿宋_GB2312"/>
                <w:b w:val="0"/>
                <w:bCs w:val="0"/>
                <w:color w:val="auto"/>
                <w:sz w:val="21"/>
                <w:szCs w:val="21"/>
              </w:rPr>
            </w:pPr>
          </w:p>
        </w:tc>
        <w:tc>
          <w:tcPr>
            <w:tcW w:w="912" w:type="dxa"/>
            <w:noWrap w:val="0"/>
            <w:vAlign w:val="center"/>
          </w:tcPr>
          <w:p w14:paraId="0B1ADA90">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成员</w:t>
            </w:r>
          </w:p>
        </w:tc>
        <w:tc>
          <w:tcPr>
            <w:tcW w:w="1031" w:type="dxa"/>
            <w:noWrap w:val="0"/>
            <w:vAlign w:val="center"/>
          </w:tcPr>
          <w:p w14:paraId="57D2630E">
            <w:pPr>
              <w:widowControl/>
              <w:jc w:val="center"/>
              <w:rPr>
                <w:rFonts w:hint="eastAsia" w:ascii="仿宋_GB2312" w:hAnsi="仿宋_GB2312" w:eastAsia="仿宋_GB2312" w:cs="仿宋_GB2312"/>
                <w:b w:val="0"/>
                <w:bCs w:val="0"/>
                <w:color w:val="auto"/>
                <w:sz w:val="21"/>
                <w:szCs w:val="21"/>
                <w:lang w:eastAsia="zh-CN"/>
              </w:rPr>
            </w:pPr>
            <w:r>
              <w:rPr>
                <w:rFonts w:hint="eastAsia" w:ascii="仿宋_GB2312" w:hAnsi="仿宋_GB2312" w:eastAsia="仿宋_GB2312" w:cs="仿宋_GB2312"/>
                <w:b w:val="0"/>
                <w:bCs w:val="0"/>
                <w:color w:val="auto"/>
                <w:sz w:val="21"/>
                <w:szCs w:val="21"/>
                <w:lang w:eastAsia="zh-CN"/>
              </w:rPr>
              <w:t>张万菊</w:t>
            </w:r>
          </w:p>
        </w:tc>
        <w:tc>
          <w:tcPr>
            <w:tcW w:w="1874" w:type="dxa"/>
            <w:noWrap w:val="0"/>
            <w:vAlign w:val="center"/>
          </w:tcPr>
          <w:p w14:paraId="2BD7E622">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花溪区财政局</w:t>
            </w:r>
          </w:p>
        </w:tc>
        <w:tc>
          <w:tcPr>
            <w:tcW w:w="1294" w:type="dxa"/>
            <w:noWrap w:val="0"/>
            <w:vAlign w:val="center"/>
          </w:tcPr>
          <w:p w14:paraId="4E41D3D0">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局长</w:t>
            </w:r>
          </w:p>
        </w:tc>
      </w:tr>
      <w:tr w14:paraId="0E7B58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75" w:hRule="atLeast"/>
          <w:jc w:val="center"/>
        </w:trPr>
        <w:tc>
          <w:tcPr>
            <w:tcW w:w="878" w:type="dxa"/>
            <w:vMerge w:val="restart"/>
            <w:noWrap w:val="0"/>
            <w:vAlign w:val="center"/>
          </w:tcPr>
          <w:p w14:paraId="497D9B12">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7</w:t>
            </w:r>
          </w:p>
        </w:tc>
        <w:tc>
          <w:tcPr>
            <w:tcW w:w="691" w:type="dxa"/>
            <w:vMerge w:val="restart"/>
            <w:noWrap w:val="0"/>
            <w:vAlign w:val="center"/>
          </w:tcPr>
          <w:p w14:paraId="43C22C23">
            <w:pPr>
              <w:widowControl/>
              <w:jc w:val="left"/>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警戒疏散组</w:t>
            </w:r>
          </w:p>
        </w:tc>
        <w:tc>
          <w:tcPr>
            <w:tcW w:w="912" w:type="dxa"/>
            <w:noWrap w:val="0"/>
            <w:vAlign w:val="center"/>
          </w:tcPr>
          <w:p w14:paraId="3F84299C">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组长</w:t>
            </w:r>
          </w:p>
        </w:tc>
        <w:tc>
          <w:tcPr>
            <w:tcW w:w="1031" w:type="dxa"/>
            <w:noWrap w:val="0"/>
            <w:vAlign w:val="center"/>
          </w:tcPr>
          <w:p w14:paraId="48C0AF47">
            <w:pPr>
              <w:pStyle w:val="12"/>
              <w:spacing w:beforeAutospacing="0" w:afterAutospacing="0" w:line="240" w:lineRule="auto"/>
              <w:ind w:firstLine="0" w:firstLineChars="0"/>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lang w:val="en-US" w:eastAsia="zh-CN"/>
              </w:rPr>
              <w:t>严培松</w:t>
            </w:r>
          </w:p>
        </w:tc>
        <w:tc>
          <w:tcPr>
            <w:tcW w:w="1874" w:type="dxa"/>
            <w:noWrap w:val="0"/>
            <w:vAlign w:val="center"/>
          </w:tcPr>
          <w:p w14:paraId="12A24F61">
            <w:pPr>
              <w:pStyle w:val="12"/>
              <w:spacing w:beforeAutospacing="0" w:afterAutospacing="0" w:line="240" w:lineRule="auto"/>
              <w:ind w:firstLine="0" w:firstLineChars="0"/>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贵阳市公安局花溪分局</w:t>
            </w:r>
          </w:p>
        </w:tc>
        <w:tc>
          <w:tcPr>
            <w:tcW w:w="1294" w:type="dxa"/>
            <w:noWrap w:val="0"/>
            <w:vAlign w:val="center"/>
          </w:tcPr>
          <w:p w14:paraId="66B79AF9">
            <w:pPr>
              <w:pStyle w:val="12"/>
              <w:spacing w:beforeAutospacing="0" w:afterAutospacing="0" w:line="240" w:lineRule="auto"/>
              <w:ind w:firstLine="0" w:firstLineChars="0"/>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lang w:val="en-US" w:eastAsia="zh-CN"/>
              </w:rPr>
              <w:t>党委委员、副局长</w:t>
            </w:r>
          </w:p>
        </w:tc>
      </w:tr>
      <w:tr w14:paraId="7496D7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2" w:hRule="atLeast"/>
          <w:jc w:val="center"/>
        </w:trPr>
        <w:tc>
          <w:tcPr>
            <w:tcW w:w="878" w:type="dxa"/>
            <w:vMerge w:val="continue"/>
            <w:noWrap w:val="0"/>
            <w:vAlign w:val="center"/>
          </w:tcPr>
          <w:p w14:paraId="1624751B">
            <w:pPr>
              <w:widowControl/>
              <w:jc w:val="center"/>
              <w:rPr>
                <w:rFonts w:hint="eastAsia" w:ascii="仿宋_GB2312" w:hAnsi="仿宋_GB2312" w:eastAsia="仿宋_GB2312" w:cs="仿宋_GB2312"/>
                <w:b w:val="0"/>
                <w:bCs w:val="0"/>
                <w:color w:val="auto"/>
                <w:sz w:val="21"/>
                <w:szCs w:val="21"/>
              </w:rPr>
            </w:pPr>
          </w:p>
        </w:tc>
        <w:tc>
          <w:tcPr>
            <w:tcW w:w="691" w:type="dxa"/>
            <w:vMerge w:val="continue"/>
            <w:noWrap w:val="0"/>
            <w:vAlign w:val="center"/>
          </w:tcPr>
          <w:p w14:paraId="2DC90F93">
            <w:pPr>
              <w:widowControl/>
              <w:jc w:val="left"/>
              <w:rPr>
                <w:rFonts w:hint="eastAsia" w:ascii="仿宋_GB2312" w:hAnsi="仿宋_GB2312" w:eastAsia="仿宋_GB2312" w:cs="仿宋_GB2312"/>
                <w:b w:val="0"/>
                <w:bCs w:val="0"/>
                <w:color w:val="auto"/>
                <w:sz w:val="21"/>
                <w:szCs w:val="21"/>
              </w:rPr>
            </w:pPr>
          </w:p>
        </w:tc>
        <w:tc>
          <w:tcPr>
            <w:tcW w:w="912" w:type="dxa"/>
            <w:noWrap w:val="0"/>
            <w:vAlign w:val="center"/>
          </w:tcPr>
          <w:p w14:paraId="6148902A">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成员</w:t>
            </w:r>
          </w:p>
        </w:tc>
        <w:tc>
          <w:tcPr>
            <w:tcW w:w="1031" w:type="dxa"/>
            <w:noWrap w:val="0"/>
            <w:vAlign w:val="center"/>
          </w:tcPr>
          <w:p w14:paraId="522AC009">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周飞</w:t>
            </w:r>
          </w:p>
        </w:tc>
        <w:tc>
          <w:tcPr>
            <w:tcW w:w="1874" w:type="dxa"/>
            <w:noWrap w:val="0"/>
            <w:vAlign w:val="center"/>
          </w:tcPr>
          <w:p w14:paraId="69A252F6">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高坡乡派出所</w:t>
            </w:r>
          </w:p>
        </w:tc>
        <w:tc>
          <w:tcPr>
            <w:tcW w:w="1294" w:type="dxa"/>
            <w:noWrap w:val="0"/>
            <w:vAlign w:val="center"/>
          </w:tcPr>
          <w:p w14:paraId="426B3BF0">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所长</w:t>
            </w:r>
          </w:p>
        </w:tc>
      </w:tr>
      <w:tr w14:paraId="3B01CF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2" w:hRule="atLeast"/>
          <w:jc w:val="center"/>
        </w:trPr>
        <w:tc>
          <w:tcPr>
            <w:tcW w:w="878" w:type="dxa"/>
            <w:vMerge w:val="continue"/>
            <w:noWrap w:val="0"/>
            <w:vAlign w:val="center"/>
          </w:tcPr>
          <w:p w14:paraId="721B11FD">
            <w:pPr>
              <w:widowControl/>
              <w:jc w:val="center"/>
              <w:rPr>
                <w:rFonts w:hint="eastAsia" w:ascii="仿宋_GB2312" w:hAnsi="仿宋_GB2312" w:eastAsia="仿宋_GB2312" w:cs="仿宋_GB2312"/>
                <w:b w:val="0"/>
                <w:bCs w:val="0"/>
                <w:color w:val="auto"/>
                <w:sz w:val="21"/>
                <w:szCs w:val="21"/>
              </w:rPr>
            </w:pPr>
          </w:p>
        </w:tc>
        <w:tc>
          <w:tcPr>
            <w:tcW w:w="691" w:type="dxa"/>
            <w:vMerge w:val="continue"/>
            <w:noWrap w:val="0"/>
            <w:vAlign w:val="center"/>
          </w:tcPr>
          <w:p w14:paraId="0BC76A4A">
            <w:pPr>
              <w:widowControl/>
              <w:jc w:val="left"/>
              <w:rPr>
                <w:rFonts w:hint="eastAsia" w:ascii="仿宋_GB2312" w:hAnsi="仿宋_GB2312" w:eastAsia="仿宋_GB2312" w:cs="仿宋_GB2312"/>
                <w:b w:val="0"/>
                <w:bCs w:val="0"/>
                <w:color w:val="auto"/>
                <w:sz w:val="21"/>
                <w:szCs w:val="21"/>
              </w:rPr>
            </w:pPr>
          </w:p>
        </w:tc>
        <w:tc>
          <w:tcPr>
            <w:tcW w:w="912" w:type="dxa"/>
            <w:noWrap w:val="0"/>
            <w:vAlign w:val="center"/>
          </w:tcPr>
          <w:p w14:paraId="55074317">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成员</w:t>
            </w:r>
          </w:p>
        </w:tc>
        <w:tc>
          <w:tcPr>
            <w:tcW w:w="1031" w:type="dxa"/>
            <w:noWrap w:val="0"/>
            <w:vAlign w:val="center"/>
          </w:tcPr>
          <w:p w14:paraId="22E5303C">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袁刚</w:t>
            </w:r>
          </w:p>
        </w:tc>
        <w:tc>
          <w:tcPr>
            <w:tcW w:w="1874" w:type="dxa"/>
            <w:noWrap w:val="0"/>
            <w:vAlign w:val="center"/>
          </w:tcPr>
          <w:p w14:paraId="72B7CC10">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马铃乡派出所</w:t>
            </w:r>
          </w:p>
        </w:tc>
        <w:tc>
          <w:tcPr>
            <w:tcW w:w="1294" w:type="dxa"/>
            <w:noWrap w:val="0"/>
            <w:vAlign w:val="center"/>
          </w:tcPr>
          <w:p w14:paraId="453ECE33">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所长</w:t>
            </w:r>
          </w:p>
        </w:tc>
      </w:tr>
      <w:tr w14:paraId="57CAA8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2" w:hRule="atLeast"/>
          <w:jc w:val="center"/>
        </w:trPr>
        <w:tc>
          <w:tcPr>
            <w:tcW w:w="878" w:type="dxa"/>
            <w:vMerge w:val="continue"/>
            <w:noWrap w:val="0"/>
            <w:vAlign w:val="center"/>
          </w:tcPr>
          <w:p w14:paraId="775EAA43">
            <w:pPr>
              <w:widowControl/>
              <w:jc w:val="center"/>
              <w:rPr>
                <w:rFonts w:hint="eastAsia" w:ascii="仿宋_GB2312" w:hAnsi="仿宋_GB2312" w:eastAsia="仿宋_GB2312" w:cs="仿宋_GB2312"/>
                <w:b w:val="0"/>
                <w:bCs w:val="0"/>
                <w:color w:val="auto"/>
                <w:sz w:val="21"/>
                <w:szCs w:val="21"/>
              </w:rPr>
            </w:pPr>
          </w:p>
        </w:tc>
        <w:tc>
          <w:tcPr>
            <w:tcW w:w="691" w:type="dxa"/>
            <w:vMerge w:val="continue"/>
            <w:noWrap w:val="0"/>
            <w:vAlign w:val="center"/>
          </w:tcPr>
          <w:p w14:paraId="217821B6">
            <w:pPr>
              <w:widowControl/>
              <w:jc w:val="left"/>
              <w:rPr>
                <w:rFonts w:hint="eastAsia" w:ascii="仿宋_GB2312" w:hAnsi="仿宋_GB2312" w:eastAsia="仿宋_GB2312" w:cs="仿宋_GB2312"/>
                <w:b w:val="0"/>
                <w:bCs w:val="0"/>
                <w:color w:val="auto"/>
                <w:sz w:val="21"/>
                <w:szCs w:val="21"/>
              </w:rPr>
            </w:pPr>
          </w:p>
        </w:tc>
        <w:tc>
          <w:tcPr>
            <w:tcW w:w="912" w:type="dxa"/>
            <w:noWrap w:val="0"/>
            <w:vAlign w:val="center"/>
          </w:tcPr>
          <w:p w14:paraId="56385239">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成员</w:t>
            </w:r>
          </w:p>
        </w:tc>
        <w:tc>
          <w:tcPr>
            <w:tcW w:w="1031" w:type="dxa"/>
            <w:noWrap w:val="0"/>
            <w:vAlign w:val="center"/>
          </w:tcPr>
          <w:p w14:paraId="516E79D8">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朱其刚</w:t>
            </w:r>
          </w:p>
        </w:tc>
        <w:tc>
          <w:tcPr>
            <w:tcW w:w="1874" w:type="dxa"/>
            <w:noWrap w:val="0"/>
            <w:vAlign w:val="center"/>
          </w:tcPr>
          <w:p w14:paraId="31545FB5">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黔陶乡派出所</w:t>
            </w:r>
          </w:p>
        </w:tc>
        <w:tc>
          <w:tcPr>
            <w:tcW w:w="1294" w:type="dxa"/>
            <w:noWrap w:val="0"/>
            <w:vAlign w:val="center"/>
          </w:tcPr>
          <w:p w14:paraId="54243873">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副所长</w:t>
            </w:r>
          </w:p>
        </w:tc>
      </w:tr>
      <w:tr w14:paraId="408F06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2" w:hRule="atLeast"/>
          <w:jc w:val="center"/>
        </w:trPr>
        <w:tc>
          <w:tcPr>
            <w:tcW w:w="878" w:type="dxa"/>
            <w:vMerge w:val="continue"/>
            <w:noWrap w:val="0"/>
            <w:vAlign w:val="center"/>
          </w:tcPr>
          <w:p w14:paraId="6BD65956">
            <w:pPr>
              <w:widowControl/>
              <w:jc w:val="center"/>
              <w:rPr>
                <w:rFonts w:hint="eastAsia" w:ascii="仿宋_GB2312" w:hAnsi="仿宋_GB2312" w:eastAsia="仿宋_GB2312" w:cs="仿宋_GB2312"/>
                <w:b w:val="0"/>
                <w:bCs w:val="0"/>
                <w:color w:val="auto"/>
                <w:sz w:val="21"/>
                <w:szCs w:val="21"/>
              </w:rPr>
            </w:pPr>
          </w:p>
        </w:tc>
        <w:tc>
          <w:tcPr>
            <w:tcW w:w="691" w:type="dxa"/>
            <w:vMerge w:val="continue"/>
            <w:noWrap w:val="0"/>
            <w:vAlign w:val="center"/>
          </w:tcPr>
          <w:p w14:paraId="0C5DE273">
            <w:pPr>
              <w:widowControl/>
              <w:jc w:val="left"/>
              <w:rPr>
                <w:rFonts w:hint="eastAsia" w:ascii="仿宋_GB2312" w:hAnsi="仿宋_GB2312" w:eastAsia="仿宋_GB2312" w:cs="仿宋_GB2312"/>
                <w:b w:val="0"/>
                <w:bCs w:val="0"/>
                <w:color w:val="auto"/>
                <w:sz w:val="21"/>
                <w:szCs w:val="21"/>
              </w:rPr>
            </w:pPr>
          </w:p>
        </w:tc>
        <w:tc>
          <w:tcPr>
            <w:tcW w:w="912" w:type="dxa"/>
            <w:noWrap w:val="0"/>
            <w:vAlign w:val="center"/>
          </w:tcPr>
          <w:p w14:paraId="2D8E0A3A">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成员</w:t>
            </w:r>
          </w:p>
        </w:tc>
        <w:tc>
          <w:tcPr>
            <w:tcW w:w="1031" w:type="dxa"/>
            <w:noWrap w:val="0"/>
            <w:vAlign w:val="center"/>
          </w:tcPr>
          <w:p w14:paraId="06938A3D">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张劲松</w:t>
            </w:r>
          </w:p>
        </w:tc>
        <w:tc>
          <w:tcPr>
            <w:tcW w:w="1874" w:type="dxa"/>
            <w:noWrap w:val="0"/>
            <w:vAlign w:val="center"/>
          </w:tcPr>
          <w:p w14:paraId="584B48A4">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清溪街道办派出所</w:t>
            </w:r>
          </w:p>
        </w:tc>
        <w:tc>
          <w:tcPr>
            <w:tcW w:w="1294" w:type="dxa"/>
            <w:noWrap w:val="0"/>
            <w:vAlign w:val="center"/>
          </w:tcPr>
          <w:p w14:paraId="1E264E75">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所长</w:t>
            </w:r>
          </w:p>
        </w:tc>
      </w:tr>
      <w:tr w14:paraId="741AED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2" w:hRule="atLeast"/>
          <w:jc w:val="center"/>
        </w:trPr>
        <w:tc>
          <w:tcPr>
            <w:tcW w:w="878" w:type="dxa"/>
            <w:vMerge w:val="continue"/>
            <w:noWrap w:val="0"/>
            <w:vAlign w:val="center"/>
          </w:tcPr>
          <w:p w14:paraId="1170B546">
            <w:pPr>
              <w:widowControl/>
              <w:jc w:val="center"/>
              <w:rPr>
                <w:rFonts w:hint="eastAsia" w:ascii="仿宋_GB2312" w:hAnsi="仿宋_GB2312" w:eastAsia="仿宋_GB2312" w:cs="仿宋_GB2312"/>
                <w:b w:val="0"/>
                <w:bCs w:val="0"/>
                <w:color w:val="auto"/>
                <w:sz w:val="21"/>
                <w:szCs w:val="21"/>
              </w:rPr>
            </w:pPr>
          </w:p>
        </w:tc>
        <w:tc>
          <w:tcPr>
            <w:tcW w:w="691" w:type="dxa"/>
            <w:vMerge w:val="continue"/>
            <w:noWrap w:val="0"/>
            <w:vAlign w:val="center"/>
          </w:tcPr>
          <w:p w14:paraId="74CB7765">
            <w:pPr>
              <w:widowControl/>
              <w:jc w:val="left"/>
              <w:rPr>
                <w:rFonts w:hint="eastAsia" w:ascii="仿宋_GB2312" w:hAnsi="仿宋_GB2312" w:eastAsia="仿宋_GB2312" w:cs="仿宋_GB2312"/>
                <w:b w:val="0"/>
                <w:bCs w:val="0"/>
                <w:color w:val="auto"/>
                <w:sz w:val="21"/>
                <w:szCs w:val="21"/>
              </w:rPr>
            </w:pPr>
          </w:p>
        </w:tc>
        <w:tc>
          <w:tcPr>
            <w:tcW w:w="912" w:type="dxa"/>
            <w:noWrap w:val="0"/>
            <w:vAlign w:val="center"/>
          </w:tcPr>
          <w:p w14:paraId="69B79215">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成员</w:t>
            </w:r>
          </w:p>
        </w:tc>
        <w:tc>
          <w:tcPr>
            <w:tcW w:w="1031" w:type="dxa"/>
            <w:noWrap w:val="0"/>
            <w:vAlign w:val="center"/>
          </w:tcPr>
          <w:p w14:paraId="173317FA">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罗涛</w:t>
            </w:r>
          </w:p>
        </w:tc>
        <w:tc>
          <w:tcPr>
            <w:tcW w:w="1874" w:type="dxa"/>
            <w:noWrap w:val="0"/>
            <w:vAlign w:val="center"/>
          </w:tcPr>
          <w:p w14:paraId="11AE5616">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石板镇派出所</w:t>
            </w:r>
          </w:p>
        </w:tc>
        <w:tc>
          <w:tcPr>
            <w:tcW w:w="1294" w:type="dxa"/>
            <w:noWrap w:val="0"/>
            <w:vAlign w:val="center"/>
          </w:tcPr>
          <w:p w14:paraId="41129A70">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所长</w:t>
            </w:r>
          </w:p>
        </w:tc>
      </w:tr>
      <w:tr w14:paraId="45EF30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2" w:hRule="atLeast"/>
          <w:jc w:val="center"/>
        </w:trPr>
        <w:tc>
          <w:tcPr>
            <w:tcW w:w="878" w:type="dxa"/>
            <w:vMerge w:val="continue"/>
            <w:noWrap w:val="0"/>
            <w:vAlign w:val="center"/>
          </w:tcPr>
          <w:p w14:paraId="7D264BC5">
            <w:pPr>
              <w:widowControl/>
              <w:jc w:val="center"/>
              <w:rPr>
                <w:rFonts w:hint="eastAsia" w:ascii="仿宋_GB2312" w:hAnsi="仿宋_GB2312" w:eastAsia="仿宋_GB2312" w:cs="仿宋_GB2312"/>
                <w:b w:val="0"/>
                <w:bCs w:val="0"/>
                <w:color w:val="auto"/>
                <w:sz w:val="21"/>
                <w:szCs w:val="21"/>
              </w:rPr>
            </w:pPr>
          </w:p>
        </w:tc>
        <w:tc>
          <w:tcPr>
            <w:tcW w:w="691" w:type="dxa"/>
            <w:vMerge w:val="continue"/>
            <w:noWrap w:val="0"/>
            <w:vAlign w:val="center"/>
          </w:tcPr>
          <w:p w14:paraId="3ED81E76">
            <w:pPr>
              <w:widowControl/>
              <w:jc w:val="left"/>
              <w:rPr>
                <w:rFonts w:hint="eastAsia" w:ascii="仿宋_GB2312" w:hAnsi="仿宋_GB2312" w:eastAsia="仿宋_GB2312" w:cs="仿宋_GB2312"/>
                <w:b w:val="0"/>
                <w:bCs w:val="0"/>
                <w:color w:val="auto"/>
                <w:sz w:val="21"/>
                <w:szCs w:val="21"/>
              </w:rPr>
            </w:pPr>
          </w:p>
        </w:tc>
        <w:tc>
          <w:tcPr>
            <w:tcW w:w="912" w:type="dxa"/>
            <w:noWrap w:val="0"/>
            <w:vAlign w:val="center"/>
          </w:tcPr>
          <w:p w14:paraId="1528E08D">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成员</w:t>
            </w:r>
          </w:p>
        </w:tc>
        <w:tc>
          <w:tcPr>
            <w:tcW w:w="1031" w:type="dxa"/>
            <w:noWrap w:val="0"/>
            <w:vAlign w:val="center"/>
          </w:tcPr>
          <w:p w14:paraId="6780E172">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孟全顺</w:t>
            </w:r>
          </w:p>
        </w:tc>
        <w:tc>
          <w:tcPr>
            <w:tcW w:w="1874" w:type="dxa"/>
            <w:noWrap w:val="0"/>
            <w:vAlign w:val="center"/>
          </w:tcPr>
          <w:p w14:paraId="26BBE8D2">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青岩镇派出所</w:t>
            </w:r>
          </w:p>
        </w:tc>
        <w:tc>
          <w:tcPr>
            <w:tcW w:w="1294" w:type="dxa"/>
            <w:noWrap w:val="0"/>
            <w:vAlign w:val="center"/>
          </w:tcPr>
          <w:p w14:paraId="7FCE190B">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教导员</w:t>
            </w:r>
          </w:p>
        </w:tc>
      </w:tr>
      <w:tr w14:paraId="003D59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2" w:hRule="atLeast"/>
          <w:jc w:val="center"/>
        </w:trPr>
        <w:tc>
          <w:tcPr>
            <w:tcW w:w="878" w:type="dxa"/>
            <w:vMerge w:val="continue"/>
            <w:noWrap w:val="0"/>
            <w:vAlign w:val="center"/>
          </w:tcPr>
          <w:p w14:paraId="5BDCDC7B">
            <w:pPr>
              <w:widowControl/>
              <w:jc w:val="center"/>
              <w:rPr>
                <w:rFonts w:hint="eastAsia" w:ascii="仿宋_GB2312" w:hAnsi="仿宋_GB2312" w:eastAsia="仿宋_GB2312" w:cs="仿宋_GB2312"/>
                <w:b w:val="0"/>
                <w:bCs w:val="0"/>
                <w:color w:val="auto"/>
                <w:sz w:val="21"/>
                <w:szCs w:val="21"/>
              </w:rPr>
            </w:pPr>
          </w:p>
        </w:tc>
        <w:tc>
          <w:tcPr>
            <w:tcW w:w="691" w:type="dxa"/>
            <w:vMerge w:val="continue"/>
            <w:noWrap w:val="0"/>
            <w:vAlign w:val="center"/>
          </w:tcPr>
          <w:p w14:paraId="6C6BF6B2">
            <w:pPr>
              <w:widowControl/>
              <w:jc w:val="left"/>
              <w:rPr>
                <w:rFonts w:hint="eastAsia" w:ascii="仿宋_GB2312" w:hAnsi="仿宋_GB2312" w:eastAsia="仿宋_GB2312" w:cs="仿宋_GB2312"/>
                <w:b w:val="0"/>
                <w:bCs w:val="0"/>
                <w:color w:val="auto"/>
                <w:sz w:val="21"/>
                <w:szCs w:val="21"/>
              </w:rPr>
            </w:pPr>
          </w:p>
        </w:tc>
        <w:tc>
          <w:tcPr>
            <w:tcW w:w="912" w:type="dxa"/>
            <w:noWrap w:val="0"/>
            <w:vAlign w:val="center"/>
          </w:tcPr>
          <w:p w14:paraId="5BA125E6">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成员</w:t>
            </w:r>
          </w:p>
        </w:tc>
        <w:tc>
          <w:tcPr>
            <w:tcW w:w="1031" w:type="dxa"/>
            <w:noWrap w:val="0"/>
            <w:vAlign w:val="center"/>
          </w:tcPr>
          <w:p w14:paraId="3AD0025B">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吴冼傧</w:t>
            </w:r>
          </w:p>
        </w:tc>
        <w:tc>
          <w:tcPr>
            <w:tcW w:w="1874" w:type="dxa"/>
            <w:noWrap w:val="0"/>
            <w:vAlign w:val="center"/>
          </w:tcPr>
          <w:p w14:paraId="53E59FB6">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燕楼镇派出所</w:t>
            </w:r>
          </w:p>
        </w:tc>
        <w:tc>
          <w:tcPr>
            <w:tcW w:w="1294" w:type="dxa"/>
            <w:noWrap w:val="0"/>
            <w:vAlign w:val="center"/>
          </w:tcPr>
          <w:p w14:paraId="150E185F">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教导员</w:t>
            </w:r>
          </w:p>
        </w:tc>
      </w:tr>
      <w:tr w14:paraId="463698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5" w:hRule="atLeast"/>
          <w:jc w:val="center"/>
        </w:trPr>
        <w:tc>
          <w:tcPr>
            <w:tcW w:w="878" w:type="dxa"/>
            <w:vMerge w:val="restart"/>
            <w:noWrap w:val="0"/>
            <w:vAlign w:val="center"/>
          </w:tcPr>
          <w:p w14:paraId="65B577C2">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8</w:t>
            </w:r>
          </w:p>
        </w:tc>
        <w:tc>
          <w:tcPr>
            <w:tcW w:w="691" w:type="dxa"/>
            <w:vMerge w:val="restart"/>
            <w:noWrap w:val="0"/>
            <w:vAlign w:val="center"/>
          </w:tcPr>
          <w:p w14:paraId="7FD114CC">
            <w:pPr>
              <w:widowControl/>
              <w:jc w:val="left"/>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社会维稳组</w:t>
            </w:r>
          </w:p>
        </w:tc>
        <w:tc>
          <w:tcPr>
            <w:tcW w:w="912" w:type="dxa"/>
            <w:noWrap w:val="0"/>
            <w:vAlign w:val="center"/>
          </w:tcPr>
          <w:p w14:paraId="0999003B">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组长</w:t>
            </w:r>
          </w:p>
        </w:tc>
        <w:tc>
          <w:tcPr>
            <w:tcW w:w="1031" w:type="dxa"/>
            <w:noWrap w:val="0"/>
            <w:vAlign w:val="center"/>
          </w:tcPr>
          <w:p w14:paraId="67888224">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谭永龙</w:t>
            </w:r>
          </w:p>
        </w:tc>
        <w:tc>
          <w:tcPr>
            <w:tcW w:w="1874" w:type="dxa"/>
            <w:noWrap w:val="0"/>
            <w:vAlign w:val="center"/>
          </w:tcPr>
          <w:p w14:paraId="4BD4A7EF">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kern w:val="0"/>
                <w:sz w:val="21"/>
                <w:szCs w:val="21"/>
              </w:rPr>
              <w:t>区委政法委</w:t>
            </w:r>
          </w:p>
        </w:tc>
        <w:tc>
          <w:tcPr>
            <w:tcW w:w="1294" w:type="dxa"/>
            <w:noWrap w:val="0"/>
            <w:vAlign w:val="center"/>
          </w:tcPr>
          <w:p w14:paraId="1DEF38EF">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副主任</w:t>
            </w:r>
          </w:p>
        </w:tc>
      </w:tr>
      <w:tr w14:paraId="1D8AB6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08" w:hRule="atLeast"/>
          <w:jc w:val="center"/>
        </w:trPr>
        <w:tc>
          <w:tcPr>
            <w:tcW w:w="878" w:type="dxa"/>
            <w:vMerge w:val="continue"/>
            <w:noWrap w:val="0"/>
            <w:vAlign w:val="center"/>
          </w:tcPr>
          <w:p w14:paraId="5BCF72D2">
            <w:pPr>
              <w:widowControl/>
              <w:jc w:val="center"/>
              <w:rPr>
                <w:rFonts w:hint="eastAsia" w:ascii="仿宋_GB2312" w:hAnsi="仿宋_GB2312" w:eastAsia="仿宋_GB2312" w:cs="仿宋_GB2312"/>
                <w:b w:val="0"/>
                <w:bCs w:val="0"/>
                <w:color w:val="auto"/>
                <w:sz w:val="21"/>
                <w:szCs w:val="21"/>
              </w:rPr>
            </w:pPr>
          </w:p>
        </w:tc>
        <w:tc>
          <w:tcPr>
            <w:tcW w:w="691" w:type="dxa"/>
            <w:vMerge w:val="continue"/>
            <w:noWrap w:val="0"/>
            <w:vAlign w:val="center"/>
          </w:tcPr>
          <w:p w14:paraId="282F6495">
            <w:pPr>
              <w:widowControl/>
              <w:jc w:val="left"/>
              <w:rPr>
                <w:rFonts w:hint="eastAsia" w:ascii="仿宋_GB2312" w:hAnsi="仿宋_GB2312" w:eastAsia="仿宋_GB2312" w:cs="仿宋_GB2312"/>
                <w:b w:val="0"/>
                <w:bCs w:val="0"/>
                <w:color w:val="auto"/>
                <w:sz w:val="21"/>
                <w:szCs w:val="21"/>
              </w:rPr>
            </w:pPr>
          </w:p>
        </w:tc>
        <w:tc>
          <w:tcPr>
            <w:tcW w:w="912" w:type="dxa"/>
            <w:noWrap w:val="0"/>
            <w:vAlign w:val="center"/>
          </w:tcPr>
          <w:p w14:paraId="45F9BE04">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成员</w:t>
            </w:r>
          </w:p>
        </w:tc>
        <w:tc>
          <w:tcPr>
            <w:tcW w:w="1031" w:type="dxa"/>
            <w:noWrap w:val="0"/>
            <w:vAlign w:val="center"/>
          </w:tcPr>
          <w:p w14:paraId="4ECFCF05">
            <w:pPr>
              <w:pStyle w:val="12"/>
              <w:spacing w:beforeAutospacing="0" w:afterAutospacing="0" w:line="240" w:lineRule="auto"/>
              <w:ind w:firstLine="0" w:firstLineChars="0"/>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lang w:val="en-US" w:eastAsia="zh-CN"/>
              </w:rPr>
              <w:t>严培松</w:t>
            </w:r>
          </w:p>
        </w:tc>
        <w:tc>
          <w:tcPr>
            <w:tcW w:w="1874" w:type="dxa"/>
            <w:noWrap w:val="0"/>
            <w:vAlign w:val="center"/>
          </w:tcPr>
          <w:p w14:paraId="317E9CC3">
            <w:pPr>
              <w:pStyle w:val="12"/>
              <w:spacing w:beforeAutospacing="0" w:afterAutospacing="0" w:line="240" w:lineRule="auto"/>
              <w:ind w:firstLine="0" w:firstLineChars="0"/>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贵阳市公安局花溪分局</w:t>
            </w:r>
          </w:p>
        </w:tc>
        <w:tc>
          <w:tcPr>
            <w:tcW w:w="1294" w:type="dxa"/>
            <w:noWrap w:val="0"/>
            <w:vAlign w:val="center"/>
          </w:tcPr>
          <w:p w14:paraId="0DB056D1">
            <w:pPr>
              <w:pStyle w:val="12"/>
              <w:spacing w:beforeAutospacing="0" w:afterAutospacing="0" w:line="240" w:lineRule="auto"/>
              <w:ind w:firstLine="0" w:firstLineChars="0"/>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lang w:val="en-US" w:eastAsia="zh-CN"/>
              </w:rPr>
              <w:t>党委委员、副局长</w:t>
            </w:r>
          </w:p>
        </w:tc>
      </w:tr>
      <w:tr w14:paraId="58E514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08" w:hRule="atLeast"/>
          <w:jc w:val="center"/>
        </w:trPr>
        <w:tc>
          <w:tcPr>
            <w:tcW w:w="878" w:type="dxa"/>
            <w:vMerge w:val="continue"/>
            <w:noWrap w:val="0"/>
            <w:vAlign w:val="center"/>
          </w:tcPr>
          <w:p w14:paraId="3B2571BB">
            <w:pPr>
              <w:widowControl/>
              <w:jc w:val="center"/>
              <w:rPr>
                <w:rFonts w:hint="eastAsia" w:ascii="仿宋_GB2312" w:hAnsi="仿宋_GB2312" w:eastAsia="仿宋_GB2312" w:cs="仿宋_GB2312"/>
                <w:b w:val="0"/>
                <w:bCs w:val="0"/>
                <w:color w:val="auto"/>
                <w:sz w:val="21"/>
                <w:szCs w:val="21"/>
              </w:rPr>
            </w:pPr>
          </w:p>
        </w:tc>
        <w:tc>
          <w:tcPr>
            <w:tcW w:w="691" w:type="dxa"/>
            <w:vMerge w:val="continue"/>
            <w:noWrap w:val="0"/>
            <w:vAlign w:val="center"/>
          </w:tcPr>
          <w:p w14:paraId="4D1A6A5F">
            <w:pPr>
              <w:widowControl/>
              <w:jc w:val="left"/>
              <w:rPr>
                <w:rFonts w:hint="eastAsia" w:ascii="仿宋_GB2312" w:hAnsi="仿宋_GB2312" w:eastAsia="仿宋_GB2312" w:cs="仿宋_GB2312"/>
                <w:b w:val="0"/>
                <w:bCs w:val="0"/>
                <w:color w:val="auto"/>
                <w:sz w:val="21"/>
                <w:szCs w:val="21"/>
              </w:rPr>
            </w:pPr>
          </w:p>
        </w:tc>
        <w:tc>
          <w:tcPr>
            <w:tcW w:w="912" w:type="dxa"/>
            <w:noWrap w:val="0"/>
            <w:vAlign w:val="center"/>
          </w:tcPr>
          <w:p w14:paraId="475BB538">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成员</w:t>
            </w:r>
          </w:p>
        </w:tc>
        <w:tc>
          <w:tcPr>
            <w:tcW w:w="1031" w:type="dxa"/>
            <w:noWrap w:val="0"/>
            <w:vAlign w:val="center"/>
          </w:tcPr>
          <w:p w14:paraId="156C3BBF">
            <w:pPr>
              <w:pStyle w:val="12"/>
              <w:spacing w:beforeAutospacing="0" w:afterAutospacing="0" w:line="240" w:lineRule="auto"/>
              <w:ind w:firstLine="0" w:firstLineChars="0"/>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蔡  舟</w:t>
            </w:r>
          </w:p>
        </w:tc>
        <w:tc>
          <w:tcPr>
            <w:tcW w:w="1874" w:type="dxa"/>
            <w:noWrap w:val="0"/>
            <w:vAlign w:val="center"/>
          </w:tcPr>
          <w:p w14:paraId="71436ACD">
            <w:pPr>
              <w:pStyle w:val="12"/>
              <w:spacing w:beforeAutospacing="0" w:afterAutospacing="0" w:line="240" w:lineRule="auto"/>
              <w:ind w:firstLine="0" w:firstLineChars="0"/>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花溪区民政局</w:t>
            </w:r>
          </w:p>
        </w:tc>
        <w:tc>
          <w:tcPr>
            <w:tcW w:w="1294" w:type="dxa"/>
            <w:noWrap w:val="0"/>
            <w:vAlign w:val="center"/>
          </w:tcPr>
          <w:p w14:paraId="55C395BD">
            <w:pPr>
              <w:pStyle w:val="12"/>
              <w:spacing w:beforeAutospacing="0" w:afterAutospacing="0" w:line="240" w:lineRule="auto"/>
              <w:ind w:firstLine="0" w:firstLineChars="0"/>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局长</w:t>
            </w:r>
          </w:p>
        </w:tc>
      </w:tr>
      <w:tr w14:paraId="2CF6E7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1" w:hRule="atLeast"/>
          <w:jc w:val="center"/>
        </w:trPr>
        <w:tc>
          <w:tcPr>
            <w:tcW w:w="878" w:type="dxa"/>
            <w:vMerge w:val="continue"/>
            <w:noWrap w:val="0"/>
            <w:vAlign w:val="center"/>
          </w:tcPr>
          <w:p w14:paraId="7BB00318">
            <w:pPr>
              <w:widowControl/>
              <w:jc w:val="center"/>
              <w:rPr>
                <w:rFonts w:hint="eastAsia" w:ascii="仿宋_GB2312" w:hAnsi="仿宋_GB2312" w:eastAsia="仿宋_GB2312" w:cs="仿宋_GB2312"/>
                <w:b w:val="0"/>
                <w:bCs w:val="0"/>
                <w:color w:val="auto"/>
                <w:sz w:val="21"/>
                <w:szCs w:val="21"/>
              </w:rPr>
            </w:pPr>
          </w:p>
        </w:tc>
        <w:tc>
          <w:tcPr>
            <w:tcW w:w="691" w:type="dxa"/>
            <w:vMerge w:val="continue"/>
            <w:noWrap w:val="0"/>
            <w:vAlign w:val="center"/>
          </w:tcPr>
          <w:p w14:paraId="2C039DFD">
            <w:pPr>
              <w:widowControl/>
              <w:jc w:val="left"/>
              <w:rPr>
                <w:rFonts w:hint="eastAsia" w:ascii="仿宋_GB2312" w:hAnsi="仿宋_GB2312" w:eastAsia="仿宋_GB2312" w:cs="仿宋_GB2312"/>
                <w:b w:val="0"/>
                <w:bCs w:val="0"/>
                <w:color w:val="auto"/>
                <w:sz w:val="21"/>
                <w:szCs w:val="21"/>
              </w:rPr>
            </w:pPr>
          </w:p>
        </w:tc>
        <w:tc>
          <w:tcPr>
            <w:tcW w:w="912" w:type="dxa"/>
            <w:noWrap w:val="0"/>
            <w:vAlign w:val="center"/>
          </w:tcPr>
          <w:p w14:paraId="37D6EF7F">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成员</w:t>
            </w:r>
          </w:p>
        </w:tc>
        <w:tc>
          <w:tcPr>
            <w:tcW w:w="1031" w:type="dxa"/>
            <w:noWrap w:val="0"/>
            <w:vAlign w:val="center"/>
          </w:tcPr>
          <w:p w14:paraId="1216E3E5">
            <w:pPr>
              <w:widowControl/>
              <w:jc w:val="center"/>
              <w:rPr>
                <w:rFonts w:hint="eastAsia" w:ascii="仿宋_GB2312" w:hAnsi="仿宋_GB2312" w:eastAsia="仿宋_GB2312" w:cs="仿宋_GB2312"/>
                <w:b w:val="0"/>
                <w:bCs w:val="0"/>
                <w:color w:val="auto"/>
                <w:sz w:val="21"/>
                <w:szCs w:val="21"/>
                <w:lang w:eastAsia="zh-CN"/>
              </w:rPr>
            </w:pPr>
            <w:r>
              <w:rPr>
                <w:rFonts w:hint="eastAsia" w:ascii="仿宋_GB2312" w:hAnsi="仿宋_GB2312" w:eastAsia="仿宋_GB2312" w:cs="仿宋_GB2312"/>
                <w:b w:val="0"/>
                <w:bCs w:val="0"/>
                <w:color w:val="auto"/>
                <w:sz w:val="21"/>
                <w:szCs w:val="21"/>
                <w:lang w:val="en-US" w:eastAsia="zh-CN"/>
              </w:rPr>
              <w:t>刘梦洋</w:t>
            </w:r>
          </w:p>
        </w:tc>
        <w:tc>
          <w:tcPr>
            <w:tcW w:w="1874" w:type="dxa"/>
            <w:noWrap w:val="0"/>
            <w:vAlign w:val="center"/>
          </w:tcPr>
          <w:p w14:paraId="168A8F0C">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高坡乡人民政府</w:t>
            </w:r>
          </w:p>
        </w:tc>
        <w:tc>
          <w:tcPr>
            <w:tcW w:w="1294" w:type="dxa"/>
            <w:noWrap w:val="0"/>
            <w:vAlign w:val="center"/>
          </w:tcPr>
          <w:p w14:paraId="7A92FFED">
            <w:pPr>
              <w:widowControl/>
              <w:jc w:val="center"/>
              <w:rPr>
                <w:rFonts w:hint="eastAsia" w:ascii="仿宋_GB2312" w:hAnsi="仿宋_GB2312" w:eastAsia="仿宋_GB2312" w:cs="仿宋_GB2312"/>
                <w:b w:val="0"/>
                <w:bCs w:val="0"/>
                <w:color w:val="auto"/>
                <w:sz w:val="21"/>
                <w:szCs w:val="21"/>
                <w:lang w:eastAsia="zh-CN"/>
              </w:rPr>
            </w:pPr>
            <w:r>
              <w:rPr>
                <w:rFonts w:hint="eastAsia" w:ascii="仿宋_GB2312" w:hAnsi="仿宋_GB2312" w:eastAsia="仿宋_GB2312" w:cs="仿宋_GB2312"/>
                <w:b w:val="0"/>
                <w:bCs w:val="0"/>
                <w:color w:val="auto"/>
                <w:sz w:val="21"/>
                <w:szCs w:val="21"/>
                <w:lang w:val="en-US" w:eastAsia="zh-CN"/>
              </w:rPr>
              <w:t>副乡长</w:t>
            </w:r>
          </w:p>
        </w:tc>
      </w:tr>
      <w:tr w14:paraId="0628B7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1" w:hRule="atLeast"/>
          <w:jc w:val="center"/>
        </w:trPr>
        <w:tc>
          <w:tcPr>
            <w:tcW w:w="878" w:type="dxa"/>
            <w:vMerge w:val="continue"/>
            <w:noWrap w:val="0"/>
            <w:vAlign w:val="center"/>
          </w:tcPr>
          <w:p w14:paraId="39BE12C8">
            <w:pPr>
              <w:widowControl/>
              <w:jc w:val="center"/>
              <w:rPr>
                <w:rFonts w:hint="eastAsia" w:ascii="仿宋_GB2312" w:hAnsi="仿宋_GB2312" w:eastAsia="仿宋_GB2312" w:cs="仿宋_GB2312"/>
                <w:b w:val="0"/>
                <w:bCs w:val="0"/>
                <w:color w:val="auto"/>
                <w:sz w:val="21"/>
                <w:szCs w:val="21"/>
              </w:rPr>
            </w:pPr>
          </w:p>
        </w:tc>
        <w:tc>
          <w:tcPr>
            <w:tcW w:w="691" w:type="dxa"/>
            <w:vMerge w:val="continue"/>
            <w:noWrap w:val="0"/>
            <w:vAlign w:val="center"/>
          </w:tcPr>
          <w:p w14:paraId="2D6AF007">
            <w:pPr>
              <w:widowControl/>
              <w:jc w:val="left"/>
              <w:rPr>
                <w:rFonts w:hint="eastAsia" w:ascii="仿宋_GB2312" w:hAnsi="仿宋_GB2312" w:eastAsia="仿宋_GB2312" w:cs="仿宋_GB2312"/>
                <w:b w:val="0"/>
                <w:bCs w:val="0"/>
                <w:color w:val="auto"/>
                <w:sz w:val="21"/>
                <w:szCs w:val="21"/>
              </w:rPr>
            </w:pPr>
          </w:p>
        </w:tc>
        <w:tc>
          <w:tcPr>
            <w:tcW w:w="912" w:type="dxa"/>
            <w:noWrap w:val="0"/>
            <w:vAlign w:val="center"/>
          </w:tcPr>
          <w:p w14:paraId="57229AD0">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成员</w:t>
            </w:r>
          </w:p>
        </w:tc>
        <w:tc>
          <w:tcPr>
            <w:tcW w:w="1031" w:type="dxa"/>
            <w:noWrap w:val="0"/>
            <w:vAlign w:val="center"/>
          </w:tcPr>
          <w:p w14:paraId="703E2109">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刘龙</w:t>
            </w:r>
          </w:p>
        </w:tc>
        <w:tc>
          <w:tcPr>
            <w:tcW w:w="1874" w:type="dxa"/>
            <w:noWrap w:val="0"/>
            <w:vAlign w:val="center"/>
          </w:tcPr>
          <w:p w14:paraId="6D573940">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马铃乡人民政府</w:t>
            </w:r>
          </w:p>
        </w:tc>
        <w:tc>
          <w:tcPr>
            <w:tcW w:w="1294" w:type="dxa"/>
            <w:noWrap w:val="0"/>
            <w:vAlign w:val="center"/>
          </w:tcPr>
          <w:p w14:paraId="40BE3814">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四级主任科员</w:t>
            </w:r>
          </w:p>
        </w:tc>
      </w:tr>
      <w:tr w14:paraId="334109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1" w:hRule="atLeast"/>
          <w:jc w:val="center"/>
        </w:trPr>
        <w:tc>
          <w:tcPr>
            <w:tcW w:w="878" w:type="dxa"/>
            <w:vMerge w:val="continue"/>
            <w:noWrap w:val="0"/>
            <w:vAlign w:val="center"/>
          </w:tcPr>
          <w:p w14:paraId="0FACEE96">
            <w:pPr>
              <w:widowControl/>
              <w:jc w:val="center"/>
              <w:rPr>
                <w:rFonts w:hint="eastAsia" w:ascii="仿宋_GB2312" w:hAnsi="仿宋_GB2312" w:eastAsia="仿宋_GB2312" w:cs="仿宋_GB2312"/>
                <w:b w:val="0"/>
                <w:bCs w:val="0"/>
                <w:color w:val="auto"/>
                <w:sz w:val="21"/>
                <w:szCs w:val="21"/>
              </w:rPr>
            </w:pPr>
          </w:p>
        </w:tc>
        <w:tc>
          <w:tcPr>
            <w:tcW w:w="691" w:type="dxa"/>
            <w:vMerge w:val="continue"/>
            <w:noWrap w:val="0"/>
            <w:vAlign w:val="center"/>
          </w:tcPr>
          <w:p w14:paraId="6ACF29AF">
            <w:pPr>
              <w:widowControl/>
              <w:jc w:val="left"/>
              <w:rPr>
                <w:rFonts w:hint="eastAsia" w:ascii="仿宋_GB2312" w:hAnsi="仿宋_GB2312" w:eastAsia="仿宋_GB2312" w:cs="仿宋_GB2312"/>
                <w:b w:val="0"/>
                <w:bCs w:val="0"/>
                <w:color w:val="auto"/>
                <w:sz w:val="21"/>
                <w:szCs w:val="21"/>
              </w:rPr>
            </w:pPr>
          </w:p>
        </w:tc>
        <w:tc>
          <w:tcPr>
            <w:tcW w:w="912" w:type="dxa"/>
            <w:noWrap w:val="0"/>
            <w:vAlign w:val="center"/>
          </w:tcPr>
          <w:p w14:paraId="7615FF77">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成员</w:t>
            </w:r>
          </w:p>
        </w:tc>
        <w:tc>
          <w:tcPr>
            <w:tcW w:w="1031" w:type="dxa"/>
            <w:noWrap w:val="0"/>
            <w:vAlign w:val="center"/>
          </w:tcPr>
          <w:p w14:paraId="2EA7A264">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刘海川</w:t>
            </w:r>
          </w:p>
        </w:tc>
        <w:tc>
          <w:tcPr>
            <w:tcW w:w="1874" w:type="dxa"/>
            <w:noWrap w:val="0"/>
            <w:vAlign w:val="center"/>
          </w:tcPr>
          <w:p w14:paraId="388AFE27">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黔陶乡人民政府</w:t>
            </w:r>
          </w:p>
        </w:tc>
        <w:tc>
          <w:tcPr>
            <w:tcW w:w="1294" w:type="dxa"/>
            <w:noWrap w:val="0"/>
            <w:vAlign w:val="center"/>
          </w:tcPr>
          <w:p w14:paraId="6DAD3194">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副乡长</w:t>
            </w:r>
          </w:p>
        </w:tc>
      </w:tr>
      <w:tr w14:paraId="43E1D4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1" w:hRule="atLeast"/>
          <w:jc w:val="center"/>
        </w:trPr>
        <w:tc>
          <w:tcPr>
            <w:tcW w:w="878" w:type="dxa"/>
            <w:vMerge w:val="continue"/>
            <w:noWrap w:val="0"/>
            <w:vAlign w:val="center"/>
          </w:tcPr>
          <w:p w14:paraId="0ED5468A">
            <w:pPr>
              <w:widowControl/>
              <w:jc w:val="center"/>
              <w:rPr>
                <w:rFonts w:hint="eastAsia" w:ascii="仿宋_GB2312" w:hAnsi="仿宋_GB2312" w:eastAsia="仿宋_GB2312" w:cs="仿宋_GB2312"/>
                <w:b w:val="0"/>
                <w:bCs w:val="0"/>
                <w:color w:val="auto"/>
                <w:sz w:val="21"/>
                <w:szCs w:val="21"/>
              </w:rPr>
            </w:pPr>
          </w:p>
        </w:tc>
        <w:tc>
          <w:tcPr>
            <w:tcW w:w="691" w:type="dxa"/>
            <w:vMerge w:val="continue"/>
            <w:noWrap w:val="0"/>
            <w:vAlign w:val="center"/>
          </w:tcPr>
          <w:p w14:paraId="728316F9">
            <w:pPr>
              <w:widowControl/>
              <w:jc w:val="left"/>
              <w:rPr>
                <w:rFonts w:hint="eastAsia" w:ascii="仿宋_GB2312" w:hAnsi="仿宋_GB2312" w:eastAsia="仿宋_GB2312" w:cs="仿宋_GB2312"/>
                <w:b w:val="0"/>
                <w:bCs w:val="0"/>
                <w:color w:val="auto"/>
                <w:sz w:val="21"/>
                <w:szCs w:val="21"/>
              </w:rPr>
            </w:pPr>
          </w:p>
        </w:tc>
        <w:tc>
          <w:tcPr>
            <w:tcW w:w="912" w:type="dxa"/>
            <w:noWrap w:val="0"/>
            <w:vAlign w:val="center"/>
          </w:tcPr>
          <w:p w14:paraId="30C2E8B1">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成员</w:t>
            </w:r>
          </w:p>
        </w:tc>
        <w:tc>
          <w:tcPr>
            <w:tcW w:w="1031" w:type="dxa"/>
            <w:noWrap w:val="0"/>
            <w:vAlign w:val="center"/>
          </w:tcPr>
          <w:p w14:paraId="5D8A74D3">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何耘</w:t>
            </w:r>
          </w:p>
        </w:tc>
        <w:tc>
          <w:tcPr>
            <w:tcW w:w="1874" w:type="dxa"/>
            <w:noWrap w:val="0"/>
            <w:vAlign w:val="center"/>
          </w:tcPr>
          <w:p w14:paraId="60209120">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清溪街道办</w:t>
            </w:r>
          </w:p>
        </w:tc>
        <w:tc>
          <w:tcPr>
            <w:tcW w:w="1294" w:type="dxa"/>
            <w:noWrap w:val="0"/>
            <w:vAlign w:val="center"/>
          </w:tcPr>
          <w:p w14:paraId="1F49E676">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优化营商环境服务中心主任</w:t>
            </w:r>
          </w:p>
        </w:tc>
      </w:tr>
      <w:tr w14:paraId="3EAF03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1" w:hRule="atLeast"/>
          <w:jc w:val="center"/>
        </w:trPr>
        <w:tc>
          <w:tcPr>
            <w:tcW w:w="878" w:type="dxa"/>
            <w:vMerge w:val="continue"/>
            <w:noWrap w:val="0"/>
            <w:vAlign w:val="center"/>
          </w:tcPr>
          <w:p w14:paraId="59C85001">
            <w:pPr>
              <w:widowControl/>
              <w:jc w:val="center"/>
              <w:rPr>
                <w:rFonts w:hint="eastAsia" w:ascii="仿宋_GB2312" w:hAnsi="仿宋_GB2312" w:eastAsia="仿宋_GB2312" w:cs="仿宋_GB2312"/>
                <w:b w:val="0"/>
                <w:bCs w:val="0"/>
                <w:color w:val="auto"/>
                <w:sz w:val="21"/>
                <w:szCs w:val="21"/>
              </w:rPr>
            </w:pPr>
          </w:p>
        </w:tc>
        <w:tc>
          <w:tcPr>
            <w:tcW w:w="691" w:type="dxa"/>
            <w:vMerge w:val="continue"/>
            <w:noWrap w:val="0"/>
            <w:vAlign w:val="center"/>
          </w:tcPr>
          <w:p w14:paraId="61B30AAC">
            <w:pPr>
              <w:widowControl/>
              <w:jc w:val="left"/>
              <w:rPr>
                <w:rFonts w:hint="eastAsia" w:ascii="仿宋_GB2312" w:hAnsi="仿宋_GB2312" w:eastAsia="仿宋_GB2312" w:cs="仿宋_GB2312"/>
                <w:b w:val="0"/>
                <w:bCs w:val="0"/>
                <w:color w:val="auto"/>
                <w:sz w:val="21"/>
                <w:szCs w:val="21"/>
              </w:rPr>
            </w:pPr>
          </w:p>
        </w:tc>
        <w:tc>
          <w:tcPr>
            <w:tcW w:w="912" w:type="dxa"/>
            <w:noWrap w:val="0"/>
            <w:vAlign w:val="center"/>
          </w:tcPr>
          <w:p w14:paraId="40784B17">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成员</w:t>
            </w:r>
          </w:p>
        </w:tc>
        <w:tc>
          <w:tcPr>
            <w:tcW w:w="1031" w:type="dxa"/>
            <w:noWrap w:val="0"/>
            <w:vAlign w:val="center"/>
          </w:tcPr>
          <w:p w14:paraId="3C866CA9">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刘泓吟</w:t>
            </w:r>
          </w:p>
        </w:tc>
        <w:tc>
          <w:tcPr>
            <w:tcW w:w="1874" w:type="dxa"/>
            <w:noWrap w:val="0"/>
            <w:vAlign w:val="center"/>
          </w:tcPr>
          <w:p w14:paraId="30FB36F1">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石板镇人民政府</w:t>
            </w:r>
          </w:p>
        </w:tc>
        <w:tc>
          <w:tcPr>
            <w:tcW w:w="1294" w:type="dxa"/>
            <w:noWrap w:val="0"/>
            <w:vAlign w:val="center"/>
          </w:tcPr>
          <w:p w14:paraId="774BE49B">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副镇长</w:t>
            </w:r>
          </w:p>
        </w:tc>
      </w:tr>
      <w:tr w14:paraId="6B44F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1" w:hRule="atLeast"/>
          <w:jc w:val="center"/>
        </w:trPr>
        <w:tc>
          <w:tcPr>
            <w:tcW w:w="878" w:type="dxa"/>
            <w:vMerge w:val="continue"/>
            <w:noWrap w:val="0"/>
            <w:vAlign w:val="center"/>
          </w:tcPr>
          <w:p w14:paraId="6DF3D93F">
            <w:pPr>
              <w:widowControl/>
              <w:jc w:val="center"/>
              <w:rPr>
                <w:rFonts w:hint="eastAsia" w:ascii="仿宋_GB2312" w:hAnsi="仿宋_GB2312" w:eastAsia="仿宋_GB2312" w:cs="仿宋_GB2312"/>
                <w:b w:val="0"/>
                <w:bCs w:val="0"/>
                <w:color w:val="auto"/>
                <w:sz w:val="21"/>
                <w:szCs w:val="21"/>
              </w:rPr>
            </w:pPr>
          </w:p>
        </w:tc>
        <w:tc>
          <w:tcPr>
            <w:tcW w:w="691" w:type="dxa"/>
            <w:vMerge w:val="continue"/>
            <w:noWrap w:val="0"/>
            <w:vAlign w:val="center"/>
          </w:tcPr>
          <w:p w14:paraId="3807ECCE">
            <w:pPr>
              <w:widowControl/>
              <w:jc w:val="left"/>
              <w:rPr>
                <w:rFonts w:hint="eastAsia" w:ascii="仿宋_GB2312" w:hAnsi="仿宋_GB2312" w:eastAsia="仿宋_GB2312" w:cs="仿宋_GB2312"/>
                <w:b w:val="0"/>
                <w:bCs w:val="0"/>
                <w:color w:val="auto"/>
                <w:sz w:val="21"/>
                <w:szCs w:val="21"/>
              </w:rPr>
            </w:pPr>
          </w:p>
        </w:tc>
        <w:tc>
          <w:tcPr>
            <w:tcW w:w="912" w:type="dxa"/>
            <w:noWrap w:val="0"/>
            <w:vAlign w:val="center"/>
          </w:tcPr>
          <w:p w14:paraId="46F32C23">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成员</w:t>
            </w:r>
          </w:p>
        </w:tc>
        <w:tc>
          <w:tcPr>
            <w:tcW w:w="1031" w:type="dxa"/>
            <w:noWrap w:val="0"/>
            <w:vAlign w:val="center"/>
          </w:tcPr>
          <w:p w14:paraId="16B057F6">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蔡鹏程</w:t>
            </w:r>
          </w:p>
        </w:tc>
        <w:tc>
          <w:tcPr>
            <w:tcW w:w="1874" w:type="dxa"/>
            <w:noWrap w:val="0"/>
            <w:vAlign w:val="center"/>
          </w:tcPr>
          <w:p w14:paraId="2C575DC9">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青岩镇人民政府</w:t>
            </w:r>
          </w:p>
        </w:tc>
        <w:tc>
          <w:tcPr>
            <w:tcW w:w="1294" w:type="dxa"/>
            <w:noWrap w:val="0"/>
            <w:vAlign w:val="center"/>
          </w:tcPr>
          <w:p w14:paraId="196DAA2B">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副镇长</w:t>
            </w:r>
          </w:p>
        </w:tc>
      </w:tr>
      <w:tr w14:paraId="10618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1" w:hRule="atLeast"/>
          <w:jc w:val="center"/>
        </w:trPr>
        <w:tc>
          <w:tcPr>
            <w:tcW w:w="878" w:type="dxa"/>
            <w:vMerge w:val="continue"/>
            <w:noWrap w:val="0"/>
            <w:vAlign w:val="center"/>
          </w:tcPr>
          <w:p w14:paraId="2DE2A98C">
            <w:pPr>
              <w:widowControl/>
              <w:jc w:val="center"/>
              <w:rPr>
                <w:rFonts w:hint="eastAsia" w:ascii="仿宋_GB2312" w:hAnsi="仿宋_GB2312" w:eastAsia="仿宋_GB2312" w:cs="仿宋_GB2312"/>
                <w:b w:val="0"/>
                <w:bCs w:val="0"/>
                <w:color w:val="auto"/>
                <w:sz w:val="21"/>
                <w:szCs w:val="21"/>
              </w:rPr>
            </w:pPr>
          </w:p>
        </w:tc>
        <w:tc>
          <w:tcPr>
            <w:tcW w:w="691" w:type="dxa"/>
            <w:vMerge w:val="continue"/>
            <w:noWrap w:val="0"/>
            <w:vAlign w:val="center"/>
          </w:tcPr>
          <w:p w14:paraId="2E47DE9D">
            <w:pPr>
              <w:widowControl/>
              <w:jc w:val="left"/>
              <w:rPr>
                <w:rFonts w:hint="eastAsia" w:ascii="仿宋_GB2312" w:hAnsi="仿宋_GB2312" w:eastAsia="仿宋_GB2312" w:cs="仿宋_GB2312"/>
                <w:b w:val="0"/>
                <w:bCs w:val="0"/>
                <w:color w:val="auto"/>
                <w:sz w:val="21"/>
                <w:szCs w:val="21"/>
              </w:rPr>
            </w:pPr>
          </w:p>
        </w:tc>
        <w:tc>
          <w:tcPr>
            <w:tcW w:w="912" w:type="dxa"/>
            <w:noWrap w:val="0"/>
            <w:vAlign w:val="center"/>
          </w:tcPr>
          <w:p w14:paraId="22711142">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成员</w:t>
            </w:r>
          </w:p>
        </w:tc>
        <w:tc>
          <w:tcPr>
            <w:tcW w:w="1031" w:type="dxa"/>
            <w:noWrap w:val="0"/>
            <w:vAlign w:val="center"/>
          </w:tcPr>
          <w:p w14:paraId="6660FD7C">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王林</w:t>
            </w:r>
          </w:p>
        </w:tc>
        <w:tc>
          <w:tcPr>
            <w:tcW w:w="1874" w:type="dxa"/>
            <w:noWrap w:val="0"/>
            <w:vAlign w:val="center"/>
          </w:tcPr>
          <w:p w14:paraId="3AC1160D">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燕楼镇人民政府</w:t>
            </w:r>
          </w:p>
        </w:tc>
        <w:tc>
          <w:tcPr>
            <w:tcW w:w="1294" w:type="dxa"/>
            <w:noWrap w:val="0"/>
            <w:vAlign w:val="center"/>
          </w:tcPr>
          <w:p w14:paraId="790398A2">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副镇长</w:t>
            </w:r>
          </w:p>
        </w:tc>
      </w:tr>
      <w:tr w14:paraId="177DB3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67" w:hRule="atLeast"/>
          <w:jc w:val="center"/>
        </w:trPr>
        <w:tc>
          <w:tcPr>
            <w:tcW w:w="878" w:type="dxa"/>
            <w:vMerge w:val="restart"/>
            <w:noWrap w:val="0"/>
            <w:vAlign w:val="center"/>
          </w:tcPr>
          <w:p w14:paraId="04830414">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9</w:t>
            </w:r>
          </w:p>
        </w:tc>
        <w:tc>
          <w:tcPr>
            <w:tcW w:w="691" w:type="dxa"/>
            <w:vMerge w:val="restart"/>
            <w:noWrap w:val="0"/>
            <w:vAlign w:val="center"/>
          </w:tcPr>
          <w:p w14:paraId="6D1AE62A">
            <w:pPr>
              <w:widowControl/>
              <w:jc w:val="left"/>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新闻宣传组</w:t>
            </w:r>
          </w:p>
        </w:tc>
        <w:tc>
          <w:tcPr>
            <w:tcW w:w="912" w:type="dxa"/>
            <w:noWrap w:val="0"/>
            <w:vAlign w:val="center"/>
          </w:tcPr>
          <w:p w14:paraId="3270FCAE">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组长</w:t>
            </w:r>
          </w:p>
        </w:tc>
        <w:tc>
          <w:tcPr>
            <w:tcW w:w="1031" w:type="dxa"/>
            <w:noWrap w:val="0"/>
            <w:vAlign w:val="center"/>
          </w:tcPr>
          <w:p w14:paraId="01C52FF3">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杨晓娟</w:t>
            </w:r>
          </w:p>
        </w:tc>
        <w:tc>
          <w:tcPr>
            <w:tcW w:w="1874" w:type="dxa"/>
            <w:noWrap w:val="0"/>
            <w:vAlign w:val="center"/>
          </w:tcPr>
          <w:p w14:paraId="3110A188">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花溪区委宣传部</w:t>
            </w:r>
          </w:p>
        </w:tc>
        <w:tc>
          <w:tcPr>
            <w:tcW w:w="1294" w:type="dxa"/>
            <w:noWrap w:val="0"/>
            <w:vAlign w:val="center"/>
          </w:tcPr>
          <w:p w14:paraId="46F0C460">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常务副部长</w:t>
            </w:r>
          </w:p>
        </w:tc>
      </w:tr>
      <w:tr w14:paraId="709818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40" w:hRule="atLeast"/>
          <w:jc w:val="center"/>
        </w:trPr>
        <w:tc>
          <w:tcPr>
            <w:tcW w:w="878" w:type="dxa"/>
            <w:vMerge w:val="continue"/>
            <w:noWrap w:val="0"/>
            <w:vAlign w:val="center"/>
          </w:tcPr>
          <w:p w14:paraId="534DA8B0">
            <w:pPr>
              <w:widowControl/>
              <w:jc w:val="center"/>
              <w:rPr>
                <w:rFonts w:hint="eastAsia" w:ascii="仿宋_GB2312" w:hAnsi="仿宋_GB2312" w:eastAsia="仿宋_GB2312" w:cs="仿宋_GB2312"/>
                <w:b w:val="0"/>
                <w:bCs w:val="0"/>
                <w:color w:val="auto"/>
                <w:sz w:val="21"/>
                <w:szCs w:val="21"/>
              </w:rPr>
            </w:pPr>
          </w:p>
        </w:tc>
        <w:tc>
          <w:tcPr>
            <w:tcW w:w="691" w:type="dxa"/>
            <w:vMerge w:val="continue"/>
            <w:noWrap w:val="0"/>
            <w:vAlign w:val="center"/>
          </w:tcPr>
          <w:p w14:paraId="06918732">
            <w:pPr>
              <w:widowControl/>
              <w:jc w:val="left"/>
              <w:rPr>
                <w:rFonts w:hint="eastAsia" w:ascii="仿宋_GB2312" w:hAnsi="仿宋_GB2312" w:eastAsia="仿宋_GB2312" w:cs="仿宋_GB2312"/>
                <w:b w:val="0"/>
                <w:bCs w:val="0"/>
                <w:color w:val="auto"/>
                <w:sz w:val="21"/>
                <w:szCs w:val="21"/>
              </w:rPr>
            </w:pPr>
          </w:p>
        </w:tc>
        <w:tc>
          <w:tcPr>
            <w:tcW w:w="912" w:type="dxa"/>
            <w:noWrap w:val="0"/>
            <w:vAlign w:val="center"/>
          </w:tcPr>
          <w:p w14:paraId="595C0D14">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成员</w:t>
            </w:r>
          </w:p>
        </w:tc>
        <w:tc>
          <w:tcPr>
            <w:tcW w:w="1031" w:type="dxa"/>
            <w:noWrap w:val="0"/>
            <w:vAlign w:val="center"/>
          </w:tcPr>
          <w:p w14:paraId="664299C8">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何东</w:t>
            </w:r>
          </w:p>
        </w:tc>
        <w:tc>
          <w:tcPr>
            <w:tcW w:w="1874" w:type="dxa"/>
            <w:noWrap w:val="0"/>
            <w:vAlign w:val="center"/>
          </w:tcPr>
          <w:p w14:paraId="5174B5F5">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区融媒体中心</w:t>
            </w:r>
          </w:p>
        </w:tc>
        <w:tc>
          <w:tcPr>
            <w:tcW w:w="1294" w:type="dxa"/>
            <w:noWrap w:val="0"/>
            <w:vAlign w:val="center"/>
          </w:tcPr>
          <w:p w14:paraId="2026215F">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副主任</w:t>
            </w:r>
          </w:p>
        </w:tc>
      </w:tr>
      <w:tr w14:paraId="55612A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9" w:hRule="atLeast"/>
          <w:jc w:val="center"/>
        </w:trPr>
        <w:tc>
          <w:tcPr>
            <w:tcW w:w="878" w:type="dxa"/>
            <w:vMerge w:val="continue"/>
            <w:noWrap w:val="0"/>
            <w:vAlign w:val="center"/>
          </w:tcPr>
          <w:p w14:paraId="009E8E22">
            <w:pPr>
              <w:widowControl/>
              <w:jc w:val="center"/>
              <w:rPr>
                <w:rFonts w:hint="eastAsia" w:ascii="仿宋_GB2312" w:hAnsi="仿宋_GB2312" w:eastAsia="仿宋_GB2312" w:cs="仿宋_GB2312"/>
                <w:b w:val="0"/>
                <w:bCs w:val="0"/>
                <w:color w:val="auto"/>
                <w:sz w:val="21"/>
                <w:szCs w:val="21"/>
              </w:rPr>
            </w:pPr>
          </w:p>
        </w:tc>
        <w:tc>
          <w:tcPr>
            <w:tcW w:w="691" w:type="dxa"/>
            <w:vMerge w:val="continue"/>
            <w:noWrap w:val="0"/>
            <w:vAlign w:val="center"/>
          </w:tcPr>
          <w:p w14:paraId="3A61242E">
            <w:pPr>
              <w:widowControl/>
              <w:jc w:val="left"/>
              <w:rPr>
                <w:rFonts w:hint="eastAsia" w:ascii="仿宋_GB2312" w:hAnsi="仿宋_GB2312" w:eastAsia="仿宋_GB2312" w:cs="仿宋_GB2312"/>
                <w:b w:val="0"/>
                <w:bCs w:val="0"/>
                <w:color w:val="auto"/>
                <w:sz w:val="21"/>
                <w:szCs w:val="21"/>
              </w:rPr>
            </w:pPr>
          </w:p>
        </w:tc>
        <w:tc>
          <w:tcPr>
            <w:tcW w:w="912" w:type="dxa"/>
            <w:noWrap w:val="0"/>
            <w:vAlign w:val="center"/>
          </w:tcPr>
          <w:p w14:paraId="004DE4E1">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成员</w:t>
            </w:r>
          </w:p>
        </w:tc>
        <w:tc>
          <w:tcPr>
            <w:tcW w:w="1031" w:type="dxa"/>
            <w:noWrap w:val="0"/>
            <w:vAlign w:val="center"/>
          </w:tcPr>
          <w:p w14:paraId="47C30244">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徐应周</w:t>
            </w:r>
          </w:p>
        </w:tc>
        <w:tc>
          <w:tcPr>
            <w:tcW w:w="1874" w:type="dxa"/>
            <w:noWrap w:val="0"/>
            <w:vAlign w:val="center"/>
          </w:tcPr>
          <w:p w14:paraId="7C95A826">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贵阳市生态环境局花溪分局</w:t>
            </w:r>
          </w:p>
        </w:tc>
        <w:tc>
          <w:tcPr>
            <w:tcW w:w="1294" w:type="dxa"/>
            <w:noWrap w:val="0"/>
            <w:vAlign w:val="center"/>
          </w:tcPr>
          <w:p w14:paraId="234C31CB">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副局长</w:t>
            </w:r>
          </w:p>
        </w:tc>
      </w:tr>
      <w:tr w14:paraId="0E41F0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9" w:hRule="atLeast"/>
          <w:jc w:val="center"/>
        </w:trPr>
        <w:tc>
          <w:tcPr>
            <w:tcW w:w="878" w:type="dxa"/>
            <w:vMerge w:val="restart"/>
            <w:noWrap w:val="0"/>
            <w:vAlign w:val="center"/>
          </w:tcPr>
          <w:p w14:paraId="47CE4C91">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10</w:t>
            </w:r>
          </w:p>
        </w:tc>
        <w:tc>
          <w:tcPr>
            <w:tcW w:w="691" w:type="dxa"/>
            <w:vMerge w:val="restart"/>
            <w:noWrap w:val="0"/>
            <w:vAlign w:val="center"/>
          </w:tcPr>
          <w:p w14:paraId="64C5064A">
            <w:pPr>
              <w:widowControl/>
              <w:jc w:val="left"/>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事后调查组</w:t>
            </w:r>
          </w:p>
        </w:tc>
        <w:tc>
          <w:tcPr>
            <w:tcW w:w="912" w:type="dxa"/>
            <w:noWrap w:val="0"/>
            <w:vAlign w:val="center"/>
          </w:tcPr>
          <w:p w14:paraId="776D985E">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组长</w:t>
            </w:r>
          </w:p>
        </w:tc>
        <w:tc>
          <w:tcPr>
            <w:tcW w:w="1031" w:type="dxa"/>
            <w:noWrap w:val="0"/>
            <w:vAlign w:val="center"/>
          </w:tcPr>
          <w:p w14:paraId="0375A6A8">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张君发</w:t>
            </w:r>
          </w:p>
        </w:tc>
        <w:tc>
          <w:tcPr>
            <w:tcW w:w="1874" w:type="dxa"/>
            <w:noWrap w:val="0"/>
            <w:vAlign w:val="center"/>
          </w:tcPr>
          <w:p w14:paraId="4CB2AF8F">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贵阳市生态环境局花溪分局</w:t>
            </w:r>
          </w:p>
        </w:tc>
        <w:tc>
          <w:tcPr>
            <w:tcW w:w="1294" w:type="dxa"/>
            <w:noWrap w:val="0"/>
            <w:vAlign w:val="center"/>
          </w:tcPr>
          <w:p w14:paraId="6761E591">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局长</w:t>
            </w:r>
          </w:p>
        </w:tc>
      </w:tr>
      <w:tr w14:paraId="2A3B84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08" w:hRule="atLeast"/>
          <w:jc w:val="center"/>
        </w:trPr>
        <w:tc>
          <w:tcPr>
            <w:tcW w:w="878" w:type="dxa"/>
            <w:vMerge w:val="continue"/>
            <w:noWrap w:val="0"/>
            <w:vAlign w:val="center"/>
          </w:tcPr>
          <w:p w14:paraId="441561FF">
            <w:pPr>
              <w:widowControl/>
              <w:jc w:val="center"/>
              <w:rPr>
                <w:rFonts w:hint="eastAsia" w:ascii="仿宋_GB2312" w:hAnsi="仿宋_GB2312" w:eastAsia="仿宋_GB2312" w:cs="仿宋_GB2312"/>
                <w:b w:val="0"/>
                <w:bCs w:val="0"/>
                <w:color w:val="auto"/>
                <w:sz w:val="21"/>
                <w:szCs w:val="21"/>
              </w:rPr>
            </w:pPr>
          </w:p>
        </w:tc>
        <w:tc>
          <w:tcPr>
            <w:tcW w:w="691" w:type="dxa"/>
            <w:vMerge w:val="continue"/>
            <w:noWrap w:val="0"/>
            <w:vAlign w:val="center"/>
          </w:tcPr>
          <w:p w14:paraId="07FD33DD">
            <w:pPr>
              <w:widowControl/>
              <w:jc w:val="left"/>
              <w:rPr>
                <w:rFonts w:hint="eastAsia" w:ascii="仿宋_GB2312" w:hAnsi="仿宋_GB2312" w:eastAsia="仿宋_GB2312" w:cs="仿宋_GB2312"/>
                <w:b w:val="0"/>
                <w:bCs w:val="0"/>
                <w:color w:val="auto"/>
                <w:sz w:val="21"/>
                <w:szCs w:val="21"/>
              </w:rPr>
            </w:pPr>
          </w:p>
        </w:tc>
        <w:tc>
          <w:tcPr>
            <w:tcW w:w="912" w:type="dxa"/>
            <w:noWrap w:val="0"/>
            <w:vAlign w:val="center"/>
          </w:tcPr>
          <w:p w14:paraId="5C5667C5">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成员</w:t>
            </w:r>
          </w:p>
        </w:tc>
        <w:tc>
          <w:tcPr>
            <w:tcW w:w="1031" w:type="dxa"/>
            <w:noWrap w:val="0"/>
            <w:vAlign w:val="center"/>
          </w:tcPr>
          <w:p w14:paraId="510F13EC">
            <w:pPr>
              <w:pStyle w:val="12"/>
              <w:spacing w:beforeAutospacing="0" w:afterAutospacing="0" w:line="240" w:lineRule="auto"/>
              <w:ind w:firstLine="0" w:firstLineChars="0"/>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lang w:val="en-US" w:eastAsia="zh-CN"/>
              </w:rPr>
              <w:t>严培松</w:t>
            </w:r>
          </w:p>
        </w:tc>
        <w:tc>
          <w:tcPr>
            <w:tcW w:w="1874" w:type="dxa"/>
            <w:noWrap w:val="0"/>
            <w:vAlign w:val="center"/>
          </w:tcPr>
          <w:p w14:paraId="66E67805">
            <w:pPr>
              <w:pStyle w:val="12"/>
              <w:spacing w:beforeAutospacing="0" w:afterAutospacing="0" w:line="240" w:lineRule="auto"/>
              <w:ind w:firstLine="0" w:firstLineChars="0"/>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贵阳市公安局花溪分局</w:t>
            </w:r>
          </w:p>
        </w:tc>
        <w:tc>
          <w:tcPr>
            <w:tcW w:w="1294" w:type="dxa"/>
            <w:noWrap w:val="0"/>
            <w:vAlign w:val="center"/>
          </w:tcPr>
          <w:p w14:paraId="3308F155">
            <w:pPr>
              <w:pStyle w:val="12"/>
              <w:spacing w:beforeAutospacing="0" w:afterAutospacing="0" w:line="240" w:lineRule="auto"/>
              <w:ind w:firstLine="0" w:firstLineChars="0"/>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lang w:val="en-US" w:eastAsia="zh-CN"/>
              </w:rPr>
              <w:t>党委委员、副局长</w:t>
            </w:r>
          </w:p>
        </w:tc>
      </w:tr>
      <w:tr w14:paraId="1995CA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1" w:hRule="atLeast"/>
          <w:jc w:val="center"/>
        </w:trPr>
        <w:tc>
          <w:tcPr>
            <w:tcW w:w="878" w:type="dxa"/>
            <w:vMerge w:val="restart"/>
            <w:noWrap w:val="0"/>
            <w:vAlign w:val="center"/>
          </w:tcPr>
          <w:p w14:paraId="5D8A0B04">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11</w:t>
            </w:r>
          </w:p>
        </w:tc>
        <w:tc>
          <w:tcPr>
            <w:tcW w:w="691" w:type="dxa"/>
            <w:vMerge w:val="restart"/>
            <w:noWrap w:val="0"/>
            <w:vAlign w:val="center"/>
          </w:tcPr>
          <w:p w14:paraId="7E023440">
            <w:pPr>
              <w:widowControl/>
              <w:jc w:val="left"/>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专家咨询组</w:t>
            </w:r>
          </w:p>
        </w:tc>
        <w:tc>
          <w:tcPr>
            <w:tcW w:w="912" w:type="dxa"/>
            <w:noWrap w:val="0"/>
            <w:vAlign w:val="center"/>
          </w:tcPr>
          <w:p w14:paraId="35BC4AE5">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联络员</w:t>
            </w:r>
          </w:p>
        </w:tc>
        <w:tc>
          <w:tcPr>
            <w:tcW w:w="1031" w:type="dxa"/>
            <w:noWrap w:val="0"/>
            <w:vAlign w:val="center"/>
          </w:tcPr>
          <w:p w14:paraId="44FC3CEF">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叶鹏</w:t>
            </w:r>
          </w:p>
        </w:tc>
        <w:tc>
          <w:tcPr>
            <w:tcW w:w="1874" w:type="dxa"/>
            <w:noWrap w:val="0"/>
            <w:vAlign w:val="center"/>
          </w:tcPr>
          <w:p w14:paraId="4EDA42D2">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贵阳市生态环境局花溪分局</w:t>
            </w:r>
          </w:p>
        </w:tc>
        <w:tc>
          <w:tcPr>
            <w:tcW w:w="1294" w:type="dxa"/>
            <w:noWrap w:val="0"/>
            <w:vAlign w:val="center"/>
          </w:tcPr>
          <w:p w14:paraId="7535CB01">
            <w:pPr>
              <w:widowControl/>
              <w:jc w:val="center"/>
              <w:rPr>
                <w:rFonts w:hint="eastAsia" w:ascii="仿宋_GB2312" w:hAnsi="仿宋_GB2312" w:eastAsia="仿宋_GB2312" w:cs="仿宋_GB2312"/>
                <w:b w:val="0"/>
                <w:bCs w:val="0"/>
                <w:color w:val="auto"/>
                <w:sz w:val="21"/>
                <w:szCs w:val="21"/>
              </w:rPr>
            </w:pPr>
            <w:r>
              <w:rPr>
                <w:rFonts w:hint="eastAsia" w:ascii="仿宋_GB2312" w:hAnsi="仿宋_GB2312" w:eastAsia="仿宋_GB2312" w:cs="仿宋_GB2312"/>
                <w:b w:val="0"/>
                <w:bCs w:val="0"/>
                <w:color w:val="auto"/>
                <w:sz w:val="21"/>
                <w:szCs w:val="21"/>
              </w:rPr>
              <w:t>应急中心主任</w:t>
            </w:r>
          </w:p>
        </w:tc>
      </w:tr>
      <w:tr w14:paraId="1BE6D6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4"/>
          <w:wAfter w:w="5111" w:type="dxa"/>
          <w:trHeight w:val="608" w:hRule="atLeast"/>
          <w:jc w:val="center"/>
        </w:trPr>
        <w:tc>
          <w:tcPr>
            <w:tcW w:w="878" w:type="dxa"/>
            <w:vMerge w:val="continue"/>
            <w:noWrap w:val="0"/>
            <w:vAlign w:val="center"/>
          </w:tcPr>
          <w:p w14:paraId="4F1F9E49">
            <w:pPr>
              <w:widowControl/>
              <w:jc w:val="left"/>
              <w:rPr>
                <w:rFonts w:hint="eastAsia" w:ascii="仿宋_GB2312" w:hAnsi="仿宋_GB2312" w:eastAsia="仿宋_GB2312" w:cs="仿宋_GB2312"/>
                <w:b w:val="0"/>
                <w:bCs w:val="0"/>
                <w:color w:val="auto"/>
                <w:sz w:val="21"/>
                <w:szCs w:val="21"/>
              </w:rPr>
            </w:pPr>
          </w:p>
        </w:tc>
        <w:tc>
          <w:tcPr>
            <w:tcW w:w="691" w:type="dxa"/>
            <w:vMerge w:val="continue"/>
            <w:noWrap w:val="0"/>
            <w:vAlign w:val="center"/>
          </w:tcPr>
          <w:p w14:paraId="507D53E2">
            <w:pPr>
              <w:widowControl/>
              <w:jc w:val="left"/>
              <w:rPr>
                <w:rFonts w:hint="eastAsia" w:ascii="仿宋_GB2312" w:hAnsi="仿宋_GB2312" w:eastAsia="仿宋_GB2312" w:cs="仿宋_GB2312"/>
                <w:b w:val="0"/>
                <w:bCs w:val="0"/>
                <w:color w:val="auto"/>
                <w:sz w:val="21"/>
                <w:szCs w:val="21"/>
              </w:rPr>
            </w:pPr>
          </w:p>
        </w:tc>
      </w:tr>
    </w:tbl>
    <w:p w14:paraId="74F562B3">
      <w:pPr>
        <w:widowControl/>
        <w:ind w:firstLine="480"/>
        <w:jc w:val="left"/>
        <w:rPr>
          <w:rFonts w:eastAsia="仿宋"/>
          <w:sz w:val="21"/>
          <w:szCs w:val="21"/>
        </w:rPr>
      </w:pPr>
    </w:p>
    <w:p w14:paraId="0F534820">
      <w:pPr>
        <w:widowControl/>
        <w:ind w:firstLine="480"/>
        <w:jc w:val="left"/>
        <w:rPr>
          <w:rFonts w:eastAsia="仿宋"/>
          <w:sz w:val="21"/>
          <w:szCs w:val="21"/>
        </w:rPr>
      </w:pPr>
    </w:p>
    <w:p w14:paraId="350610F2">
      <w:pPr>
        <w:spacing w:line="240" w:lineRule="auto"/>
        <w:ind w:firstLine="482"/>
        <w:jc w:val="center"/>
        <w:rPr>
          <w:rFonts w:eastAsia="仿宋"/>
          <w:b/>
          <w:kern w:val="0"/>
          <w:sz w:val="21"/>
          <w:szCs w:val="21"/>
        </w:rPr>
      </w:pPr>
      <w:r>
        <w:rPr>
          <w:rFonts w:eastAsia="仿宋"/>
          <w:b/>
          <w:kern w:val="0"/>
          <w:sz w:val="21"/>
          <w:szCs w:val="21"/>
        </w:rPr>
        <w:t>表4-2  贵州省内相关专家名单</w:t>
      </w:r>
    </w:p>
    <w:tbl>
      <w:tblPr>
        <w:tblStyle w:val="14"/>
        <w:tblW w:w="7437"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774"/>
        <w:gridCol w:w="930"/>
        <w:gridCol w:w="855"/>
        <w:gridCol w:w="2326"/>
        <w:gridCol w:w="1134"/>
        <w:gridCol w:w="1418"/>
      </w:tblGrid>
      <w:tr w14:paraId="7D4FC99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73" w:hRule="atLeast"/>
          <w:jc w:val="center"/>
        </w:trPr>
        <w:tc>
          <w:tcPr>
            <w:tcW w:w="774" w:type="dxa"/>
            <w:noWrap/>
            <w:vAlign w:val="center"/>
          </w:tcPr>
          <w:p w14:paraId="79BD8172">
            <w:pPr>
              <w:autoSpaceDN w:val="0"/>
              <w:spacing w:line="240" w:lineRule="auto"/>
              <w:jc w:val="center"/>
              <w:textAlignment w:val="center"/>
              <w:rPr>
                <w:rFonts w:eastAsia="仿宋"/>
                <w:sz w:val="21"/>
                <w:szCs w:val="21"/>
              </w:rPr>
            </w:pPr>
            <w:r>
              <w:rPr>
                <w:rFonts w:eastAsia="仿宋"/>
                <w:sz w:val="21"/>
                <w:szCs w:val="21"/>
              </w:rPr>
              <w:t>序 号</w:t>
            </w:r>
          </w:p>
        </w:tc>
        <w:tc>
          <w:tcPr>
            <w:tcW w:w="930" w:type="dxa"/>
            <w:noWrap/>
            <w:vAlign w:val="center"/>
          </w:tcPr>
          <w:p w14:paraId="2998B26B">
            <w:pPr>
              <w:autoSpaceDN w:val="0"/>
              <w:spacing w:line="240" w:lineRule="auto"/>
              <w:jc w:val="center"/>
              <w:textAlignment w:val="center"/>
              <w:rPr>
                <w:rFonts w:eastAsia="仿宋"/>
                <w:sz w:val="21"/>
                <w:szCs w:val="21"/>
              </w:rPr>
            </w:pPr>
            <w:r>
              <w:rPr>
                <w:rFonts w:eastAsia="仿宋"/>
                <w:sz w:val="21"/>
                <w:szCs w:val="21"/>
              </w:rPr>
              <w:t>姓名</w:t>
            </w:r>
          </w:p>
        </w:tc>
        <w:tc>
          <w:tcPr>
            <w:tcW w:w="855" w:type="dxa"/>
            <w:noWrap/>
            <w:vAlign w:val="center"/>
          </w:tcPr>
          <w:p w14:paraId="34B3DB0F">
            <w:pPr>
              <w:autoSpaceDN w:val="0"/>
              <w:spacing w:line="240" w:lineRule="auto"/>
              <w:jc w:val="center"/>
              <w:textAlignment w:val="center"/>
              <w:rPr>
                <w:rFonts w:eastAsia="仿宋"/>
                <w:sz w:val="21"/>
                <w:szCs w:val="21"/>
              </w:rPr>
            </w:pPr>
            <w:r>
              <w:rPr>
                <w:rFonts w:eastAsia="仿宋"/>
                <w:sz w:val="21"/>
                <w:szCs w:val="21"/>
              </w:rPr>
              <w:t>性 别</w:t>
            </w:r>
          </w:p>
        </w:tc>
        <w:tc>
          <w:tcPr>
            <w:tcW w:w="2326" w:type="dxa"/>
            <w:noWrap/>
            <w:vAlign w:val="center"/>
          </w:tcPr>
          <w:p w14:paraId="2BFE1761">
            <w:pPr>
              <w:autoSpaceDN w:val="0"/>
              <w:spacing w:line="240" w:lineRule="auto"/>
              <w:jc w:val="center"/>
              <w:textAlignment w:val="center"/>
              <w:rPr>
                <w:rFonts w:eastAsia="仿宋"/>
                <w:sz w:val="21"/>
                <w:szCs w:val="21"/>
              </w:rPr>
            </w:pPr>
            <w:r>
              <w:rPr>
                <w:rFonts w:eastAsia="仿宋"/>
                <w:sz w:val="21"/>
                <w:szCs w:val="21"/>
              </w:rPr>
              <w:t>工作单位</w:t>
            </w:r>
          </w:p>
        </w:tc>
        <w:tc>
          <w:tcPr>
            <w:tcW w:w="1134" w:type="dxa"/>
            <w:noWrap/>
            <w:vAlign w:val="center"/>
          </w:tcPr>
          <w:p w14:paraId="2F9CA0F8">
            <w:pPr>
              <w:autoSpaceDN w:val="0"/>
              <w:spacing w:line="240" w:lineRule="auto"/>
              <w:jc w:val="center"/>
              <w:textAlignment w:val="center"/>
              <w:rPr>
                <w:rFonts w:eastAsia="仿宋"/>
                <w:sz w:val="21"/>
                <w:szCs w:val="21"/>
              </w:rPr>
            </w:pPr>
            <w:r>
              <w:rPr>
                <w:rFonts w:eastAsia="仿宋"/>
                <w:sz w:val="21"/>
                <w:szCs w:val="21"/>
              </w:rPr>
              <w:t>专  业</w:t>
            </w:r>
          </w:p>
        </w:tc>
        <w:tc>
          <w:tcPr>
            <w:tcW w:w="1418" w:type="dxa"/>
            <w:noWrap/>
            <w:vAlign w:val="center"/>
          </w:tcPr>
          <w:p w14:paraId="3DD5B30E">
            <w:pPr>
              <w:autoSpaceDN w:val="0"/>
              <w:spacing w:line="240" w:lineRule="auto"/>
              <w:jc w:val="center"/>
              <w:textAlignment w:val="center"/>
              <w:rPr>
                <w:rFonts w:eastAsia="仿宋"/>
                <w:sz w:val="21"/>
                <w:szCs w:val="21"/>
              </w:rPr>
            </w:pPr>
            <w:r>
              <w:rPr>
                <w:rFonts w:eastAsia="仿宋"/>
                <w:sz w:val="21"/>
                <w:szCs w:val="21"/>
              </w:rPr>
              <w:t>职务/职称</w:t>
            </w:r>
          </w:p>
        </w:tc>
      </w:tr>
      <w:tr w14:paraId="77D154A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73" w:hRule="atLeast"/>
          <w:jc w:val="center"/>
        </w:trPr>
        <w:tc>
          <w:tcPr>
            <w:tcW w:w="774" w:type="dxa"/>
            <w:noWrap/>
            <w:vAlign w:val="center"/>
          </w:tcPr>
          <w:p w14:paraId="2F80F233">
            <w:pPr>
              <w:autoSpaceDN w:val="0"/>
              <w:spacing w:line="240" w:lineRule="auto"/>
              <w:jc w:val="center"/>
              <w:textAlignment w:val="center"/>
              <w:rPr>
                <w:rFonts w:eastAsia="仿宋"/>
                <w:bCs/>
                <w:spacing w:val="-6"/>
                <w:sz w:val="21"/>
                <w:szCs w:val="21"/>
              </w:rPr>
            </w:pPr>
            <w:r>
              <w:rPr>
                <w:rFonts w:eastAsia="仿宋"/>
                <w:bCs/>
                <w:spacing w:val="-6"/>
                <w:sz w:val="21"/>
                <w:szCs w:val="21"/>
              </w:rPr>
              <w:t>1</w:t>
            </w:r>
          </w:p>
        </w:tc>
        <w:tc>
          <w:tcPr>
            <w:tcW w:w="930" w:type="dxa"/>
            <w:noWrap/>
            <w:vAlign w:val="center"/>
          </w:tcPr>
          <w:p w14:paraId="7332EA9A">
            <w:pPr>
              <w:autoSpaceDN w:val="0"/>
              <w:spacing w:line="240" w:lineRule="auto"/>
              <w:jc w:val="center"/>
              <w:textAlignment w:val="center"/>
              <w:rPr>
                <w:rFonts w:eastAsia="仿宋"/>
                <w:sz w:val="21"/>
                <w:szCs w:val="21"/>
              </w:rPr>
            </w:pPr>
            <w:r>
              <w:rPr>
                <w:rFonts w:eastAsia="仿宋"/>
                <w:sz w:val="21"/>
                <w:szCs w:val="21"/>
              </w:rPr>
              <w:t>马福波</w:t>
            </w:r>
          </w:p>
        </w:tc>
        <w:tc>
          <w:tcPr>
            <w:tcW w:w="855" w:type="dxa"/>
            <w:noWrap/>
            <w:vAlign w:val="center"/>
          </w:tcPr>
          <w:p w14:paraId="14C72327">
            <w:pPr>
              <w:autoSpaceDN w:val="0"/>
              <w:spacing w:line="240" w:lineRule="auto"/>
              <w:jc w:val="center"/>
              <w:textAlignment w:val="center"/>
              <w:rPr>
                <w:rFonts w:eastAsia="仿宋"/>
                <w:sz w:val="21"/>
                <w:szCs w:val="21"/>
              </w:rPr>
            </w:pPr>
            <w:r>
              <w:rPr>
                <w:rFonts w:eastAsia="仿宋"/>
                <w:sz w:val="21"/>
                <w:szCs w:val="21"/>
              </w:rPr>
              <w:t>男</w:t>
            </w:r>
          </w:p>
        </w:tc>
        <w:tc>
          <w:tcPr>
            <w:tcW w:w="2326" w:type="dxa"/>
            <w:noWrap/>
            <w:vAlign w:val="center"/>
          </w:tcPr>
          <w:p w14:paraId="41A4A50C">
            <w:pPr>
              <w:autoSpaceDN w:val="0"/>
              <w:spacing w:line="240" w:lineRule="auto"/>
              <w:jc w:val="center"/>
              <w:textAlignment w:val="center"/>
              <w:rPr>
                <w:rFonts w:eastAsia="仿宋"/>
                <w:sz w:val="21"/>
                <w:szCs w:val="21"/>
              </w:rPr>
            </w:pPr>
            <w:r>
              <w:rPr>
                <w:rFonts w:eastAsia="仿宋"/>
                <w:sz w:val="21"/>
                <w:szCs w:val="21"/>
              </w:rPr>
              <w:t>贵州化工研究院</w:t>
            </w:r>
          </w:p>
        </w:tc>
        <w:tc>
          <w:tcPr>
            <w:tcW w:w="1134" w:type="dxa"/>
            <w:noWrap/>
            <w:vAlign w:val="center"/>
          </w:tcPr>
          <w:p w14:paraId="08332F34">
            <w:pPr>
              <w:autoSpaceDN w:val="0"/>
              <w:spacing w:line="240" w:lineRule="auto"/>
              <w:jc w:val="center"/>
              <w:textAlignment w:val="center"/>
              <w:rPr>
                <w:rFonts w:eastAsia="仿宋"/>
                <w:sz w:val="21"/>
                <w:szCs w:val="21"/>
              </w:rPr>
            </w:pPr>
            <w:r>
              <w:rPr>
                <w:rFonts w:hint="eastAsia" w:eastAsia="仿宋"/>
                <w:sz w:val="21"/>
                <w:szCs w:val="21"/>
              </w:rPr>
              <w:t>放射化学</w:t>
            </w:r>
          </w:p>
        </w:tc>
        <w:tc>
          <w:tcPr>
            <w:tcW w:w="1418" w:type="dxa"/>
            <w:noWrap/>
            <w:vAlign w:val="center"/>
          </w:tcPr>
          <w:p w14:paraId="263EBEEE">
            <w:pPr>
              <w:autoSpaceDN w:val="0"/>
              <w:spacing w:line="240" w:lineRule="auto"/>
              <w:jc w:val="center"/>
              <w:textAlignment w:val="center"/>
              <w:rPr>
                <w:rFonts w:eastAsia="仿宋"/>
                <w:sz w:val="21"/>
                <w:szCs w:val="21"/>
              </w:rPr>
            </w:pPr>
            <w:r>
              <w:rPr>
                <w:rFonts w:eastAsia="仿宋"/>
                <w:sz w:val="21"/>
                <w:szCs w:val="21"/>
              </w:rPr>
              <w:t>院长</w:t>
            </w:r>
          </w:p>
        </w:tc>
      </w:tr>
      <w:tr w14:paraId="3020083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73" w:hRule="atLeast"/>
          <w:jc w:val="center"/>
        </w:trPr>
        <w:tc>
          <w:tcPr>
            <w:tcW w:w="774" w:type="dxa"/>
            <w:noWrap/>
            <w:vAlign w:val="center"/>
          </w:tcPr>
          <w:p w14:paraId="1D76DE7C">
            <w:pPr>
              <w:autoSpaceDN w:val="0"/>
              <w:spacing w:line="240" w:lineRule="auto"/>
              <w:jc w:val="center"/>
              <w:textAlignment w:val="center"/>
              <w:rPr>
                <w:rFonts w:eastAsia="仿宋"/>
                <w:sz w:val="21"/>
                <w:szCs w:val="21"/>
              </w:rPr>
            </w:pPr>
            <w:r>
              <w:rPr>
                <w:rFonts w:eastAsia="仿宋"/>
                <w:sz w:val="21"/>
                <w:szCs w:val="21"/>
              </w:rPr>
              <w:t>2</w:t>
            </w:r>
          </w:p>
        </w:tc>
        <w:tc>
          <w:tcPr>
            <w:tcW w:w="930" w:type="dxa"/>
            <w:noWrap/>
            <w:vAlign w:val="center"/>
          </w:tcPr>
          <w:p w14:paraId="59E0BC80">
            <w:pPr>
              <w:autoSpaceDN w:val="0"/>
              <w:spacing w:line="240" w:lineRule="auto"/>
              <w:jc w:val="center"/>
              <w:textAlignment w:val="center"/>
              <w:rPr>
                <w:rFonts w:eastAsia="仿宋"/>
                <w:kern w:val="0"/>
                <w:sz w:val="21"/>
                <w:szCs w:val="21"/>
              </w:rPr>
            </w:pPr>
            <w:r>
              <w:rPr>
                <w:rFonts w:eastAsia="仿宋"/>
                <w:kern w:val="0"/>
                <w:sz w:val="21"/>
                <w:szCs w:val="21"/>
              </w:rPr>
              <w:t xml:space="preserve">傅成诚 </w:t>
            </w:r>
          </w:p>
        </w:tc>
        <w:tc>
          <w:tcPr>
            <w:tcW w:w="855" w:type="dxa"/>
            <w:noWrap/>
            <w:vAlign w:val="center"/>
          </w:tcPr>
          <w:p w14:paraId="012A5BDA">
            <w:pPr>
              <w:autoSpaceDN w:val="0"/>
              <w:spacing w:line="240" w:lineRule="auto"/>
              <w:jc w:val="center"/>
              <w:textAlignment w:val="center"/>
              <w:rPr>
                <w:rFonts w:eastAsia="仿宋"/>
                <w:kern w:val="0"/>
                <w:sz w:val="21"/>
                <w:szCs w:val="21"/>
              </w:rPr>
            </w:pPr>
            <w:r>
              <w:rPr>
                <w:rFonts w:eastAsia="仿宋"/>
                <w:kern w:val="0"/>
                <w:sz w:val="21"/>
                <w:szCs w:val="21"/>
              </w:rPr>
              <w:t>男</w:t>
            </w:r>
          </w:p>
        </w:tc>
        <w:tc>
          <w:tcPr>
            <w:tcW w:w="2326" w:type="dxa"/>
            <w:noWrap/>
            <w:vAlign w:val="center"/>
          </w:tcPr>
          <w:p w14:paraId="73165F70">
            <w:pPr>
              <w:autoSpaceDN w:val="0"/>
              <w:spacing w:line="240" w:lineRule="auto"/>
              <w:jc w:val="center"/>
              <w:textAlignment w:val="center"/>
              <w:rPr>
                <w:rFonts w:eastAsia="仿宋"/>
                <w:kern w:val="0"/>
                <w:sz w:val="21"/>
                <w:szCs w:val="21"/>
              </w:rPr>
            </w:pPr>
            <w:r>
              <w:rPr>
                <w:rFonts w:eastAsia="仿宋"/>
                <w:kern w:val="0"/>
                <w:sz w:val="21"/>
                <w:szCs w:val="21"/>
              </w:rPr>
              <w:t>贵州省环境监测中心站</w:t>
            </w:r>
          </w:p>
        </w:tc>
        <w:tc>
          <w:tcPr>
            <w:tcW w:w="1134" w:type="dxa"/>
            <w:noWrap/>
            <w:vAlign w:val="center"/>
          </w:tcPr>
          <w:p w14:paraId="469E5328">
            <w:pPr>
              <w:autoSpaceDN w:val="0"/>
              <w:spacing w:line="240" w:lineRule="auto"/>
              <w:jc w:val="center"/>
              <w:textAlignment w:val="center"/>
              <w:rPr>
                <w:rFonts w:eastAsia="仿宋"/>
                <w:kern w:val="0"/>
                <w:sz w:val="21"/>
                <w:szCs w:val="21"/>
              </w:rPr>
            </w:pPr>
            <w:r>
              <w:rPr>
                <w:rFonts w:eastAsia="仿宋"/>
                <w:kern w:val="0"/>
                <w:sz w:val="21"/>
                <w:szCs w:val="21"/>
              </w:rPr>
              <w:t>环境监测</w:t>
            </w:r>
          </w:p>
        </w:tc>
        <w:tc>
          <w:tcPr>
            <w:tcW w:w="1418" w:type="dxa"/>
            <w:noWrap/>
            <w:vAlign w:val="center"/>
          </w:tcPr>
          <w:p w14:paraId="55AFEBDF">
            <w:pPr>
              <w:autoSpaceDN w:val="0"/>
              <w:spacing w:line="240" w:lineRule="auto"/>
              <w:jc w:val="center"/>
              <w:textAlignment w:val="center"/>
              <w:rPr>
                <w:rFonts w:eastAsia="仿宋"/>
                <w:kern w:val="0"/>
                <w:sz w:val="21"/>
                <w:szCs w:val="21"/>
              </w:rPr>
            </w:pPr>
            <w:r>
              <w:rPr>
                <w:rFonts w:eastAsia="仿宋"/>
                <w:kern w:val="0"/>
                <w:sz w:val="21"/>
                <w:szCs w:val="21"/>
              </w:rPr>
              <w:t>高工</w:t>
            </w:r>
          </w:p>
        </w:tc>
      </w:tr>
      <w:tr w14:paraId="2A38C51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73" w:hRule="atLeast"/>
          <w:jc w:val="center"/>
        </w:trPr>
        <w:tc>
          <w:tcPr>
            <w:tcW w:w="774" w:type="dxa"/>
            <w:noWrap/>
            <w:vAlign w:val="center"/>
          </w:tcPr>
          <w:p w14:paraId="61460B9E">
            <w:pPr>
              <w:autoSpaceDN w:val="0"/>
              <w:spacing w:line="240" w:lineRule="auto"/>
              <w:jc w:val="center"/>
              <w:textAlignment w:val="center"/>
              <w:rPr>
                <w:rFonts w:eastAsia="仿宋"/>
                <w:sz w:val="21"/>
                <w:szCs w:val="21"/>
              </w:rPr>
            </w:pPr>
            <w:r>
              <w:rPr>
                <w:rFonts w:hint="eastAsia" w:eastAsia="仿宋"/>
                <w:sz w:val="21"/>
                <w:szCs w:val="21"/>
              </w:rPr>
              <w:t>3</w:t>
            </w:r>
          </w:p>
        </w:tc>
        <w:tc>
          <w:tcPr>
            <w:tcW w:w="930" w:type="dxa"/>
            <w:noWrap/>
            <w:vAlign w:val="center"/>
          </w:tcPr>
          <w:p w14:paraId="39290F61">
            <w:pPr>
              <w:autoSpaceDN w:val="0"/>
              <w:spacing w:line="240" w:lineRule="auto"/>
              <w:jc w:val="center"/>
              <w:textAlignment w:val="center"/>
              <w:rPr>
                <w:rFonts w:eastAsia="仿宋"/>
                <w:kern w:val="0"/>
                <w:sz w:val="21"/>
                <w:szCs w:val="21"/>
              </w:rPr>
            </w:pPr>
            <w:r>
              <w:rPr>
                <w:rFonts w:hint="eastAsia" w:eastAsia="仿宋"/>
                <w:kern w:val="0"/>
                <w:sz w:val="21"/>
                <w:szCs w:val="21"/>
              </w:rPr>
              <w:t xml:space="preserve">王 </w:t>
            </w:r>
            <w:r>
              <w:rPr>
                <w:rFonts w:eastAsia="仿宋"/>
                <w:kern w:val="0"/>
                <w:sz w:val="21"/>
                <w:szCs w:val="21"/>
              </w:rPr>
              <w:t xml:space="preserve"> </w:t>
            </w:r>
            <w:r>
              <w:rPr>
                <w:rFonts w:hint="eastAsia" w:eastAsia="仿宋"/>
                <w:kern w:val="0"/>
                <w:sz w:val="21"/>
                <w:szCs w:val="21"/>
              </w:rPr>
              <w:t>浩</w:t>
            </w:r>
          </w:p>
        </w:tc>
        <w:tc>
          <w:tcPr>
            <w:tcW w:w="855" w:type="dxa"/>
            <w:noWrap/>
            <w:vAlign w:val="center"/>
          </w:tcPr>
          <w:p w14:paraId="13AC3809">
            <w:pPr>
              <w:autoSpaceDN w:val="0"/>
              <w:spacing w:line="240" w:lineRule="auto"/>
              <w:jc w:val="center"/>
              <w:textAlignment w:val="center"/>
              <w:rPr>
                <w:rFonts w:eastAsia="仿宋"/>
                <w:kern w:val="0"/>
                <w:sz w:val="21"/>
                <w:szCs w:val="21"/>
              </w:rPr>
            </w:pPr>
            <w:r>
              <w:rPr>
                <w:rFonts w:eastAsia="仿宋"/>
                <w:kern w:val="0"/>
                <w:sz w:val="21"/>
                <w:szCs w:val="21"/>
              </w:rPr>
              <w:t>男</w:t>
            </w:r>
          </w:p>
        </w:tc>
        <w:tc>
          <w:tcPr>
            <w:tcW w:w="2326" w:type="dxa"/>
            <w:noWrap/>
            <w:vAlign w:val="center"/>
          </w:tcPr>
          <w:p w14:paraId="23A51276">
            <w:pPr>
              <w:autoSpaceDN w:val="0"/>
              <w:spacing w:line="240" w:lineRule="auto"/>
              <w:jc w:val="center"/>
              <w:textAlignment w:val="center"/>
              <w:rPr>
                <w:rFonts w:eastAsia="仿宋"/>
                <w:kern w:val="0"/>
                <w:sz w:val="21"/>
                <w:szCs w:val="21"/>
              </w:rPr>
            </w:pPr>
            <w:r>
              <w:rPr>
                <w:rFonts w:eastAsia="仿宋"/>
                <w:kern w:val="0"/>
                <w:sz w:val="21"/>
                <w:szCs w:val="21"/>
              </w:rPr>
              <w:t>贵州省环境监测中心站</w:t>
            </w:r>
          </w:p>
        </w:tc>
        <w:tc>
          <w:tcPr>
            <w:tcW w:w="1134" w:type="dxa"/>
            <w:noWrap/>
            <w:vAlign w:val="center"/>
          </w:tcPr>
          <w:p w14:paraId="27B034DB">
            <w:pPr>
              <w:autoSpaceDN w:val="0"/>
              <w:spacing w:line="240" w:lineRule="auto"/>
              <w:jc w:val="center"/>
              <w:textAlignment w:val="center"/>
              <w:rPr>
                <w:rFonts w:eastAsia="仿宋"/>
                <w:kern w:val="0"/>
                <w:sz w:val="21"/>
                <w:szCs w:val="21"/>
              </w:rPr>
            </w:pPr>
            <w:r>
              <w:rPr>
                <w:rFonts w:eastAsia="仿宋"/>
                <w:kern w:val="0"/>
                <w:sz w:val="21"/>
                <w:szCs w:val="21"/>
              </w:rPr>
              <w:t>环境监测</w:t>
            </w:r>
          </w:p>
        </w:tc>
        <w:tc>
          <w:tcPr>
            <w:tcW w:w="1418" w:type="dxa"/>
            <w:noWrap/>
            <w:vAlign w:val="center"/>
          </w:tcPr>
          <w:p w14:paraId="4A6CB997">
            <w:pPr>
              <w:autoSpaceDN w:val="0"/>
              <w:spacing w:line="240" w:lineRule="auto"/>
              <w:jc w:val="center"/>
              <w:textAlignment w:val="center"/>
              <w:rPr>
                <w:rFonts w:eastAsia="仿宋"/>
                <w:kern w:val="0"/>
                <w:sz w:val="21"/>
                <w:szCs w:val="21"/>
              </w:rPr>
            </w:pPr>
            <w:r>
              <w:rPr>
                <w:rFonts w:eastAsia="仿宋"/>
                <w:kern w:val="0"/>
                <w:sz w:val="21"/>
                <w:szCs w:val="21"/>
              </w:rPr>
              <w:t>高工</w:t>
            </w:r>
          </w:p>
        </w:tc>
      </w:tr>
      <w:tr w14:paraId="09A0DA5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73" w:hRule="atLeast"/>
          <w:jc w:val="center"/>
        </w:trPr>
        <w:tc>
          <w:tcPr>
            <w:tcW w:w="774" w:type="dxa"/>
            <w:noWrap/>
            <w:vAlign w:val="center"/>
          </w:tcPr>
          <w:p w14:paraId="73B46AE3">
            <w:pPr>
              <w:autoSpaceDN w:val="0"/>
              <w:spacing w:line="240" w:lineRule="auto"/>
              <w:jc w:val="center"/>
              <w:textAlignment w:val="center"/>
              <w:rPr>
                <w:rFonts w:eastAsia="仿宋"/>
                <w:sz w:val="21"/>
                <w:szCs w:val="21"/>
              </w:rPr>
            </w:pPr>
            <w:r>
              <w:rPr>
                <w:rFonts w:eastAsia="仿宋"/>
                <w:sz w:val="21"/>
                <w:szCs w:val="21"/>
              </w:rPr>
              <w:t>4</w:t>
            </w:r>
          </w:p>
        </w:tc>
        <w:tc>
          <w:tcPr>
            <w:tcW w:w="930" w:type="dxa"/>
            <w:noWrap/>
            <w:vAlign w:val="center"/>
          </w:tcPr>
          <w:p w14:paraId="20F274DF">
            <w:pPr>
              <w:autoSpaceDN w:val="0"/>
              <w:spacing w:line="240" w:lineRule="auto"/>
              <w:jc w:val="center"/>
              <w:textAlignment w:val="center"/>
              <w:rPr>
                <w:rFonts w:eastAsia="仿宋"/>
                <w:sz w:val="21"/>
                <w:szCs w:val="21"/>
              </w:rPr>
            </w:pPr>
            <w:r>
              <w:rPr>
                <w:rFonts w:eastAsia="仿宋"/>
                <w:sz w:val="21"/>
                <w:szCs w:val="21"/>
              </w:rPr>
              <w:t>胡  文</w:t>
            </w:r>
          </w:p>
        </w:tc>
        <w:tc>
          <w:tcPr>
            <w:tcW w:w="855" w:type="dxa"/>
            <w:noWrap/>
            <w:vAlign w:val="center"/>
          </w:tcPr>
          <w:p w14:paraId="37A0703C">
            <w:pPr>
              <w:autoSpaceDN w:val="0"/>
              <w:spacing w:line="240" w:lineRule="auto"/>
              <w:jc w:val="center"/>
              <w:textAlignment w:val="center"/>
              <w:rPr>
                <w:rFonts w:eastAsia="仿宋"/>
                <w:sz w:val="21"/>
                <w:szCs w:val="21"/>
              </w:rPr>
            </w:pPr>
            <w:r>
              <w:rPr>
                <w:rFonts w:eastAsia="仿宋"/>
                <w:sz w:val="21"/>
                <w:szCs w:val="21"/>
              </w:rPr>
              <w:t>男</w:t>
            </w:r>
          </w:p>
        </w:tc>
        <w:tc>
          <w:tcPr>
            <w:tcW w:w="2326" w:type="dxa"/>
            <w:noWrap/>
            <w:vAlign w:val="center"/>
          </w:tcPr>
          <w:p w14:paraId="34CCDB19">
            <w:pPr>
              <w:autoSpaceDN w:val="0"/>
              <w:spacing w:line="240" w:lineRule="auto"/>
              <w:jc w:val="center"/>
              <w:textAlignment w:val="center"/>
              <w:rPr>
                <w:rFonts w:eastAsia="仿宋"/>
                <w:sz w:val="21"/>
                <w:szCs w:val="21"/>
              </w:rPr>
            </w:pPr>
            <w:r>
              <w:rPr>
                <w:rFonts w:eastAsia="仿宋"/>
                <w:sz w:val="21"/>
                <w:szCs w:val="21"/>
              </w:rPr>
              <w:t>贵州楚天</w:t>
            </w:r>
            <w:r>
              <w:rPr>
                <w:rFonts w:hint="eastAsia" w:eastAsia="仿宋"/>
                <w:sz w:val="21"/>
                <w:szCs w:val="21"/>
              </w:rPr>
              <w:t>环保公司</w:t>
            </w:r>
          </w:p>
        </w:tc>
        <w:tc>
          <w:tcPr>
            <w:tcW w:w="1134" w:type="dxa"/>
            <w:noWrap/>
            <w:vAlign w:val="center"/>
          </w:tcPr>
          <w:p w14:paraId="3FCDFEC4">
            <w:pPr>
              <w:autoSpaceDN w:val="0"/>
              <w:spacing w:line="240" w:lineRule="auto"/>
              <w:jc w:val="center"/>
              <w:textAlignment w:val="center"/>
              <w:rPr>
                <w:rFonts w:eastAsia="仿宋"/>
                <w:sz w:val="21"/>
                <w:szCs w:val="21"/>
              </w:rPr>
            </w:pPr>
            <w:r>
              <w:rPr>
                <w:rFonts w:hint="eastAsia" w:eastAsia="仿宋"/>
                <w:sz w:val="21"/>
                <w:szCs w:val="21"/>
              </w:rPr>
              <w:t>废水治理</w:t>
            </w:r>
          </w:p>
        </w:tc>
        <w:tc>
          <w:tcPr>
            <w:tcW w:w="1418" w:type="dxa"/>
            <w:noWrap/>
            <w:vAlign w:val="center"/>
          </w:tcPr>
          <w:p w14:paraId="2F021565">
            <w:pPr>
              <w:autoSpaceDN w:val="0"/>
              <w:spacing w:line="240" w:lineRule="auto"/>
              <w:jc w:val="center"/>
              <w:textAlignment w:val="center"/>
              <w:rPr>
                <w:rFonts w:eastAsia="仿宋"/>
                <w:sz w:val="21"/>
                <w:szCs w:val="21"/>
              </w:rPr>
            </w:pPr>
            <w:r>
              <w:rPr>
                <w:rFonts w:hint="eastAsia" w:eastAsia="仿宋"/>
                <w:sz w:val="21"/>
                <w:szCs w:val="21"/>
              </w:rPr>
              <w:t>总经理</w:t>
            </w:r>
          </w:p>
        </w:tc>
      </w:tr>
      <w:tr w14:paraId="0F47E5A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73" w:hRule="atLeast"/>
          <w:jc w:val="center"/>
        </w:trPr>
        <w:tc>
          <w:tcPr>
            <w:tcW w:w="774" w:type="dxa"/>
            <w:noWrap/>
            <w:vAlign w:val="center"/>
          </w:tcPr>
          <w:p w14:paraId="4B3399D7">
            <w:pPr>
              <w:autoSpaceDN w:val="0"/>
              <w:spacing w:line="240" w:lineRule="auto"/>
              <w:jc w:val="center"/>
              <w:textAlignment w:val="center"/>
              <w:rPr>
                <w:rFonts w:eastAsia="仿宋"/>
                <w:bCs/>
                <w:spacing w:val="-6"/>
                <w:sz w:val="21"/>
                <w:szCs w:val="21"/>
              </w:rPr>
            </w:pPr>
            <w:r>
              <w:rPr>
                <w:rFonts w:eastAsia="仿宋"/>
                <w:sz w:val="21"/>
                <w:szCs w:val="21"/>
              </w:rPr>
              <w:t>5</w:t>
            </w:r>
          </w:p>
        </w:tc>
        <w:tc>
          <w:tcPr>
            <w:tcW w:w="930" w:type="dxa"/>
            <w:noWrap/>
            <w:vAlign w:val="center"/>
          </w:tcPr>
          <w:p w14:paraId="14BD707F">
            <w:pPr>
              <w:autoSpaceDN w:val="0"/>
              <w:spacing w:line="240" w:lineRule="auto"/>
              <w:jc w:val="center"/>
              <w:textAlignment w:val="center"/>
              <w:rPr>
                <w:rFonts w:eastAsia="仿宋"/>
                <w:kern w:val="0"/>
                <w:sz w:val="21"/>
                <w:szCs w:val="21"/>
              </w:rPr>
            </w:pPr>
            <w:r>
              <w:rPr>
                <w:rFonts w:eastAsia="仿宋"/>
                <w:bCs/>
                <w:spacing w:val="-6"/>
                <w:sz w:val="21"/>
                <w:szCs w:val="21"/>
              </w:rPr>
              <w:t>邓邦庆</w:t>
            </w:r>
          </w:p>
        </w:tc>
        <w:tc>
          <w:tcPr>
            <w:tcW w:w="855" w:type="dxa"/>
            <w:noWrap/>
            <w:vAlign w:val="center"/>
          </w:tcPr>
          <w:p w14:paraId="6F66C260">
            <w:pPr>
              <w:autoSpaceDN w:val="0"/>
              <w:spacing w:line="240" w:lineRule="auto"/>
              <w:jc w:val="center"/>
              <w:textAlignment w:val="center"/>
              <w:rPr>
                <w:rFonts w:eastAsia="仿宋"/>
                <w:kern w:val="0"/>
                <w:sz w:val="21"/>
                <w:szCs w:val="21"/>
              </w:rPr>
            </w:pPr>
            <w:r>
              <w:rPr>
                <w:rFonts w:eastAsia="仿宋"/>
                <w:bCs/>
                <w:spacing w:val="-6"/>
                <w:sz w:val="21"/>
                <w:szCs w:val="21"/>
              </w:rPr>
              <w:t>男</w:t>
            </w:r>
          </w:p>
        </w:tc>
        <w:tc>
          <w:tcPr>
            <w:tcW w:w="2326" w:type="dxa"/>
            <w:noWrap/>
            <w:vAlign w:val="center"/>
          </w:tcPr>
          <w:p w14:paraId="5AA91B5A">
            <w:pPr>
              <w:autoSpaceDN w:val="0"/>
              <w:spacing w:line="240" w:lineRule="auto"/>
              <w:jc w:val="center"/>
              <w:textAlignment w:val="center"/>
              <w:rPr>
                <w:rFonts w:eastAsia="仿宋"/>
                <w:kern w:val="0"/>
                <w:sz w:val="21"/>
                <w:szCs w:val="21"/>
              </w:rPr>
            </w:pPr>
            <w:r>
              <w:rPr>
                <w:rFonts w:hint="eastAsia" w:eastAsia="仿宋"/>
                <w:bCs/>
                <w:spacing w:val="-6"/>
                <w:sz w:val="21"/>
                <w:szCs w:val="21"/>
              </w:rPr>
              <w:t>中铝贵州分公司安环部</w:t>
            </w:r>
          </w:p>
        </w:tc>
        <w:tc>
          <w:tcPr>
            <w:tcW w:w="1134" w:type="dxa"/>
            <w:noWrap/>
            <w:vAlign w:val="center"/>
          </w:tcPr>
          <w:p w14:paraId="7F1C5D76">
            <w:pPr>
              <w:autoSpaceDN w:val="0"/>
              <w:spacing w:line="240" w:lineRule="auto"/>
              <w:jc w:val="center"/>
              <w:textAlignment w:val="center"/>
              <w:rPr>
                <w:rFonts w:eastAsia="仿宋"/>
                <w:kern w:val="0"/>
                <w:sz w:val="21"/>
                <w:szCs w:val="21"/>
              </w:rPr>
            </w:pPr>
            <w:r>
              <w:rPr>
                <w:rFonts w:eastAsia="仿宋"/>
                <w:bCs/>
                <w:spacing w:val="-6"/>
                <w:sz w:val="21"/>
                <w:szCs w:val="21"/>
              </w:rPr>
              <w:t>环境工程</w:t>
            </w:r>
          </w:p>
        </w:tc>
        <w:tc>
          <w:tcPr>
            <w:tcW w:w="1418" w:type="dxa"/>
            <w:noWrap/>
            <w:vAlign w:val="center"/>
          </w:tcPr>
          <w:p w14:paraId="38A9A452">
            <w:pPr>
              <w:autoSpaceDN w:val="0"/>
              <w:spacing w:line="240" w:lineRule="auto"/>
              <w:jc w:val="center"/>
              <w:textAlignment w:val="center"/>
              <w:rPr>
                <w:rFonts w:eastAsia="仿宋"/>
                <w:kern w:val="0"/>
                <w:sz w:val="21"/>
                <w:szCs w:val="21"/>
              </w:rPr>
            </w:pPr>
            <w:r>
              <w:rPr>
                <w:rFonts w:eastAsia="仿宋"/>
                <w:bCs/>
                <w:spacing w:val="-6"/>
                <w:sz w:val="21"/>
                <w:szCs w:val="21"/>
              </w:rPr>
              <w:t>教授级高工</w:t>
            </w:r>
          </w:p>
        </w:tc>
      </w:tr>
      <w:tr w14:paraId="4B6EAAA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73" w:hRule="atLeast"/>
          <w:jc w:val="center"/>
        </w:trPr>
        <w:tc>
          <w:tcPr>
            <w:tcW w:w="774" w:type="dxa"/>
            <w:noWrap/>
            <w:vAlign w:val="center"/>
          </w:tcPr>
          <w:p w14:paraId="78DCDFA7">
            <w:pPr>
              <w:autoSpaceDN w:val="0"/>
              <w:spacing w:line="240" w:lineRule="auto"/>
              <w:jc w:val="center"/>
              <w:textAlignment w:val="center"/>
              <w:rPr>
                <w:rFonts w:eastAsia="仿宋"/>
                <w:sz w:val="21"/>
                <w:szCs w:val="21"/>
              </w:rPr>
            </w:pPr>
            <w:r>
              <w:rPr>
                <w:rFonts w:eastAsia="仿宋"/>
                <w:sz w:val="21"/>
                <w:szCs w:val="21"/>
              </w:rPr>
              <w:t>6</w:t>
            </w:r>
          </w:p>
        </w:tc>
        <w:tc>
          <w:tcPr>
            <w:tcW w:w="930" w:type="dxa"/>
            <w:noWrap/>
            <w:vAlign w:val="center"/>
          </w:tcPr>
          <w:p w14:paraId="0505BCE2">
            <w:pPr>
              <w:autoSpaceDN w:val="0"/>
              <w:spacing w:line="240" w:lineRule="auto"/>
              <w:jc w:val="center"/>
              <w:textAlignment w:val="center"/>
              <w:rPr>
                <w:rFonts w:eastAsia="仿宋"/>
                <w:sz w:val="21"/>
                <w:szCs w:val="21"/>
              </w:rPr>
            </w:pPr>
            <w:r>
              <w:rPr>
                <w:rFonts w:eastAsia="仿宋"/>
                <w:sz w:val="21"/>
                <w:szCs w:val="21"/>
              </w:rPr>
              <w:t>张延林</w:t>
            </w:r>
          </w:p>
        </w:tc>
        <w:tc>
          <w:tcPr>
            <w:tcW w:w="855" w:type="dxa"/>
            <w:noWrap/>
            <w:vAlign w:val="center"/>
          </w:tcPr>
          <w:p w14:paraId="0B4C5CE9">
            <w:pPr>
              <w:autoSpaceDN w:val="0"/>
              <w:spacing w:line="240" w:lineRule="auto"/>
              <w:jc w:val="center"/>
              <w:textAlignment w:val="center"/>
              <w:rPr>
                <w:rFonts w:eastAsia="仿宋"/>
                <w:sz w:val="21"/>
                <w:szCs w:val="21"/>
              </w:rPr>
            </w:pPr>
            <w:r>
              <w:rPr>
                <w:rFonts w:eastAsia="仿宋"/>
                <w:sz w:val="21"/>
                <w:szCs w:val="21"/>
              </w:rPr>
              <w:t>男</w:t>
            </w:r>
          </w:p>
        </w:tc>
        <w:tc>
          <w:tcPr>
            <w:tcW w:w="2326" w:type="dxa"/>
            <w:noWrap/>
            <w:vAlign w:val="center"/>
          </w:tcPr>
          <w:p w14:paraId="3B5BE447">
            <w:pPr>
              <w:autoSpaceDN w:val="0"/>
              <w:spacing w:line="240" w:lineRule="auto"/>
              <w:jc w:val="center"/>
              <w:textAlignment w:val="center"/>
              <w:rPr>
                <w:rFonts w:eastAsia="仿宋"/>
                <w:sz w:val="21"/>
                <w:szCs w:val="21"/>
              </w:rPr>
            </w:pPr>
            <w:r>
              <w:rPr>
                <w:rFonts w:eastAsia="仿宋"/>
                <w:sz w:val="21"/>
                <w:szCs w:val="21"/>
              </w:rPr>
              <w:t>贵州省轻纺工业设计院</w:t>
            </w:r>
          </w:p>
        </w:tc>
        <w:tc>
          <w:tcPr>
            <w:tcW w:w="1134" w:type="dxa"/>
            <w:noWrap/>
            <w:vAlign w:val="center"/>
          </w:tcPr>
          <w:p w14:paraId="00CE05AC">
            <w:pPr>
              <w:autoSpaceDN w:val="0"/>
              <w:spacing w:line="240" w:lineRule="auto"/>
              <w:jc w:val="center"/>
              <w:textAlignment w:val="center"/>
              <w:rPr>
                <w:rFonts w:eastAsia="仿宋"/>
                <w:sz w:val="21"/>
                <w:szCs w:val="21"/>
              </w:rPr>
            </w:pPr>
            <w:r>
              <w:rPr>
                <w:rFonts w:hint="eastAsia" w:eastAsia="仿宋"/>
                <w:sz w:val="21"/>
                <w:szCs w:val="21"/>
              </w:rPr>
              <w:t>轻工</w:t>
            </w:r>
          </w:p>
        </w:tc>
        <w:tc>
          <w:tcPr>
            <w:tcW w:w="1418" w:type="dxa"/>
            <w:noWrap/>
            <w:vAlign w:val="center"/>
          </w:tcPr>
          <w:p w14:paraId="614C8712">
            <w:pPr>
              <w:autoSpaceDN w:val="0"/>
              <w:spacing w:line="240" w:lineRule="auto"/>
              <w:jc w:val="center"/>
              <w:textAlignment w:val="center"/>
              <w:rPr>
                <w:rFonts w:eastAsia="仿宋"/>
                <w:sz w:val="21"/>
                <w:szCs w:val="21"/>
              </w:rPr>
            </w:pPr>
            <w:r>
              <w:rPr>
                <w:rFonts w:eastAsia="仿宋"/>
                <w:bCs/>
                <w:spacing w:val="-6"/>
                <w:sz w:val="21"/>
                <w:szCs w:val="21"/>
              </w:rPr>
              <w:t>教授级高工</w:t>
            </w:r>
            <w:r>
              <w:rPr>
                <w:rFonts w:hint="eastAsia" w:eastAsia="仿宋"/>
                <w:bCs/>
                <w:spacing w:val="-6"/>
                <w:sz w:val="21"/>
                <w:szCs w:val="21"/>
              </w:rPr>
              <w:t>/</w:t>
            </w:r>
            <w:r>
              <w:rPr>
                <w:rFonts w:eastAsia="仿宋"/>
                <w:sz w:val="21"/>
                <w:szCs w:val="21"/>
              </w:rPr>
              <w:t>院长</w:t>
            </w:r>
          </w:p>
        </w:tc>
      </w:tr>
      <w:tr w14:paraId="6219518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73" w:hRule="atLeast"/>
          <w:jc w:val="center"/>
        </w:trPr>
        <w:tc>
          <w:tcPr>
            <w:tcW w:w="774" w:type="dxa"/>
            <w:noWrap/>
            <w:vAlign w:val="center"/>
          </w:tcPr>
          <w:p w14:paraId="1B780605">
            <w:pPr>
              <w:autoSpaceDN w:val="0"/>
              <w:spacing w:line="240" w:lineRule="auto"/>
              <w:jc w:val="center"/>
              <w:textAlignment w:val="center"/>
              <w:rPr>
                <w:rFonts w:eastAsia="仿宋"/>
                <w:sz w:val="21"/>
                <w:szCs w:val="21"/>
              </w:rPr>
            </w:pPr>
            <w:r>
              <w:rPr>
                <w:rFonts w:eastAsia="仿宋"/>
                <w:sz w:val="21"/>
                <w:szCs w:val="21"/>
              </w:rPr>
              <w:t>7</w:t>
            </w:r>
          </w:p>
        </w:tc>
        <w:tc>
          <w:tcPr>
            <w:tcW w:w="930" w:type="dxa"/>
            <w:noWrap/>
            <w:vAlign w:val="center"/>
          </w:tcPr>
          <w:p w14:paraId="49FC39B3">
            <w:pPr>
              <w:autoSpaceDN w:val="0"/>
              <w:spacing w:line="240" w:lineRule="auto"/>
              <w:jc w:val="center"/>
              <w:textAlignment w:val="center"/>
              <w:rPr>
                <w:rFonts w:eastAsia="仿宋"/>
                <w:sz w:val="21"/>
                <w:szCs w:val="21"/>
              </w:rPr>
            </w:pPr>
            <w:r>
              <w:rPr>
                <w:rFonts w:eastAsia="仿宋"/>
                <w:sz w:val="21"/>
                <w:szCs w:val="21"/>
              </w:rPr>
              <w:t>孙  萍</w:t>
            </w:r>
          </w:p>
        </w:tc>
        <w:tc>
          <w:tcPr>
            <w:tcW w:w="855" w:type="dxa"/>
            <w:noWrap/>
            <w:vAlign w:val="center"/>
          </w:tcPr>
          <w:p w14:paraId="7A444569">
            <w:pPr>
              <w:autoSpaceDN w:val="0"/>
              <w:spacing w:line="240" w:lineRule="auto"/>
              <w:jc w:val="center"/>
              <w:textAlignment w:val="center"/>
              <w:rPr>
                <w:rFonts w:eastAsia="仿宋"/>
                <w:sz w:val="21"/>
                <w:szCs w:val="21"/>
              </w:rPr>
            </w:pPr>
            <w:r>
              <w:rPr>
                <w:rFonts w:eastAsia="仿宋"/>
                <w:sz w:val="21"/>
                <w:szCs w:val="21"/>
              </w:rPr>
              <w:t>女</w:t>
            </w:r>
          </w:p>
        </w:tc>
        <w:tc>
          <w:tcPr>
            <w:tcW w:w="2326" w:type="dxa"/>
            <w:noWrap/>
            <w:vAlign w:val="center"/>
          </w:tcPr>
          <w:p w14:paraId="705FA141">
            <w:pPr>
              <w:autoSpaceDN w:val="0"/>
              <w:spacing w:line="240" w:lineRule="auto"/>
              <w:jc w:val="center"/>
              <w:textAlignment w:val="center"/>
              <w:rPr>
                <w:rFonts w:eastAsia="仿宋"/>
                <w:sz w:val="21"/>
                <w:szCs w:val="21"/>
              </w:rPr>
            </w:pPr>
            <w:r>
              <w:rPr>
                <w:rFonts w:eastAsia="仿宋"/>
                <w:sz w:val="21"/>
                <w:szCs w:val="21"/>
              </w:rPr>
              <w:t>贵阳铝镁设计研究院</w:t>
            </w:r>
          </w:p>
        </w:tc>
        <w:tc>
          <w:tcPr>
            <w:tcW w:w="1134" w:type="dxa"/>
            <w:noWrap/>
            <w:vAlign w:val="center"/>
          </w:tcPr>
          <w:p w14:paraId="06D3CA5F">
            <w:pPr>
              <w:autoSpaceDN w:val="0"/>
              <w:spacing w:line="240" w:lineRule="auto"/>
              <w:jc w:val="center"/>
              <w:textAlignment w:val="center"/>
              <w:rPr>
                <w:rFonts w:eastAsia="仿宋"/>
                <w:sz w:val="21"/>
                <w:szCs w:val="21"/>
              </w:rPr>
            </w:pPr>
            <w:r>
              <w:rPr>
                <w:rFonts w:eastAsia="仿宋"/>
                <w:sz w:val="21"/>
                <w:szCs w:val="21"/>
              </w:rPr>
              <w:t>环境工程</w:t>
            </w:r>
          </w:p>
        </w:tc>
        <w:tc>
          <w:tcPr>
            <w:tcW w:w="1418" w:type="dxa"/>
            <w:noWrap/>
            <w:vAlign w:val="center"/>
          </w:tcPr>
          <w:p w14:paraId="01810DA9">
            <w:pPr>
              <w:autoSpaceDN w:val="0"/>
              <w:spacing w:line="240" w:lineRule="auto"/>
              <w:jc w:val="center"/>
              <w:textAlignment w:val="center"/>
              <w:rPr>
                <w:rFonts w:eastAsia="仿宋"/>
                <w:sz w:val="21"/>
                <w:szCs w:val="21"/>
              </w:rPr>
            </w:pPr>
            <w:r>
              <w:rPr>
                <w:rFonts w:eastAsia="仿宋"/>
                <w:sz w:val="21"/>
                <w:szCs w:val="21"/>
              </w:rPr>
              <w:t>主任工程师</w:t>
            </w:r>
          </w:p>
        </w:tc>
      </w:tr>
      <w:tr w14:paraId="34B6DDC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73" w:hRule="atLeast"/>
          <w:jc w:val="center"/>
        </w:trPr>
        <w:tc>
          <w:tcPr>
            <w:tcW w:w="774" w:type="dxa"/>
            <w:noWrap/>
            <w:vAlign w:val="center"/>
          </w:tcPr>
          <w:p w14:paraId="14C92E28">
            <w:pPr>
              <w:autoSpaceDN w:val="0"/>
              <w:spacing w:line="240" w:lineRule="auto"/>
              <w:jc w:val="center"/>
              <w:textAlignment w:val="center"/>
              <w:rPr>
                <w:rFonts w:eastAsia="仿宋"/>
                <w:sz w:val="21"/>
                <w:szCs w:val="21"/>
              </w:rPr>
            </w:pPr>
            <w:r>
              <w:rPr>
                <w:rFonts w:eastAsia="仿宋"/>
                <w:sz w:val="21"/>
                <w:szCs w:val="21"/>
              </w:rPr>
              <w:t>8</w:t>
            </w:r>
          </w:p>
        </w:tc>
        <w:tc>
          <w:tcPr>
            <w:tcW w:w="930" w:type="dxa"/>
            <w:noWrap/>
            <w:vAlign w:val="center"/>
          </w:tcPr>
          <w:p w14:paraId="6274F223">
            <w:pPr>
              <w:autoSpaceDN w:val="0"/>
              <w:spacing w:line="240" w:lineRule="auto"/>
              <w:jc w:val="center"/>
              <w:textAlignment w:val="center"/>
              <w:rPr>
                <w:rFonts w:eastAsia="仿宋"/>
                <w:sz w:val="21"/>
                <w:szCs w:val="21"/>
              </w:rPr>
            </w:pPr>
            <w:r>
              <w:rPr>
                <w:rFonts w:eastAsia="仿宋"/>
                <w:sz w:val="21"/>
                <w:szCs w:val="21"/>
              </w:rPr>
              <w:t>邵  冰</w:t>
            </w:r>
          </w:p>
        </w:tc>
        <w:tc>
          <w:tcPr>
            <w:tcW w:w="855" w:type="dxa"/>
            <w:noWrap/>
            <w:vAlign w:val="center"/>
          </w:tcPr>
          <w:p w14:paraId="230A8DC2">
            <w:pPr>
              <w:autoSpaceDN w:val="0"/>
              <w:spacing w:line="240" w:lineRule="auto"/>
              <w:jc w:val="center"/>
              <w:textAlignment w:val="center"/>
              <w:rPr>
                <w:rFonts w:eastAsia="仿宋"/>
                <w:sz w:val="21"/>
                <w:szCs w:val="21"/>
              </w:rPr>
            </w:pPr>
            <w:r>
              <w:rPr>
                <w:rFonts w:eastAsia="仿宋"/>
                <w:sz w:val="21"/>
                <w:szCs w:val="21"/>
              </w:rPr>
              <w:t>男</w:t>
            </w:r>
          </w:p>
        </w:tc>
        <w:tc>
          <w:tcPr>
            <w:tcW w:w="2326" w:type="dxa"/>
            <w:noWrap/>
            <w:vAlign w:val="center"/>
          </w:tcPr>
          <w:p w14:paraId="68925F27">
            <w:pPr>
              <w:autoSpaceDN w:val="0"/>
              <w:spacing w:line="240" w:lineRule="auto"/>
              <w:jc w:val="center"/>
              <w:textAlignment w:val="center"/>
              <w:rPr>
                <w:rFonts w:eastAsia="仿宋"/>
                <w:sz w:val="21"/>
                <w:szCs w:val="21"/>
              </w:rPr>
            </w:pPr>
            <w:r>
              <w:rPr>
                <w:rFonts w:eastAsia="仿宋"/>
                <w:sz w:val="21"/>
                <w:szCs w:val="21"/>
              </w:rPr>
              <w:t>贵州省化工</w:t>
            </w:r>
            <w:r>
              <w:rPr>
                <w:rFonts w:hint="eastAsia" w:eastAsia="仿宋"/>
                <w:sz w:val="21"/>
                <w:szCs w:val="21"/>
              </w:rPr>
              <w:t>研究</w:t>
            </w:r>
            <w:r>
              <w:rPr>
                <w:rFonts w:eastAsia="仿宋"/>
                <w:sz w:val="21"/>
                <w:szCs w:val="21"/>
              </w:rPr>
              <w:t>院</w:t>
            </w:r>
          </w:p>
        </w:tc>
        <w:tc>
          <w:tcPr>
            <w:tcW w:w="1134" w:type="dxa"/>
            <w:noWrap/>
            <w:vAlign w:val="center"/>
          </w:tcPr>
          <w:p w14:paraId="46A06837">
            <w:pPr>
              <w:autoSpaceDN w:val="0"/>
              <w:spacing w:line="240" w:lineRule="auto"/>
              <w:jc w:val="center"/>
              <w:textAlignment w:val="center"/>
              <w:rPr>
                <w:rFonts w:eastAsia="仿宋"/>
                <w:sz w:val="21"/>
                <w:szCs w:val="21"/>
              </w:rPr>
            </w:pPr>
            <w:r>
              <w:rPr>
                <w:rFonts w:hint="eastAsia" w:eastAsia="仿宋"/>
                <w:sz w:val="21"/>
                <w:szCs w:val="21"/>
              </w:rPr>
              <w:t>环境应急</w:t>
            </w:r>
          </w:p>
        </w:tc>
        <w:tc>
          <w:tcPr>
            <w:tcW w:w="1418" w:type="dxa"/>
            <w:noWrap/>
            <w:vAlign w:val="center"/>
          </w:tcPr>
          <w:p w14:paraId="5F3DD0E6">
            <w:pPr>
              <w:autoSpaceDN w:val="0"/>
              <w:spacing w:line="240" w:lineRule="auto"/>
              <w:jc w:val="center"/>
              <w:textAlignment w:val="center"/>
              <w:rPr>
                <w:rFonts w:eastAsia="仿宋"/>
                <w:sz w:val="21"/>
                <w:szCs w:val="21"/>
              </w:rPr>
            </w:pPr>
            <w:r>
              <w:rPr>
                <w:rFonts w:eastAsia="仿宋"/>
                <w:sz w:val="21"/>
                <w:szCs w:val="21"/>
              </w:rPr>
              <w:t>副总工程师</w:t>
            </w:r>
          </w:p>
        </w:tc>
      </w:tr>
      <w:tr w14:paraId="7D530D2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786" w:hRule="atLeast"/>
          <w:jc w:val="center"/>
        </w:trPr>
        <w:tc>
          <w:tcPr>
            <w:tcW w:w="774" w:type="dxa"/>
            <w:noWrap/>
            <w:vAlign w:val="center"/>
          </w:tcPr>
          <w:p w14:paraId="1C6DE7CD">
            <w:pPr>
              <w:autoSpaceDN w:val="0"/>
              <w:spacing w:line="240" w:lineRule="auto"/>
              <w:jc w:val="center"/>
              <w:textAlignment w:val="center"/>
              <w:rPr>
                <w:rFonts w:eastAsia="仿宋"/>
                <w:sz w:val="21"/>
                <w:szCs w:val="21"/>
              </w:rPr>
            </w:pPr>
            <w:r>
              <w:rPr>
                <w:rFonts w:eastAsia="仿宋"/>
                <w:sz w:val="21"/>
                <w:szCs w:val="21"/>
              </w:rPr>
              <w:t>9</w:t>
            </w:r>
          </w:p>
        </w:tc>
        <w:tc>
          <w:tcPr>
            <w:tcW w:w="930" w:type="dxa"/>
            <w:noWrap/>
            <w:vAlign w:val="center"/>
          </w:tcPr>
          <w:p w14:paraId="30EB80A8">
            <w:pPr>
              <w:autoSpaceDN w:val="0"/>
              <w:spacing w:line="240" w:lineRule="auto"/>
              <w:jc w:val="center"/>
              <w:textAlignment w:val="center"/>
              <w:rPr>
                <w:rFonts w:eastAsia="仿宋"/>
                <w:sz w:val="21"/>
                <w:szCs w:val="21"/>
              </w:rPr>
            </w:pPr>
            <w:r>
              <w:rPr>
                <w:rFonts w:eastAsia="仿宋"/>
                <w:sz w:val="21"/>
                <w:szCs w:val="21"/>
              </w:rPr>
              <w:t>胡  军</w:t>
            </w:r>
          </w:p>
        </w:tc>
        <w:tc>
          <w:tcPr>
            <w:tcW w:w="855" w:type="dxa"/>
            <w:noWrap/>
            <w:vAlign w:val="center"/>
          </w:tcPr>
          <w:p w14:paraId="5BC91267">
            <w:pPr>
              <w:autoSpaceDN w:val="0"/>
              <w:spacing w:line="240" w:lineRule="auto"/>
              <w:jc w:val="center"/>
              <w:textAlignment w:val="center"/>
              <w:rPr>
                <w:rFonts w:eastAsia="仿宋"/>
                <w:sz w:val="21"/>
                <w:szCs w:val="21"/>
              </w:rPr>
            </w:pPr>
            <w:r>
              <w:rPr>
                <w:rFonts w:eastAsia="仿宋"/>
                <w:sz w:val="21"/>
                <w:szCs w:val="21"/>
              </w:rPr>
              <w:t>男</w:t>
            </w:r>
          </w:p>
        </w:tc>
        <w:tc>
          <w:tcPr>
            <w:tcW w:w="2326" w:type="dxa"/>
            <w:noWrap/>
            <w:vAlign w:val="center"/>
          </w:tcPr>
          <w:p w14:paraId="41865A27">
            <w:pPr>
              <w:autoSpaceDN w:val="0"/>
              <w:spacing w:line="240" w:lineRule="auto"/>
              <w:jc w:val="center"/>
              <w:textAlignment w:val="center"/>
              <w:rPr>
                <w:rFonts w:eastAsia="仿宋"/>
                <w:sz w:val="21"/>
                <w:szCs w:val="21"/>
              </w:rPr>
            </w:pPr>
            <w:r>
              <w:rPr>
                <w:rFonts w:eastAsia="仿宋"/>
                <w:sz w:val="21"/>
                <w:szCs w:val="21"/>
              </w:rPr>
              <w:t>贵州省环境</w:t>
            </w:r>
            <w:r>
              <w:rPr>
                <w:rFonts w:hint="eastAsia" w:eastAsia="仿宋"/>
                <w:sz w:val="21"/>
                <w:szCs w:val="21"/>
              </w:rPr>
              <w:t>保护国际合作中心</w:t>
            </w:r>
          </w:p>
        </w:tc>
        <w:tc>
          <w:tcPr>
            <w:tcW w:w="1134" w:type="dxa"/>
            <w:noWrap/>
            <w:vAlign w:val="center"/>
          </w:tcPr>
          <w:p w14:paraId="102904EC">
            <w:pPr>
              <w:autoSpaceDN w:val="0"/>
              <w:spacing w:line="240" w:lineRule="auto"/>
              <w:jc w:val="center"/>
              <w:textAlignment w:val="center"/>
              <w:rPr>
                <w:rFonts w:eastAsia="仿宋"/>
                <w:sz w:val="21"/>
                <w:szCs w:val="21"/>
              </w:rPr>
            </w:pPr>
            <w:r>
              <w:rPr>
                <w:rFonts w:hint="eastAsia" w:eastAsia="仿宋"/>
                <w:sz w:val="21"/>
                <w:szCs w:val="21"/>
              </w:rPr>
              <w:t>有机化工</w:t>
            </w:r>
          </w:p>
        </w:tc>
        <w:tc>
          <w:tcPr>
            <w:tcW w:w="1418" w:type="dxa"/>
            <w:noWrap/>
            <w:vAlign w:val="center"/>
          </w:tcPr>
          <w:p w14:paraId="1CFC459F">
            <w:pPr>
              <w:autoSpaceDN w:val="0"/>
              <w:spacing w:line="240" w:lineRule="auto"/>
              <w:jc w:val="center"/>
              <w:textAlignment w:val="center"/>
              <w:rPr>
                <w:rFonts w:eastAsia="仿宋"/>
                <w:sz w:val="21"/>
                <w:szCs w:val="21"/>
              </w:rPr>
            </w:pPr>
            <w:r>
              <w:rPr>
                <w:rFonts w:hint="eastAsia" w:eastAsia="仿宋"/>
                <w:sz w:val="21"/>
                <w:szCs w:val="21"/>
              </w:rPr>
              <w:t>研究员</w:t>
            </w:r>
          </w:p>
        </w:tc>
      </w:tr>
      <w:tr w14:paraId="21870B1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73" w:hRule="atLeast"/>
          <w:jc w:val="center"/>
        </w:trPr>
        <w:tc>
          <w:tcPr>
            <w:tcW w:w="774" w:type="dxa"/>
            <w:noWrap/>
            <w:vAlign w:val="center"/>
          </w:tcPr>
          <w:p w14:paraId="14A5C4B4">
            <w:pPr>
              <w:autoSpaceDN w:val="0"/>
              <w:spacing w:line="240" w:lineRule="auto"/>
              <w:jc w:val="center"/>
              <w:textAlignment w:val="center"/>
              <w:rPr>
                <w:rFonts w:eastAsia="仿宋"/>
                <w:sz w:val="21"/>
                <w:szCs w:val="21"/>
              </w:rPr>
            </w:pPr>
            <w:r>
              <w:rPr>
                <w:rFonts w:eastAsia="仿宋"/>
                <w:sz w:val="21"/>
                <w:szCs w:val="21"/>
              </w:rPr>
              <w:t>10</w:t>
            </w:r>
          </w:p>
        </w:tc>
        <w:tc>
          <w:tcPr>
            <w:tcW w:w="930" w:type="dxa"/>
            <w:noWrap/>
            <w:vAlign w:val="center"/>
          </w:tcPr>
          <w:p w14:paraId="44880FF2">
            <w:pPr>
              <w:autoSpaceDN w:val="0"/>
              <w:spacing w:line="240" w:lineRule="auto"/>
              <w:jc w:val="center"/>
              <w:textAlignment w:val="center"/>
              <w:rPr>
                <w:rFonts w:eastAsia="仿宋"/>
                <w:sz w:val="21"/>
                <w:szCs w:val="21"/>
              </w:rPr>
            </w:pPr>
            <w:r>
              <w:rPr>
                <w:rFonts w:hint="eastAsia" w:eastAsia="仿宋"/>
                <w:sz w:val="21"/>
                <w:szCs w:val="21"/>
              </w:rPr>
              <w:t>李桂贤</w:t>
            </w:r>
          </w:p>
        </w:tc>
        <w:tc>
          <w:tcPr>
            <w:tcW w:w="855" w:type="dxa"/>
            <w:noWrap/>
            <w:vAlign w:val="center"/>
          </w:tcPr>
          <w:p w14:paraId="3751EC40">
            <w:pPr>
              <w:autoSpaceDN w:val="0"/>
              <w:spacing w:line="240" w:lineRule="auto"/>
              <w:jc w:val="center"/>
              <w:textAlignment w:val="center"/>
              <w:rPr>
                <w:rFonts w:eastAsia="仿宋"/>
                <w:sz w:val="21"/>
                <w:szCs w:val="21"/>
              </w:rPr>
            </w:pPr>
            <w:r>
              <w:rPr>
                <w:rFonts w:eastAsia="仿宋"/>
                <w:sz w:val="21"/>
                <w:szCs w:val="21"/>
              </w:rPr>
              <w:t>女</w:t>
            </w:r>
          </w:p>
        </w:tc>
        <w:tc>
          <w:tcPr>
            <w:tcW w:w="2326" w:type="dxa"/>
            <w:noWrap/>
            <w:vAlign w:val="center"/>
          </w:tcPr>
          <w:p w14:paraId="35F337DE">
            <w:pPr>
              <w:autoSpaceDN w:val="0"/>
              <w:spacing w:line="240" w:lineRule="auto"/>
              <w:jc w:val="center"/>
              <w:textAlignment w:val="center"/>
              <w:rPr>
                <w:rFonts w:eastAsia="仿宋"/>
                <w:sz w:val="21"/>
                <w:szCs w:val="21"/>
              </w:rPr>
            </w:pPr>
            <w:r>
              <w:rPr>
                <w:rFonts w:eastAsia="仿宋"/>
                <w:sz w:val="21"/>
                <w:szCs w:val="21"/>
              </w:rPr>
              <w:t>贵州</w:t>
            </w:r>
            <w:r>
              <w:rPr>
                <w:rFonts w:hint="eastAsia" w:eastAsia="仿宋"/>
                <w:sz w:val="21"/>
                <w:szCs w:val="21"/>
              </w:rPr>
              <w:t>理工学院资源与环境工程学院</w:t>
            </w:r>
          </w:p>
        </w:tc>
        <w:tc>
          <w:tcPr>
            <w:tcW w:w="1134" w:type="dxa"/>
            <w:noWrap/>
            <w:vAlign w:val="center"/>
          </w:tcPr>
          <w:p w14:paraId="562CDA25">
            <w:pPr>
              <w:autoSpaceDN w:val="0"/>
              <w:spacing w:line="240" w:lineRule="auto"/>
              <w:jc w:val="center"/>
              <w:textAlignment w:val="center"/>
              <w:rPr>
                <w:rFonts w:eastAsia="仿宋"/>
                <w:sz w:val="21"/>
                <w:szCs w:val="21"/>
              </w:rPr>
            </w:pPr>
            <w:r>
              <w:rPr>
                <w:rFonts w:eastAsia="仿宋"/>
                <w:sz w:val="21"/>
                <w:szCs w:val="21"/>
              </w:rPr>
              <w:t>环境工程</w:t>
            </w:r>
          </w:p>
        </w:tc>
        <w:tc>
          <w:tcPr>
            <w:tcW w:w="1418" w:type="dxa"/>
            <w:noWrap/>
            <w:vAlign w:val="center"/>
          </w:tcPr>
          <w:p w14:paraId="67074428">
            <w:pPr>
              <w:autoSpaceDN w:val="0"/>
              <w:spacing w:line="240" w:lineRule="auto"/>
              <w:jc w:val="center"/>
              <w:textAlignment w:val="center"/>
              <w:rPr>
                <w:rFonts w:eastAsia="仿宋"/>
                <w:sz w:val="21"/>
                <w:szCs w:val="21"/>
              </w:rPr>
            </w:pPr>
            <w:r>
              <w:rPr>
                <w:rFonts w:hint="eastAsia" w:eastAsia="仿宋"/>
                <w:sz w:val="21"/>
                <w:szCs w:val="21"/>
              </w:rPr>
              <w:t>教授/副院长</w:t>
            </w:r>
          </w:p>
        </w:tc>
      </w:tr>
      <w:tr w14:paraId="082B479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73" w:hRule="atLeast"/>
          <w:jc w:val="center"/>
        </w:trPr>
        <w:tc>
          <w:tcPr>
            <w:tcW w:w="774" w:type="dxa"/>
            <w:noWrap/>
            <w:vAlign w:val="center"/>
          </w:tcPr>
          <w:p w14:paraId="4EA8EB2F">
            <w:pPr>
              <w:autoSpaceDN w:val="0"/>
              <w:spacing w:line="240" w:lineRule="auto"/>
              <w:jc w:val="center"/>
              <w:textAlignment w:val="center"/>
              <w:rPr>
                <w:rFonts w:eastAsia="仿宋"/>
                <w:sz w:val="21"/>
                <w:szCs w:val="21"/>
              </w:rPr>
            </w:pPr>
            <w:r>
              <w:rPr>
                <w:rFonts w:eastAsia="仿宋"/>
                <w:sz w:val="21"/>
                <w:szCs w:val="21"/>
              </w:rPr>
              <w:t>11</w:t>
            </w:r>
          </w:p>
        </w:tc>
        <w:tc>
          <w:tcPr>
            <w:tcW w:w="930" w:type="dxa"/>
            <w:noWrap/>
            <w:vAlign w:val="center"/>
          </w:tcPr>
          <w:p w14:paraId="717B7E66">
            <w:pPr>
              <w:autoSpaceDN w:val="0"/>
              <w:spacing w:line="240" w:lineRule="auto"/>
              <w:jc w:val="center"/>
              <w:textAlignment w:val="center"/>
              <w:rPr>
                <w:rFonts w:eastAsia="仿宋"/>
                <w:sz w:val="21"/>
                <w:szCs w:val="21"/>
              </w:rPr>
            </w:pPr>
            <w:r>
              <w:rPr>
                <w:rFonts w:hint="eastAsia" w:eastAsia="仿宋"/>
                <w:sz w:val="21"/>
                <w:szCs w:val="21"/>
              </w:rPr>
              <w:t>李金娟</w:t>
            </w:r>
          </w:p>
        </w:tc>
        <w:tc>
          <w:tcPr>
            <w:tcW w:w="855" w:type="dxa"/>
            <w:noWrap/>
            <w:vAlign w:val="center"/>
          </w:tcPr>
          <w:p w14:paraId="28B5D3EF">
            <w:pPr>
              <w:autoSpaceDN w:val="0"/>
              <w:spacing w:line="240" w:lineRule="auto"/>
              <w:jc w:val="center"/>
              <w:textAlignment w:val="center"/>
              <w:rPr>
                <w:rFonts w:eastAsia="仿宋"/>
                <w:sz w:val="21"/>
                <w:szCs w:val="21"/>
              </w:rPr>
            </w:pPr>
            <w:r>
              <w:rPr>
                <w:rFonts w:hint="eastAsia" w:eastAsia="仿宋"/>
                <w:sz w:val="21"/>
                <w:szCs w:val="21"/>
              </w:rPr>
              <w:t>女</w:t>
            </w:r>
          </w:p>
        </w:tc>
        <w:tc>
          <w:tcPr>
            <w:tcW w:w="2326" w:type="dxa"/>
            <w:noWrap/>
            <w:vAlign w:val="center"/>
          </w:tcPr>
          <w:p w14:paraId="4DC8F12F">
            <w:pPr>
              <w:autoSpaceDN w:val="0"/>
              <w:spacing w:line="240" w:lineRule="auto"/>
              <w:jc w:val="center"/>
              <w:textAlignment w:val="center"/>
              <w:rPr>
                <w:rFonts w:eastAsia="仿宋"/>
                <w:sz w:val="21"/>
                <w:szCs w:val="21"/>
              </w:rPr>
            </w:pPr>
            <w:r>
              <w:rPr>
                <w:rFonts w:eastAsia="仿宋"/>
                <w:sz w:val="21"/>
                <w:szCs w:val="21"/>
              </w:rPr>
              <w:t>贵州</w:t>
            </w:r>
            <w:r>
              <w:rPr>
                <w:rFonts w:hint="eastAsia" w:eastAsia="仿宋"/>
                <w:sz w:val="21"/>
                <w:szCs w:val="21"/>
              </w:rPr>
              <w:t>大学资源与环境工程学院</w:t>
            </w:r>
          </w:p>
        </w:tc>
        <w:tc>
          <w:tcPr>
            <w:tcW w:w="1134" w:type="dxa"/>
            <w:noWrap/>
            <w:vAlign w:val="center"/>
          </w:tcPr>
          <w:p w14:paraId="2EF3CFE8">
            <w:pPr>
              <w:autoSpaceDN w:val="0"/>
              <w:spacing w:line="240" w:lineRule="auto"/>
              <w:jc w:val="center"/>
              <w:textAlignment w:val="center"/>
              <w:rPr>
                <w:rFonts w:eastAsia="仿宋"/>
                <w:sz w:val="21"/>
                <w:szCs w:val="21"/>
              </w:rPr>
            </w:pPr>
            <w:r>
              <w:rPr>
                <w:rFonts w:eastAsia="仿宋"/>
                <w:sz w:val="21"/>
                <w:szCs w:val="21"/>
              </w:rPr>
              <w:t>环境工程</w:t>
            </w:r>
          </w:p>
        </w:tc>
        <w:tc>
          <w:tcPr>
            <w:tcW w:w="1418" w:type="dxa"/>
            <w:noWrap/>
            <w:vAlign w:val="center"/>
          </w:tcPr>
          <w:p w14:paraId="6D535DCA">
            <w:pPr>
              <w:autoSpaceDN w:val="0"/>
              <w:spacing w:line="240" w:lineRule="auto"/>
              <w:jc w:val="center"/>
              <w:textAlignment w:val="center"/>
              <w:rPr>
                <w:rFonts w:eastAsia="仿宋"/>
                <w:sz w:val="21"/>
                <w:szCs w:val="21"/>
              </w:rPr>
            </w:pPr>
            <w:r>
              <w:rPr>
                <w:rFonts w:hint="eastAsia" w:eastAsia="仿宋"/>
                <w:sz w:val="21"/>
                <w:szCs w:val="21"/>
              </w:rPr>
              <w:t>教授</w:t>
            </w:r>
          </w:p>
        </w:tc>
      </w:tr>
      <w:tr w14:paraId="544DABF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73" w:hRule="atLeast"/>
          <w:jc w:val="center"/>
        </w:trPr>
        <w:tc>
          <w:tcPr>
            <w:tcW w:w="774" w:type="dxa"/>
            <w:noWrap/>
            <w:vAlign w:val="center"/>
          </w:tcPr>
          <w:p w14:paraId="1D9EDBF1">
            <w:pPr>
              <w:autoSpaceDN w:val="0"/>
              <w:spacing w:line="240" w:lineRule="auto"/>
              <w:jc w:val="center"/>
              <w:textAlignment w:val="center"/>
              <w:rPr>
                <w:rFonts w:eastAsia="仿宋"/>
                <w:sz w:val="21"/>
                <w:szCs w:val="21"/>
              </w:rPr>
            </w:pPr>
            <w:r>
              <w:rPr>
                <w:rFonts w:hint="eastAsia" w:eastAsia="仿宋"/>
                <w:sz w:val="21"/>
                <w:szCs w:val="21"/>
              </w:rPr>
              <w:t>1</w:t>
            </w:r>
            <w:r>
              <w:rPr>
                <w:rFonts w:eastAsia="仿宋"/>
                <w:sz w:val="21"/>
                <w:szCs w:val="21"/>
              </w:rPr>
              <w:t>2</w:t>
            </w:r>
          </w:p>
        </w:tc>
        <w:tc>
          <w:tcPr>
            <w:tcW w:w="930" w:type="dxa"/>
            <w:noWrap/>
            <w:vAlign w:val="center"/>
          </w:tcPr>
          <w:p w14:paraId="32914AA5">
            <w:pPr>
              <w:autoSpaceDN w:val="0"/>
              <w:spacing w:line="240" w:lineRule="auto"/>
              <w:jc w:val="center"/>
              <w:textAlignment w:val="center"/>
              <w:rPr>
                <w:rFonts w:eastAsia="仿宋"/>
                <w:sz w:val="21"/>
                <w:szCs w:val="21"/>
              </w:rPr>
            </w:pPr>
            <w:r>
              <w:rPr>
                <w:rFonts w:hint="eastAsia" w:eastAsia="仿宋"/>
                <w:sz w:val="21"/>
                <w:szCs w:val="21"/>
              </w:rPr>
              <w:t xml:space="preserve">李 </w:t>
            </w:r>
            <w:r>
              <w:rPr>
                <w:rFonts w:eastAsia="仿宋"/>
                <w:sz w:val="21"/>
                <w:szCs w:val="21"/>
              </w:rPr>
              <w:t xml:space="preserve"> </w:t>
            </w:r>
            <w:r>
              <w:rPr>
                <w:rFonts w:hint="eastAsia" w:eastAsia="仿宋"/>
                <w:sz w:val="21"/>
                <w:szCs w:val="21"/>
              </w:rPr>
              <w:t>敏</w:t>
            </w:r>
          </w:p>
        </w:tc>
        <w:tc>
          <w:tcPr>
            <w:tcW w:w="855" w:type="dxa"/>
            <w:noWrap/>
            <w:vAlign w:val="center"/>
          </w:tcPr>
          <w:p w14:paraId="08264904">
            <w:pPr>
              <w:autoSpaceDN w:val="0"/>
              <w:spacing w:line="240" w:lineRule="auto"/>
              <w:jc w:val="center"/>
              <w:textAlignment w:val="center"/>
              <w:rPr>
                <w:rFonts w:eastAsia="仿宋"/>
                <w:sz w:val="21"/>
                <w:szCs w:val="21"/>
              </w:rPr>
            </w:pPr>
            <w:r>
              <w:rPr>
                <w:rFonts w:hint="eastAsia" w:eastAsia="仿宋"/>
                <w:sz w:val="21"/>
                <w:szCs w:val="21"/>
              </w:rPr>
              <w:t>女</w:t>
            </w:r>
          </w:p>
        </w:tc>
        <w:tc>
          <w:tcPr>
            <w:tcW w:w="2326" w:type="dxa"/>
            <w:noWrap/>
            <w:vAlign w:val="center"/>
          </w:tcPr>
          <w:p w14:paraId="43A7FDA3">
            <w:pPr>
              <w:autoSpaceDN w:val="0"/>
              <w:spacing w:line="240" w:lineRule="auto"/>
              <w:jc w:val="center"/>
              <w:textAlignment w:val="center"/>
              <w:rPr>
                <w:rFonts w:eastAsia="仿宋"/>
                <w:sz w:val="21"/>
                <w:szCs w:val="21"/>
              </w:rPr>
            </w:pPr>
            <w:r>
              <w:rPr>
                <w:rFonts w:hint="eastAsia" w:eastAsia="仿宋"/>
                <w:sz w:val="21"/>
                <w:szCs w:val="21"/>
              </w:rPr>
              <w:t>贵州省环科院</w:t>
            </w:r>
          </w:p>
        </w:tc>
        <w:tc>
          <w:tcPr>
            <w:tcW w:w="1134" w:type="dxa"/>
            <w:noWrap/>
            <w:vAlign w:val="center"/>
          </w:tcPr>
          <w:p w14:paraId="3064F77D">
            <w:pPr>
              <w:autoSpaceDN w:val="0"/>
              <w:spacing w:line="240" w:lineRule="auto"/>
              <w:jc w:val="center"/>
              <w:textAlignment w:val="center"/>
              <w:rPr>
                <w:rFonts w:eastAsia="仿宋"/>
                <w:sz w:val="21"/>
                <w:szCs w:val="21"/>
              </w:rPr>
            </w:pPr>
            <w:r>
              <w:rPr>
                <w:rFonts w:hint="eastAsia" w:eastAsia="仿宋"/>
                <w:sz w:val="21"/>
                <w:szCs w:val="21"/>
              </w:rPr>
              <w:t>环境科学</w:t>
            </w:r>
          </w:p>
        </w:tc>
        <w:tc>
          <w:tcPr>
            <w:tcW w:w="1418" w:type="dxa"/>
            <w:noWrap/>
            <w:vAlign w:val="center"/>
          </w:tcPr>
          <w:p w14:paraId="08F46163">
            <w:pPr>
              <w:autoSpaceDN w:val="0"/>
              <w:spacing w:line="240" w:lineRule="auto"/>
              <w:jc w:val="center"/>
              <w:textAlignment w:val="center"/>
              <w:rPr>
                <w:rFonts w:eastAsia="仿宋"/>
                <w:sz w:val="21"/>
                <w:szCs w:val="21"/>
              </w:rPr>
            </w:pPr>
            <w:r>
              <w:rPr>
                <w:rFonts w:hint="eastAsia" w:eastAsia="仿宋"/>
                <w:sz w:val="21"/>
                <w:szCs w:val="21"/>
              </w:rPr>
              <w:t>高级工程师</w:t>
            </w:r>
          </w:p>
        </w:tc>
      </w:tr>
      <w:tr w14:paraId="29C73CB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73" w:hRule="atLeast"/>
          <w:jc w:val="center"/>
        </w:trPr>
        <w:tc>
          <w:tcPr>
            <w:tcW w:w="774" w:type="dxa"/>
            <w:noWrap/>
            <w:vAlign w:val="center"/>
          </w:tcPr>
          <w:p w14:paraId="51798B86">
            <w:pPr>
              <w:autoSpaceDN w:val="0"/>
              <w:spacing w:line="240" w:lineRule="auto"/>
              <w:jc w:val="center"/>
              <w:textAlignment w:val="center"/>
              <w:rPr>
                <w:rFonts w:eastAsia="仿宋"/>
                <w:sz w:val="21"/>
                <w:szCs w:val="21"/>
              </w:rPr>
            </w:pPr>
            <w:r>
              <w:rPr>
                <w:rFonts w:hint="eastAsia" w:eastAsia="仿宋"/>
                <w:sz w:val="21"/>
                <w:szCs w:val="21"/>
              </w:rPr>
              <w:t>1</w:t>
            </w:r>
            <w:r>
              <w:rPr>
                <w:rFonts w:eastAsia="仿宋"/>
                <w:sz w:val="21"/>
                <w:szCs w:val="21"/>
              </w:rPr>
              <w:t>3</w:t>
            </w:r>
          </w:p>
        </w:tc>
        <w:tc>
          <w:tcPr>
            <w:tcW w:w="930" w:type="dxa"/>
            <w:noWrap/>
            <w:vAlign w:val="center"/>
          </w:tcPr>
          <w:p w14:paraId="69D33034">
            <w:pPr>
              <w:autoSpaceDN w:val="0"/>
              <w:spacing w:line="240" w:lineRule="auto"/>
              <w:jc w:val="center"/>
              <w:textAlignment w:val="center"/>
              <w:rPr>
                <w:rFonts w:eastAsia="仿宋"/>
                <w:sz w:val="21"/>
                <w:szCs w:val="21"/>
              </w:rPr>
            </w:pPr>
            <w:r>
              <w:rPr>
                <w:rFonts w:hint="eastAsia" w:eastAsia="仿宋"/>
                <w:sz w:val="21"/>
                <w:szCs w:val="21"/>
              </w:rPr>
              <w:t xml:space="preserve">夏 </w:t>
            </w:r>
            <w:r>
              <w:rPr>
                <w:rFonts w:eastAsia="仿宋"/>
                <w:sz w:val="21"/>
                <w:szCs w:val="21"/>
              </w:rPr>
              <w:t xml:space="preserve"> </w:t>
            </w:r>
            <w:r>
              <w:rPr>
                <w:rFonts w:hint="eastAsia" w:eastAsia="仿宋"/>
                <w:sz w:val="21"/>
                <w:szCs w:val="21"/>
              </w:rPr>
              <w:t>豪</w:t>
            </w:r>
          </w:p>
        </w:tc>
        <w:tc>
          <w:tcPr>
            <w:tcW w:w="855" w:type="dxa"/>
            <w:noWrap/>
            <w:vAlign w:val="center"/>
          </w:tcPr>
          <w:p w14:paraId="45E9F9E4">
            <w:pPr>
              <w:autoSpaceDN w:val="0"/>
              <w:spacing w:line="240" w:lineRule="auto"/>
              <w:jc w:val="center"/>
              <w:textAlignment w:val="center"/>
              <w:rPr>
                <w:rFonts w:eastAsia="仿宋"/>
                <w:sz w:val="21"/>
                <w:szCs w:val="21"/>
              </w:rPr>
            </w:pPr>
            <w:r>
              <w:rPr>
                <w:rFonts w:hint="eastAsia" w:eastAsia="仿宋"/>
                <w:sz w:val="21"/>
                <w:szCs w:val="21"/>
              </w:rPr>
              <w:t>男</w:t>
            </w:r>
          </w:p>
        </w:tc>
        <w:tc>
          <w:tcPr>
            <w:tcW w:w="2326" w:type="dxa"/>
            <w:noWrap/>
            <w:vAlign w:val="center"/>
          </w:tcPr>
          <w:p w14:paraId="300B6262">
            <w:pPr>
              <w:autoSpaceDN w:val="0"/>
              <w:spacing w:line="240" w:lineRule="auto"/>
              <w:jc w:val="center"/>
              <w:textAlignment w:val="center"/>
              <w:rPr>
                <w:rFonts w:eastAsia="仿宋"/>
                <w:sz w:val="21"/>
                <w:szCs w:val="21"/>
              </w:rPr>
            </w:pPr>
            <w:r>
              <w:rPr>
                <w:rFonts w:hint="eastAsia" w:eastAsia="仿宋"/>
                <w:sz w:val="21"/>
                <w:szCs w:val="21"/>
              </w:rPr>
              <w:t>中国电建贵阳勘测设计研究院有限公司</w:t>
            </w:r>
          </w:p>
        </w:tc>
        <w:tc>
          <w:tcPr>
            <w:tcW w:w="1134" w:type="dxa"/>
            <w:noWrap/>
            <w:vAlign w:val="center"/>
          </w:tcPr>
          <w:p w14:paraId="290566A8">
            <w:pPr>
              <w:autoSpaceDN w:val="0"/>
              <w:spacing w:line="240" w:lineRule="auto"/>
              <w:jc w:val="center"/>
              <w:textAlignment w:val="center"/>
              <w:rPr>
                <w:rFonts w:eastAsia="仿宋"/>
                <w:sz w:val="21"/>
                <w:szCs w:val="21"/>
              </w:rPr>
            </w:pPr>
            <w:r>
              <w:rPr>
                <w:rFonts w:hint="eastAsia" w:eastAsia="仿宋"/>
                <w:sz w:val="21"/>
                <w:szCs w:val="21"/>
              </w:rPr>
              <w:t>水环境保护</w:t>
            </w:r>
          </w:p>
        </w:tc>
        <w:tc>
          <w:tcPr>
            <w:tcW w:w="1418" w:type="dxa"/>
            <w:noWrap/>
            <w:vAlign w:val="center"/>
          </w:tcPr>
          <w:p w14:paraId="3810C88D">
            <w:pPr>
              <w:autoSpaceDN w:val="0"/>
              <w:spacing w:line="240" w:lineRule="auto"/>
              <w:jc w:val="center"/>
              <w:textAlignment w:val="center"/>
              <w:rPr>
                <w:rFonts w:eastAsia="仿宋"/>
                <w:sz w:val="21"/>
                <w:szCs w:val="21"/>
              </w:rPr>
            </w:pPr>
            <w:r>
              <w:rPr>
                <w:rFonts w:hint="eastAsia" w:eastAsia="仿宋"/>
                <w:sz w:val="21"/>
                <w:szCs w:val="21"/>
              </w:rPr>
              <w:t>高级工程师</w:t>
            </w:r>
          </w:p>
        </w:tc>
      </w:tr>
      <w:tr w14:paraId="4E74605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73" w:hRule="atLeast"/>
          <w:jc w:val="center"/>
        </w:trPr>
        <w:tc>
          <w:tcPr>
            <w:tcW w:w="774" w:type="dxa"/>
            <w:noWrap/>
            <w:vAlign w:val="center"/>
          </w:tcPr>
          <w:p w14:paraId="1BB4BBE2">
            <w:pPr>
              <w:autoSpaceDN w:val="0"/>
              <w:spacing w:line="240" w:lineRule="auto"/>
              <w:jc w:val="center"/>
              <w:textAlignment w:val="center"/>
              <w:rPr>
                <w:rFonts w:eastAsia="仿宋"/>
                <w:sz w:val="21"/>
                <w:szCs w:val="21"/>
              </w:rPr>
            </w:pPr>
            <w:r>
              <w:rPr>
                <w:rFonts w:hint="eastAsia" w:eastAsia="仿宋"/>
                <w:sz w:val="21"/>
                <w:szCs w:val="21"/>
              </w:rPr>
              <w:t>1</w:t>
            </w:r>
            <w:r>
              <w:rPr>
                <w:rFonts w:eastAsia="仿宋"/>
                <w:sz w:val="21"/>
                <w:szCs w:val="21"/>
              </w:rPr>
              <w:t>4</w:t>
            </w:r>
          </w:p>
        </w:tc>
        <w:tc>
          <w:tcPr>
            <w:tcW w:w="930" w:type="dxa"/>
            <w:noWrap/>
            <w:vAlign w:val="center"/>
          </w:tcPr>
          <w:p w14:paraId="56045254">
            <w:pPr>
              <w:autoSpaceDN w:val="0"/>
              <w:spacing w:line="240" w:lineRule="auto"/>
              <w:jc w:val="center"/>
              <w:textAlignment w:val="center"/>
              <w:rPr>
                <w:rFonts w:eastAsia="仿宋"/>
                <w:sz w:val="21"/>
                <w:szCs w:val="21"/>
              </w:rPr>
            </w:pPr>
            <w:r>
              <w:rPr>
                <w:rFonts w:hint="eastAsia" w:eastAsia="仿宋"/>
                <w:sz w:val="21"/>
                <w:szCs w:val="21"/>
              </w:rPr>
              <w:t>袁海宁</w:t>
            </w:r>
          </w:p>
        </w:tc>
        <w:tc>
          <w:tcPr>
            <w:tcW w:w="855" w:type="dxa"/>
            <w:noWrap/>
            <w:vAlign w:val="center"/>
          </w:tcPr>
          <w:p w14:paraId="2686ACD7">
            <w:pPr>
              <w:autoSpaceDN w:val="0"/>
              <w:spacing w:line="240" w:lineRule="auto"/>
              <w:jc w:val="center"/>
              <w:textAlignment w:val="center"/>
              <w:rPr>
                <w:rFonts w:eastAsia="仿宋"/>
                <w:sz w:val="21"/>
                <w:szCs w:val="21"/>
              </w:rPr>
            </w:pPr>
            <w:r>
              <w:rPr>
                <w:rFonts w:hint="eastAsia" w:eastAsia="仿宋"/>
                <w:sz w:val="21"/>
                <w:szCs w:val="21"/>
              </w:rPr>
              <w:t>男</w:t>
            </w:r>
          </w:p>
        </w:tc>
        <w:tc>
          <w:tcPr>
            <w:tcW w:w="2326" w:type="dxa"/>
            <w:noWrap/>
            <w:vAlign w:val="center"/>
          </w:tcPr>
          <w:p w14:paraId="750DCFD7">
            <w:pPr>
              <w:autoSpaceDN w:val="0"/>
              <w:spacing w:line="240" w:lineRule="auto"/>
              <w:jc w:val="center"/>
              <w:textAlignment w:val="center"/>
              <w:rPr>
                <w:rFonts w:eastAsia="仿宋"/>
                <w:sz w:val="21"/>
                <w:szCs w:val="21"/>
              </w:rPr>
            </w:pPr>
            <w:r>
              <w:rPr>
                <w:rFonts w:hint="eastAsia" w:eastAsia="仿宋"/>
                <w:sz w:val="21"/>
                <w:szCs w:val="21"/>
              </w:rPr>
              <w:t>中石化贵州石油分公司安全处</w:t>
            </w:r>
          </w:p>
        </w:tc>
        <w:tc>
          <w:tcPr>
            <w:tcW w:w="1134" w:type="dxa"/>
            <w:noWrap/>
            <w:vAlign w:val="center"/>
          </w:tcPr>
          <w:p w14:paraId="612B7E90">
            <w:pPr>
              <w:autoSpaceDN w:val="0"/>
              <w:spacing w:line="240" w:lineRule="auto"/>
              <w:jc w:val="center"/>
              <w:textAlignment w:val="center"/>
              <w:rPr>
                <w:rFonts w:eastAsia="仿宋"/>
                <w:sz w:val="21"/>
                <w:szCs w:val="21"/>
              </w:rPr>
            </w:pPr>
            <w:r>
              <w:rPr>
                <w:rFonts w:hint="eastAsia" w:eastAsia="仿宋"/>
                <w:sz w:val="21"/>
                <w:szCs w:val="21"/>
              </w:rPr>
              <w:t>环保/应急/安全</w:t>
            </w:r>
          </w:p>
        </w:tc>
        <w:tc>
          <w:tcPr>
            <w:tcW w:w="1418" w:type="dxa"/>
            <w:noWrap/>
            <w:vAlign w:val="center"/>
          </w:tcPr>
          <w:p w14:paraId="1BE5B584">
            <w:pPr>
              <w:autoSpaceDN w:val="0"/>
              <w:spacing w:line="240" w:lineRule="auto"/>
              <w:jc w:val="center"/>
              <w:textAlignment w:val="center"/>
              <w:rPr>
                <w:rFonts w:eastAsia="仿宋"/>
                <w:sz w:val="21"/>
                <w:szCs w:val="21"/>
              </w:rPr>
            </w:pPr>
            <w:r>
              <w:rPr>
                <w:rFonts w:hint="eastAsia" w:eastAsia="仿宋"/>
                <w:sz w:val="21"/>
                <w:szCs w:val="21"/>
              </w:rPr>
              <w:t>注册安全工程师</w:t>
            </w:r>
          </w:p>
        </w:tc>
      </w:tr>
      <w:tr w14:paraId="7D0D7A5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73" w:hRule="atLeast"/>
          <w:jc w:val="center"/>
        </w:trPr>
        <w:tc>
          <w:tcPr>
            <w:tcW w:w="774" w:type="dxa"/>
            <w:noWrap/>
            <w:vAlign w:val="center"/>
          </w:tcPr>
          <w:p w14:paraId="09091D49">
            <w:pPr>
              <w:autoSpaceDN w:val="0"/>
              <w:spacing w:line="240" w:lineRule="auto"/>
              <w:jc w:val="center"/>
              <w:textAlignment w:val="center"/>
              <w:rPr>
                <w:rFonts w:eastAsia="仿宋"/>
                <w:sz w:val="21"/>
                <w:szCs w:val="21"/>
              </w:rPr>
            </w:pPr>
            <w:r>
              <w:rPr>
                <w:rFonts w:hint="eastAsia" w:eastAsia="仿宋"/>
                <w:sz w:val="21"/>
                <w:szCs w:val="21"/>
              </w:rPr>
              <w:t>1</w:t>
            </w:r>
            <w:r>
              <w:rPr>
                <w:rFonts w:eastAsia="仿宋"/>
                <w:sz w:val="21"/>
                <w:szCs w:val="21"/>
              </w:rPr>
              <w:t>5</w:t>
            </w:r>
          </w:p>
        </w:tc>
        <w:tc>
          <w:tcPr>
            <w:tcW w:w="930" w:type="dxa"/>
            <w:noWrap/>
            <w:vAlign w:val="center"/>
          </w:tcPr>
          <w:p w14:paraId="06F141F2">
            <w:pPr>
              <w:autoSpaceDN w:val="0"/>
              <w:spacing w:line="240" w:lineRule="auto"/>
              <w:jc w:val="center"/>
              <w:textAlignment w:val="center"/>
              <w:rPr>
                <w:rFonts w:eastAsia="仿宋"/>
                <w:sz w:val="21"/>
                <w:szCs w:val="21"/>
              </w:rPr>
            </w:pPr>
            <w:r>
              <w:rPr>
                <w:rFonts w:hint="eastAsia" w:eastAsia="仿宋"/>
                <w:sz w:val="21"/>
                <w:szCs w:val="21"/>
              </w:rPr>
              <w:t xml:space="preserve">曹 </w:t>
            </w:r>
            <w:r>
              <w:rPr>
                <w:rFonts w:eastAsia="仿宋"/>
                <w:sz w:val="21"/>
                <w:szCs w:val="21"/>
              </w:rPr>
              <w:t xml:space="preserve"> </w:t>
            </w:r>
            <w:r>
              <w:rPr>
                <w:rFonts w:hint="eastAsia" w:eastAsia="仿宋"/>
                <w:sz w:val="21"/>
                <w:szCs w:val="21"/>
              </w:rPr>
              <w:t>阳</w:t>
            </w:r>
          </w:p>
        </w:tc>
        <w:tc>
          <w:tcPr>
            <w:tcW w:w="855" w:type="dxa"/>
            <w:noWrap/>
            <w:vAlign w:val="center"/>
          </w:tcPr>
          <w:p w14:paraId="3906F036">
            <w:pPr>
              <w:autoSpaceDN w:val="0"/>
              <w:spacing w:line="240" w:lineRule="auto"/>
              <w:jc w:val="center"/>
              <w:textAlignment w:val="center"/>
              <w:rPr>
                <w:rFonts w:eastAsia="仿宋"/>
                <w:sz w:val="21"/>
                <w:szCs w:val="21"/>
              </w:rPr>
            </w:pPr>
            <w:r>
              <w:rPr>
                <w:rFonts w:hint="eastAsia" w:eastAsia="仿宋"/>
                <w:sz w:val="21"/>
                <w:szCs w:val="21"/>
              </w:rPr>
              <w:t>女</w:t>
            </w:r>
          </w:p>
        </w:tc>
        <w:tc>
          <w:tcPr>
            <w:tcW w:w="2326" w:type="dxa"/>
            <w:noWrap/>
            <w:vAlign w:val="center"/>
          </w:tcPr>
          <w:p w14:paraId="376004DA">
            <w:pPr>
              <w:autoSpaceDN w:val="0"/>
              <w:spacing w:line="240" w:lineRule="auto"/>
              <w:jc w:val="center"/>
              <w:textAlignment w:val="center"/>
              <w:rPr>
                <w:rFonts w:eastAsia="仿宋"/>
                <w:sz w:val="21"/>
                <w:szCs w:val="21"/>
              </w:rPr>
            </w:pPr>
            <w:r>
              <w:rPr>
                <w:rFonts w:hint="eastAsia" w:eastAsia="仿宋"/>
                <w:sz w:val="21"/>
                <w:szCs w:val="21"/>
              </w:rPr>
              <w:t>贵州大学化学工程学院</w:t>
            </w:r>
          </w:p>
        </w:tc>
        <w:tc>
          <w:tcPr>
            <w:tcW w:w="1134" w:type="dxa"/>
            <w:noWrap/>
            <w:vAlign w:val="center"/>
          </w:tcPr>
          <w:p w14:paraId="47915CFA">
            <w:pPr>
              <w:autoSpaceDN w:val="0"/>
              <w:spacing w:line="240" w:lineRule="auto"/>
              <w:jc w:val="center"/>
              <w:textAlignment w:val="center"/>
              <w:rPr>
                <w:rFonts w:eastAsia="仿宋"/>
                <w:sz w:val="21"/>
                <w:szCs w:val="21"/>
              </w:rPr>
            </w:pPr>
            <w:r>
              <w:rPr>
                <w:rFonts w:hint="eastAsia" w:eastAsia="仿宋"/>
                <w:sz w:val="21"/>
                <w:szCs w:val="21"/>
              </w:rPr>
              <w:t>化学工程</w:t>
            </w:r>
          </w:p>
        </w:tc>
        <w:tc>
          <w:tcPr>
            <w:tcW w:w="1418" w:type="dxa"/>
            <w:noWrap/>
            <w:vAlign w:val="center"/>
          </w:tcPr>
          <w:p w14:paraId="141ED8C9">
            <w:pPr>
              <w:autoSpaceDN w:val="0"/>
              <w:spacing w:line="240" w:lineRule="auto"/>
              <w:jc w:val="center"/>
              <w:textAlignment w:val="center"/>
              <w:rPr>
                <w:rFonts w:eastAsia="仿宋"/>
                <w:sz w:val="21"/>
                <w:szCs w:val="21"/>
              </w:rPr>
            </w:pPr>
            <w:r>
              <w:rPr>
                <w:rFonts w:hint="eastAsia" w:eastAsia="仿宋"/>
                <w:sz w:val="21"/>
                <w:szCs w:val="21"/>
              </w:rPr>
              <w:t>副教授/主任</w:t>
            </w:r>
          </w:p>
        </w:tc>
      </w:tr>
    </w:tbl>
    <w:p w14:paraId="3F2A7BA7">
      <w:pPr>
        <w:widowControl/>
        <w:spacing w:line="240" w:lineRule="auto"/>
        <w:jc w:val="left"/>
        <w:rPr>
          <w:rFonts w:eastAsia="仿宋"/>
          <w:sz w:val="21"/>
          <w:szCs w:val="21"/>
        </w:rPr>
      </w:pPr>
    </w:p>
    <w:p w14:paraId="268B23EC">
      <w:pPr>
        <w:pStyle w:val="4"/>
        <w:spacing w:before="120" w:after="120"/>
        <w:rPr>
          <w:rFonts w:eastAsia="仿宋"/>
          <w:sz w:val="28"/>
        </w:rPr>
      </w:pPr>
      <w:r>
        <w:rPr>
          <w:rFonts w:eastAsia="仿宋"/>
          <w:sz w:val="28"/>
        </w:rPr>
        <w:t>3.2.1 指挥部职责</w:t>
      </w:r>
    </w:p>
    <w:p w14:paraId="1FB12C62">
      <w:pPr>
        <w:autoSpaceDE w:val="0"/>
        <w:autoSpaceDN w:val="0"/>
        <w:adjustRightInd w:val="0"/>
        <w:rPr>
          <w:rFonts w:eastAsia="仿宋"/>
          <w:sz w:val="28"/>
          <w:szCs w:val="28"/>
        </w:rPr>
      </w:pPr>
      <w:r>
        <w:rPr>
          <w:rFonts w:eastAsia="仿宋"/>
          <w:sz w:val="28"/>
          <w:szCs w:val="28"/>
        </w:rPr>
        <w:t>（1）日常职责</w:t>
      </w:r>
    </w:p>
    <w:p w14:paraId="454739FD">
      <w:pPr>
        <w:autoSpaceDE w:val="0"/>
        <w:autoSpaceDN w:val="0"/>
        <w:adjustRightInd w:val="0"/>
        <w:ind w:firstLine="560" w:firstLineChars="200"/>
        <w:rPr>
          <w:rFonts w:eastAsia="仿宋"/>
          <w:sz w:val="28"/>
          <w:szCs w:val="28"/>
        </w:rPr>
      </w:pPr>
      <w:r>
        <w:rPr>
          <w:rFonts w:hint="eastAsia" w:ascii="宋体" w:hAnsi="宋体" w:cs="宋体"/>
          <w:sz w:val="28"/>
          <w:szCs w:val="28"/>
        </w:rPr>
        <w:t>①</w:t>
      </w:r>
      <w:r>
        <w:rPr>
          <w:rFonts w:eastAsia="仿宋"/>
          <w:sz w:val="28"/>
          <w:szCs w:val="28"/>
        </w:rPr>
        <w:t>贯彻执行国家、地方人民政府及有关部门关于水源地突发环境事件的各项要求；</w:t>
      </w:r>
    </w:p>
    <w:p w14:paraId="2CA50465">
      <w:pPr>
        <w:autoSpaceDE w:val="0"/>
        <w:autoSpaceDN w:val="0"/>
        <w:adjustRightInd w:val="0"/>
        <w:ind w:firstLine="560" w:firstLineChars="200"/>
        <w:rPr>
          <w:rFonts w:eastAsia="仿宋"/>
          <w:sz w:val="28"/>
          <w:szCs w:val="28"/>
        </w:rPr>
      </w:pPr>
      <w:r>
        <w:rPr>
          <w:rFonts w:hint="eastAsia" w:ascii="宋体" w:hAnsi="宋体" w:cs="宋体"/>
          <w:sz w:val="28"/>
          <w:szCs w:val="28"/>
        </w:rPr>
        <w:t>②</w:t>
      </w:r>
      <w:r>
        <w:rPr>
          <w:rFonts w:eastAsia="仿宋"/>
          <w:sz w:val="28"/>
          <w:szCs w:val="28"/>
        </w:rPr>
        <w:t>组织编制、修订和批准水源地应急预案；</w:t>
      </w:r>
    </w:p>
    <w:p w14:paraId="6312F564">
      <w:pPr>
        <w:autoSpaceDE w:val="0"/>
        <w:autoSpaceDN w:val="0"/>
        <w:adjustRightInd w:val="0"/>
        <w:ind w:firstLine="560" w:firstLineChars="200"/>
        <w:rPr>
          <w:rFonts w:eastAsia="仿宋"/>
          <w:sz w:val="28"/>
          <w:szCs w:val="28"/>
        </w:rPr>
      </w:pPr>
      <w:r>
        <w:rPr>
          <w:rFonts w:hint="eastAsia" w:ascii="宋体" w:hAnsi="宋体" w:cs="宋体"/>
          <w:sz w:val="28"/>
          <w:szCs w:val="28"/>
        </w:rPr>
        <w:t>③</w:t>
      </w:r>
      <w:r>
        <w:rPr>
          <w:rFonts w:eastAsia="仿宋"/>
          <w:sz w:val="28"/>
          <w:szCs w:val="28"/>
        </w:rPr>
        <w:t>指导加强水源地突发环境事件应急管理体系建设；</w:t>
      </w:r>
    </w:p>
    <w:p w14:paraId="22C23EF8">
      <w:pPr>
        <w:autoSpaceDE w:val="0"/>
        <w:autoSpaceDN w:val="0"/>
        <w:adjustRightInd w:val="0"/>
        <w:ind w:firstLine="560" w:firstLineChars="200"/>
        <w:rPr>
          <w:rFonts w:eastAsia="仿宋"/>
          <w:sz w:val="28"/>
          <w:szCs w:val="28"/>
        </w:rPr>
      </w:pPr>
      <w:r>
        <w:rPr>
          <w:rFonts w:hint="eastAsia" w:ascii="宋体" w:hAnsi="宋体" w:cs="宋体"/>
          <w:sz w:val="28"/>
          <w:szCs w:val="28"/>
        </w:rPr>
        <w:t>④</w:t>
      </w:r>
      <w:r>
        <w:rPr>
          <w:rFonts w:eastAsia="仿宋"/>
          <w:sz w:val="28"/>
          <w:szCs w:val="28"/>
        </w:rPr>
        <w:t>协调保障水源地突发环境事件应急管理工作经费。</w:t>
      </w:r>
    </w:p>
    <w:p w14:paraId="37533580">
      <w:pPr>
        <w:autoSpaceDE w:val="0"/>
        <w:autoSpaceDN w:val="0"/>
        <w:adjustRightInd w:val="0"/>
        <w:rPr>
          <w:rFonts w:eastAsia="仿宋"/>
          <w:sz w:val="28"/>
          <w:szCs w:val="28"/>
        </w:rPr>
      </w:pPr>
      <w:r>
        <w:rPr>
          <w:rFonts w:eastAsia="仿宋"/>
          <w:sz w:val="28"/>
          <w:szCs w:val="28"/>
        </w:rPr>
        <w:t>（2）应急职责</w:t>
      </w:r>
    </w:p>
    <w:p w14:paraId="37C5E900">
      <w:pPr>
        <w:autoSpaceDE w:val="0"/>
        <w:autoSpaceDN w:val="0"/>
        <w:adjustRightInd w:val="0"/>
        <w:ind w:firstLine="560" w:firstLineChars="200"/>
        <w:rPr>
          <w:rFonts w:eastAsia="仿宋"/>
          <w:sz w:val="28"/>
          <w:szCs w:val="28"/>
        </w:rPr>
      </w:pPr>
      <w:r>
        <w:rPr>
          <w:rFonts w:hint="eastAsia" w:ascii="宋体" w:hAnsi="宋体" w:cs="宋体"/>
          <w:sz w:val="28"/>
          <w:szCs w:val="28"/>
        </w:rPr>
        <w:t>①</w:t>
      </w:r>
      <w:r>
        <w:rPr>
          <w:rFonts w:eastAsia="仿宋"/>
          <w:sz w:val="28"/>
          <w:szCs w:val="28"/>
        </w:rPr>
        <w:t>发生水源地突发环境事件时，亲自（或委托副指挥长）赶赴现场进行指挥，组织开展现场应急处置；</w:t>
      </w:r>
    </w:p>
    <w:p w14:paraId="6A7ECB05">
      <w:pPr>
        <w:autoSpaceDE w:val="0"/>
        <w:autoSpaceDN w:val="0"/>
        <w:adjustRightInd w:val="0"/>
        <w:ind w:firstLine="560" w:firstLineChars="200"/>
        <w:rPr>
          <w:rFonts w:eastAsia="仿宋"/>
          <w:sz w:val="28"/>
          <w:szCs w:val="28"/>
        </w:rPr>
      </w:pPr>
      <w:r>
        <w:rPr>
          <w:rFonts w:hint="eastAsia" w:ascii="宋体" w:hAnsi="宋体" w:cs="宋体"/>
          <w:sz w:val="28"/>
          <w:szCs w:val="28"/>
        </w:rPr>
        <w:t>②</w:t>
      </w:r>
      <w:r>
        <w:rPr>
          <w:rFonts w:eastAsia="仿宋"/>
          <w:sz w:val="28"/>
          <w:szCs w:val="28"/>
        </w:rPr>
        <w:t>贯彻执行当地或上级人民政府及有关部门的应急指令；</w:t>
      </w:r>
    </w:p>
    <w:p w14:paraId="41A52849">
      <w:pPr>
        <w:autoSpaceDE w:val="0"/>
        <w:autoSpaceDN w:val="0"/>
        <w:adjustRightInd w:val="0"/>
        <w:ind w:firstLine="560" w:firstLineChars="200"/>
        <w:rPr>
          <w:rFonts w:eastAsia="仿宋"/>
          <w:sz w:val="28"/>
          <w:szCs w:val="28"/>
        </w:rPr>
      </w:pPr>
      <w:r>
        <w:rPr>
          <w:rFonts w:hint="eastAsia" w:ascii="宋体" w:hAnsi="宋体" w:cs="宋体"/>
          <w:sz w:val="28"/>
          <w:szCs w:val="28"/>
        </w:rPr>
        <w:t>③</w:t>
      </w:r>
      <w:r>
        <w:rPr>
          <w:rFonts w:eastAsia="仿宋"/>
          <w:sz w:val="28"/>
          <w:szCs w:val="28"/>
        </w:rPr>
        <w:t>按照预警、应急启动或终止条件，决定预案的启动或终止；</w:t>
      </w:r>
    </w:p>
    <w:p w14:paraId="5790112B">
      <w:pPr>
        <w:autoSpaceDE w:val="0"/>
        <w:autoSpaceDN w:val="0"/>
        <w:adjustRightInd w:val="0"/>
        <w:ind w:firstLine="560" w:firstLineChars="200"/>
        <w:rPr>
          <w:rFonts w:eastAsia="仿宋"/>
          <w:sz w:val="28"/>
          <w:szCs w:val="28"/>
        </w:rPr>
      </w:pPr>
      <w:r>
        <w:rPr>
          <w:rFonts w:hint="eastAsia" w:ascii="宋体" w:hAnsi="宋体" w:cs="宋体"/>
          <w:sz w:val="28"/>
          <w:szCs w:val="28"/>
        </w:rPr>
        <w:t>④</w:t>
      </w:r>
      <w:r>
        <w:rPr>
          <w:rFonts w:eastAsia="仿宋"/>
          <w:sz w:val="28"/>
          <w:szCs w:val="28"/>
        </w:rPr>
        <w:t>研判突发环境事件发展态势，组织制定并批准现场处置方案；</w:t>
      </w:r>
    </w:p>
    <w:p w14:paraId="4CC13B6E">
      <w:pPr>
        <w:autoSpaceDE w:val="0"/>
        <w:autoSpaceDN w:val="0"/>
        <w:adjustRightInd w:val="0"/>
        <w:ind w:firstLine="560" w:firstLineChars="200"/>
        <w:rPr>
          <w:rFonts w:eastAsia="仿宋"/>
          <w:sz w:val="28"/>
          <w:szCs w:val="28"/>
        </w:rPr>
      </w:pPr>
      <w:r>
        <w:rPr>
          <w:rFonts w:hint="eastAsia" w:ascii="宋体" w:hAnsi="宋体" w:cs="宋体"/>
          <w:sz w:val="28"/>
          <w:szCs w:val="28"/>
        </w:rPr>
        <w:t>⑤</w:t>
      </w:r>
      <w:r>
        <w:rPr>
          <w:rFonts w:eastAsia="仿宋"/>
          <w:sz w:val="28"/>
          <w:szCs w:val="28"/>
        </w:rPr>
        <w:t>组织开展损害评估等后期工作。</w:t>
      </w:r>
    </w:p>
    <w:p w14:paraId="61DEAE79">
      <w:pPr>
        <w:pStyle w:val="4"/>
        <w:spacing w:before="120" w:after="120"/>
        <w:rPr>
          <w:rFonts w:eastAsia="仿宋"/>
          <w:sz w:val="28"/>
        </w:rPr>
      </w:pPr>
      <w:r>
        <w:rPr>
          <w:rFonts w:eastAsia="仿宋"/>
          <w:sz w:val="28"/>
        </w:rPr>
        <w:t>3.2.2 应急办公室职责</w:t>
      </w:r>
    </w:p>
    <w:p w14:paraId="3A5492BC">
      <w:pPr>
        <w:autoSpaceDE w:val="0"/>
        <w:autoSpaceDN w:val="0"/>
        <w:adjustRightInd w:val="0"/>
        <w:ind w:firstLine="560" w:firstLineChars="200"/>
        <w:rPr>
          <w:rFonts w:eastAsia="仿宋"/>
          <w:sz w:val="28"/>
          <w:szCs w:val="28"/>
        </w:rPr>
      </w:pPr>
      <w:r>
        <w:rPr>
          <w:rFonts w:eastAsia="仿宋"/>
          <w:sz w:val="28"/>
          <w:szCs w:val="28"/>
        </w:rPr>
        <w:t>（1）日常职责</w:t>
      </w:r>
    </w:p>
    <w:p w14:paraId="266654BE">
      <w:pPr>
        <w:autoSpaceDE w:val="0"/>
        <w:autoSpaceDN w:val="0"/>
        <w:adjustRightInd w:val="0"/>
        <w:ind w:firstLine="560" w:firstLineChars="200"/>
        <w:rPr>
          <w:rFonts w:eastAsia="仿宋"/>
          <w:sz w:val="28"/>
          <w:szCs w:val="28"/>
        </w:rPr>
      </w:pPr>
      <w:r>
        <w:rPr>
          <w:rFonts w:hint="eastAsia" w:ascii="宋体" w:hAnsi="宋体" w:cs="宋体"/>
          <w:sz w:val="28"/>
          <w:szCs w:val="28"/>
        </w:rPr>
        <w:t>①</w:t>
      </w:r>
      <w:r>
        <w:rPr>
          <w:rFonts w:eastAsia="仿宋"/>
          <w:sz w:val="28"/>
          <w:szCs w:val="28"/>
        </w:rPr>
        <w:t>组织编制、修订水源地应急预案；</w:t>
      </w:r>
    </w:p>
    <w:p w14:paraId="09A9311D">
      <w:pPr>
        <w:autoSpaceDE w:val="0"/>
        <w:autoSpaceDN w:val="0"/>
        <w:adjustRightInd w:val="0"/>
        <w:ind w:firstLine="560" w:firstLineChars="200"/>
        <w:rPr>
          <w:rFonts w:eastAsia="仿宋"/>
          <w:sz w:val="28"/>
          <w:szCs w:val="28"/>
        </w:rPr>
      </w:pPr>
      <w:r>
        <w:rPr>
          <w:rFonts w:hint="eastAsia" w:ascii="宋体" w:hAnsi="宋体" w:cs="宋体"/>
          <w:sz w:val="28"/>
          <w:szCs w:val="28"/>
        </w:rPr>
        <w:t>②</w:t>
      </w:r>
      <w:r>
        <w:rPr>
          <w:rFonts w:eastAsia="仿宋"/>
          <w:sz w:val="28"/>
          <w:szCs w:val="28"/>
        </w:rPr>
        <w:t>负责水源地应急预案的日常管理，开展预案培训和演练、应急救援队伍建设和能力评估等工作；</w:t>
      </w:r>
    </w:p>
    <w:p w14:paraId="3908B799">
      <w:pPr>
        <w:autoSpaceDE w:val="0"/>
        <w:autoSpaceDN w:val="0"/>
        <w:adjustRightInd w:val="0"/>
        <w:ind w:firstLine="560" w:firstLineChars="200"/>
        <w:rPr>
          <w:rFonts w:eastAsia="仿宋"/>
          <w:sz w:val="28"/>
          <w:szCs w:val="28"/>
        </w:rPr>
      </w:pPr>
      <w:r>
        <w:rPr>
          <w:rFonts w:hint="eastAsia" w:ascii="宋体" w:hAnsi="宋体" w:cs="宋体"/>
          <w:sz w:val="28"/>
          <w:szCs w:val="28"/>
        </w:rPr>
        <w:t>③</w:t>
      </w:r>
      <w:r>
        <w:rPr>
          <w:rFonts w:eastAsia="仿宋"/>
          <w:sz w:val="28"/>
          <w:szCs w:val="28"/>
        </w:rPr>
        <w:t>组织开展水源地突发环境事件风险防范和应急准备工作。</w:t>
      </w:r>
    </w:p>
    <w:p w14:paraId="2D3B1FE5">
      <w:pPr>
        <w:autoSpaceDE w:val="0"/>
        <w:autoSpaceDN w:val="0"/>
        <w:adjustRightInd w:val="0"/>
        <w:ind w:firstLine="560" w:firstLineChars="200"/>
        <w:rPr>
          <w:rFonts w:eastAsia="仿宋"/>
          <w:sz w:val="28"/>
          <w:szCs w:val="28"/>
        </w:rPr>
      </w:pPr>
      <w:r>
        <w:rPr>
          <w:rFonts w:eastAsia="仿宋"/>
          <w:sz w:val="28"/>
          <w:szCs w:val="28"/>
        </w:rPr>
        <w:t>（2）应急职责</w:t>
      </w:r>
    </w:p>
    <w:p w14:paraId="162FF2FB">
      <w:pPr>
        <w:autoSpaceDE w:val="0"/>
        <w:autoSpaceDN w:val="0"/>
        <w:adjustRightInd w:val="0"/>
        <w:ind w:firstLine="560" w:firstLineChars="200"/>
        <w:rPr>
          <w:rFonts w:eastAsia="仿宋"/>
          <w:sz w:val="28"/>
          <w:szCs w:val="28"/>
        </w:rPr>
      </w:pPr>
      <w:r>
        <w:rPr>
          <w:rFonts w:hint="eastAsia" w:ascii="宋体" w:hAnsi="宋体" w:cs="宋体"/>
          <w:sz w:val="28"/>
          <w:szCs w:val="28"/>
        </w:rPr>
        <w:t>①</w:t>
      </w:r>
      <w:r>
        <w:rPr>
          <w:rFonts w:eastAsia="仿宋"/>
          <w:sz w:val="28"/>
          <w:szCs w:val="28"/>
        </w:rPr>
        <w:t>贯彻执行指挥长、副指挥长的各项指令和要求；</w:t>
      </w:r>
    </w:p>
    <w:p w14:paraId="68A9EF9B">
      <w:pPr>
        <w:autoSpaceDE w:val="0"/>
        <w:autoSpaceDN w:val="0"/>
        <w:adjustRightInd w:val="0"/>
        <w:ind w:firstLine="560" w:firstLineChars="200"/>
        <w:rPr>
          <w:rFonts w:eastAsia="仿宋"/>
          <w:sz w:val="28"/>
          <w:szCs w:val="28"/>
        </w:rPr>
      </w:pPr>
      <w:r>
        <w:rPr>
          <w:rFonts w:hint="eastAsia" w:ascii="宋体" w:hAnsi="宋体" w:cs="宋体"/>
          <w:sz w:val="28"/>
          <w:szCs w:val="28"/>
        </w:rPr>
        <w:t>②</w:t>
      </w:r>
      <w:r>
        <w:rPr>
          <w:rFonts w:eastAsia="仿宋"/>
          <w:sz w:val="28"/>
          <w:szCs w:val="28"/>
        </w:rPr>
        <w:t>负责信息汇总上报，并与有关的外部应急部门、组织和机构进行联络；</w:t>
      </w:r>
    </w:p>
    <w:p w14:paraId="184B849A">
      <w:pPr>
        <w:autoSpaceDE w:val="0"/>
        <w:autoSpaceDN w:val="0"/>
        <w:adjustRightInd w:val="0"/>
        <w:ind w:firstLine="560" w:firstLineChars="200"/>
        <w:rPr>
          <w:rFonts w:eastAsia="仿宋"/>
          <w:sz w:val="28"/>
          <w:szCs w:val="28"/>
        </w:rPr>
      </w:pPr>
      <w:r>
        <w:rPr>
          <w:rFonts w:hint="eastAsia" w:ascii="宋体" w:hAnsi="宋体" w:cs="宋体"/>
          <w:sz w:val="28"/>
          <w:szCs w:val="28"/>
        </w:rPr>
        <w:t>③</w:t>
      </w:r>
      <w:r>
        <w:rPr>
          <w:rFonts w:eastAsia="仿宋"/>
          <w:sz w:val="28"/>
          <w:szCs w:val="28"/>
        </w:rPr>
        <w:t>负责调动应急人员、调配应急资源和联络外部应急组织或机构；</w:t>
      </w:r>
    </w:p>
    <w:p w14:paraId="4C9D8C27">
      <w:pPr>
        <w:autoSpaceDE w:val="0"/>
        <w:autoSpaceDN w:val="0"/>
        <w:adjustRightInd w:val="0"/>
        <w:ind w:firstLine="560" w:firstLineChars="200"/>
        <w:rPr>
          <w:rFonts w:eastAsia="仿宋"/>
          <w:sz w:val="28"/>
          <w:szCs w:val="28"/>
        </w:rPr>
      </w:pPr>
      <w:r>
        <w:rPr>
          <w:rFonts w:hint="eastAsia" w:ascii="宋体" w:hAnsi="宋体" w:cs="宋体"/>
          <w:sz w:val="28"/>
          <w:szCs w:val="28"/>
        </w:rPr>
        <w:t>④</w:t>
      </w:r>
      <w:r>
        <w:rPr>
          <w:rFonts w:eastAsia="仿宋"/>
          <w:sz w:val="28"/>
          <w:szCs w:val="28"/>
        </w:rPr>
        <w:t>收集整理有关事件数据。</w:t>
      </w:r>
    </w:p>
    <w:p w14:paraId="7CE81793">
      <w:pPr>
        <w:pStyle w:val="4"/>
        <w:spacing w:before="120" w:after="120"/>
        <w:rPr>
          <w:rFonts w:eastAsia="仿宋"/>
          <w:sz w:val="28"/>
        </w:rPr>
      </w:pPr>
      <w:r>
        <w:rPr>
          <w:rFonts w:eastAsia="仿宋"/>
          <w:sz w:val="28"/>
        </w:rPr>
        <w:t>3.2.3 应急救援小组</w:t>
      </w:r>
    </w:p>
    <w:p w14:paraId="128BF406">
      <w:pPr>
        <w:autoSpaceDE w:val="0"/>
        <w:autoSpaceDN w:val="0"/>
        <w:adjustRightInd w:val="0"/>
        <w:ind w:firstLine="560" w:firstLineChars="200"/>
        <w:rPr>
          <w:rFonts w:eastAsia="仿宋"/>
          <w:sz w:val="28"/>
          <w:szCs w:val="28"/>
        </w:rPr>
      </w:pPr>
      <w:r>
        <w:rPr>
          <w:rFonts w:eastAsia="仿宋"/>
          <w:sz w:val="28"/>
          <w:szCs w:val="28"/>
        </w:rPr>
        <w:t>根据突发事故应急响应与处置工作的需要，设立九个专业工作小组，分别是应急监测组、应急处置组、后勤保障组、警戒疏散组、医疗救援组、新闻宣传组、事后调查组、专家咨询组、社会维稳组。各小组在应急救援领导小组组长的统一领导下，根据事故性质、严重程度、应急响应与处置要求，履行相应的职责。各组组成成员单位及职责分别如下：</w:t>
      </w:r>
    </w:p>
    <w:p w14:paraId="3501C50D">
      <w:pPr>
        <w:autoSpaceDE w:val="0"/>
        <w:autoSpaceDN w:val="0"/>
        <w:adjustRightInd w:val="0"/>
        <w:ind w:firstLine="560" w:firstLineChars="200"/>
        <w:rPr>
          <w:rFonts w:eastAsia="仿宋"/>
          <w:sz w:val="28"/>
          <w:szCs w:val="28"/>
        </w:rPr>
      </w:pPr>
      <w:r>
        <w:rPr>
          <w:rFonts w:eastAsia="仿宋"/>
          <w:sz w:val="28"/>
          <w:szCs w:val="28"/>
        </w:rPr>
        <w:t>（1）应急处置组</w:t>
      </w:r>
    </w:p>
    <w:p w14:paraId="1B106E66">
      <w:pPr>
        <w:autoSpaceDE w:val="0"/>
        <w:autoSpaceDN w:val="0"/>
        <w:adjustRightInd w:val="0"/>
        <w:ind w:firstLine="560" w:firstLineChars="200"/>
        <w:rPr>
          <w:rFonts w:eastAsia="仿宋"/>
          <w:sz w:val="28"/>
          <w:szCs w:val="28"/>
        </w:rPr>
      </w:pPr>
      <w:r>
        <w:rPr>
          <w:rFonts w:eastAsia="仿宋"/>
          <w:sz w:val="28"/>
          <w:szCs w:val="28"/>
        </w:rPr>
        <w:t>由贵阳市生态环境局花溪分局牵头成立。主要工作职责：对引发环境事件原因进行调查和对事故责任的认定，制定处置工作方案，并组织实施等。</w:t>
      </w:r>
    </w:p>
    <w:p w14:paraId="020FA3FF">
      <w:pPr>
        <w:autoSpaceDE w:val="0"/>
        <w:autoSpaceDN w:val="0"/>
        <w:adjustRightInd w:val="0"/>
        <w:ind w:firstLine="560" w:firstLineChars="200"/>
        <w:rPr>
          <w:rFonts w:eastAsia="仿宋"/>
          <w:sz w:val="28"/>
          <w:szCs w:val="28"/>
        </w:rPr>
      </w:pPr>
      <w:r>
        <w:rPr>
          <w:rFonts w:eastAsia="仿宋"/>
          <w:sz w:val="28"/>
          <w:szCs w:val="28"/>
        </w:rPr>
        <w:t>（2）应急监测组</w:t>
      </w:r>
    </w:p>
    <w:p w14:paraId="6CD537A4">
      <w:pPr>
        <w:autoSpaceDE w:val="0"/>
        <w:autoSpaceDN w:val="0"/>
        <w:adjustRightInd w:val="0"/>
        <w:ind w:firstLine="560" w:firstLineChars="200"/>
        <w:rPr>
          <w:rFonts w:eastAsia="仿宋"/>
          <w:sz w:val="28"/>
          <w:szCs w:val="28"/>
        </w:rPr>
      </w:pPr>
      <w:r>
        <w:rPr>
          <w:rFonts w:eastAsia="仿宋"/>
          <w:sz w:val="28"/>
          <w:szCs w:val="28"/>
        </w:rPr>
        <w:t>由贵阳市生态环境局花溪分局牵头成立，主要职责：组织突发环境事件应急监测，及时向花溪区突发环境事件应急指挥部报告环境事件的应急监测结果等情况。</w:t>
      </w:r>
    </w:p>
    <w:p w14:paraId="30E24031">
      <w:pPr>
        <w:autoSpaceDE w:val="0"/>
        <w:autoSpaceDN w:val="0"/>
        <w:adjustRightInd w:val="0"/>
        <w:ind w:firstLine="560" w:firstLineChars="200"/>
        <w:rPr>
          <w:rFonts w:eastAsia="仿宋"/>
          <w:sz w:val="28"/>
          <w:szCs w:val="28"/>
        </w:rPr>
      </w:pPr>
      <w:r>
        <w:rPr>
          <w:rFonts w:eastAsia="仿宋"/>
          <w:sz w:val="28"/>
          <w:szCs w:val="28"/>
        </w:rPr>
        <w:t>（3）医疗救援组</w:t>
      </w:r>
    </w:p>
    <w:p w14:paraId="2E6C07E4">
      <w:pPr>
        <w:autoSpaceDE w:val="0"/>
        <w:autoSpaceDN w:val="0"/>
        <w:adjustRightInd w:val="0"/>
        <w:ind w:firstLine="560" w:firstLineChars="200"/>
        <w:rPr>
          <w:rFonts w:eastAsia="仿宋"/>
          <w:sz w:val="28"/>
          <w:szCs w:val="28"/>
        </w:rPr>
      </w:pPr>
      <w:r>
        <w:rPr>
          <w:rFonts w:eastAsia="仿宋"/>
          <w:sz w:val="28"/>
          <w:szCs w:val="28"/>
        </w:rPr>
        <w:t>由花溪区</w:t>
      </w:r>
      <w:bookmarkStart w:id="60" w:name="_Hlk47905217"/>
      <w:r>
        <w:rPr>
          <w:rFonts w:eastAsia="仿宋"/>
          <w:sz w:val="28"/>
          <w:szCs w:val="28"/>
        </w:rPr>
        <w:t>卫生健</w:t>
      </w:r>
      <w:bookmarkEnd w:id="60"/>
      <w:r>
        <w:rPr>
          <w:rFonts w:eastAsia="仿宋"/>
          <w:sz w:val="28"/>
          <w:szCs w:val="28"/>
        </w:rPr>
        <w:t>康局牵头成立，主要职责：组织有关医疗机构对伤员实施救治，对现场进行防疫处理等。</w:t>
      </w:r>
    </w:p>
    <w:p w14:paraId="5E4F69E5">
      <w:pPr>
        <w:autoSpaceDE w:val="0"/>
        <w:autoSpaceDN w:val="0"/>
        <w:adjustRightInd w:val="0"/>
        <w:ind w:firstLine="560" w:firstLineChars="200"/>
        <w:rPr>
          <w:rFonts w:eastAsia="仿宋"/>
          <w:sz w:val="28"/>
          <w:szCs w:val="28"/>
        </w:rPr>
      </w:pPr>
      <w:r>
        <w:rPr>
          <w:rFonts w:eastAsia="仿宋"/>
          <w:sz w:val="28"/>
          <w:szCs w:val="28"/>
        </w:rPr>
        <w:t>（4）警戒疏散组</w:t>
      </w:r>
    </w:p>
    <w:p w14:paraId="58641D64">
      <w:pPr>
        <w:autoSpaceDE w:val="0"/>
        <w:autoSpaceDN w:val="0"/>
        <w:adjustRightInd w:val="0"/>
        <w:ind w:firstLine="560" w:firstLineChars="200"/>
        <w:rPr>
          <w:rFonts w:eastAsia="仿宋"/>
          <w:sz w:val="28"/>
          <w:szCs w:val="28"/>
        </w:rPr>
      </w:pPr>
      <w:r>
        <w:rPr>
          <w:rFonts w:eastAsia="仿宋"/>
          <w:sz w:val="28"/>
          <w:szCs w:val="28"/>
        </w:rPr>
        <w:t>由</w:t>
      </w:r>
      <w:r>
        <w:rPr>
          <w:rFonts w:hint="eastAsia" w:eastAsia="仿宋"/>
          <w:sz w:val="28"/>
          <w:szCs w:val="28"/>
        </w:rPr>
        <w:t>贵阳市</w:t>
      </w:r>
      <w:r>
        <w:rPr>
          <w:rFonts w:eastAsia="仿宋"/>
          <w:sz w:val="28"/>
          <w:szCs w:val="28"/>
        </w:rPr>
        <w:t>公安局花溪分局牵头成立，主要职责：迅速对事故灾难现场及周边地区和道路进行警戒、实行交通管制，维护事故灾难现场交通秩序，保障道路畅通；负责事故灾难现场群众的防护指导，引导群众有序撤离到安全区域，组织好特殊人群的疏散安置，维护安全区域内的稳定和治安等。</w:t>
      </w:r>
    </w:p>
    <w:p w14:paraId="2BC4905A">
      <w:pPr>
        <w:autoSpaceDE w:val="0"/>
        <w:autoSpaceDN w:val="0"/>
        <w:adjustRightInd w:val="0"/>
        <w:ind w:firstLine="560" w:firstLineChars="200"/>
        <w:rPr>
          <w:rFonts w:eastAsia="仿宋"/>
          <w:sz w:val="28"/>
          <w:szCs w:val="28"/>
        </w:rPr>
      </w:pPr>
      <w:r>
        <w:rPr>
          <w:rFonts w:eastAsia="仿宋"/>
          <w:sz w:val="28"/>
          <w:szCs w:val="28"/>
        </w:rPr>
        <w:t>（5）后勤保障组</w:t>
      </w:r>
    </w:p>
    <w:p w14:paraId="57C25B84">
      <w:pPr>
        <w:autoSpaceDE w:val="0"/>
        <w:autoSpaceDN w:val="0"/>
        <w:adjustRightInd w:val="0"/>
        <w:ind w:firstLine="560" w:firstLineChars="200"/>
        <w:rPr>
          <w:rFonts w:eastAsia="仿宋"/>
          <w:sz w:val="28"/>
          <w:szCs w:val="28"/>
        </w:rPr>
      </w:pPr>
      <w:r>
        <w:rPr>
          <w:rFonts w:eastAsia="仿宋"/>
          <w:sz w:val="28"/>
          <w:szCs w:val="28"/>
        </w:rPr>
        <w:t>由花溪区应急管理局牵头成立，主要职责：落实应急物资、应急通信、交通运输、应急供电、应急供水等保障措施。</w:t>
      </w:r>
    </w:p>
    <w:p w14:paraId="1DD26C67">
      <w:pPr>
        <w:autoSpaceDE w:val="0"/>
        <w:autoSpaceDN w:val="0"/>
        <w:adjustRightInd w:val="0"/>
        <w:ind w:firstLine="560" w:firstLineChars="200"/>
        <w:rPr>
          <w:rFonts w:eastAsia="仿宋"/>
          <w:sz w:val="28"/>
          <w:szCs w:val="28"/>
        </w:rPr>
      </w:pPr>
      <w:r>
        <w:rPr>
          <w:rFonts w:eastAsia="仿宋"/>
          <w:sz w:val="28"/>
          <w:szCs w:val="28"/>
        </w:rPr>
        <w:t>（6）新闻宣传组</w:t>
      </w:r>
    </w:p>
    <w:p w14:paraId="2982756F">
      <w:pPr>
        <w:autoSpaceDE w:val="0"/>
        <w:autoSpaceDN w:val="0"/>
        <w:adjustRightInd w:val="0"/>
        <w:ind w:firstLine="560" w:firstLineChars="200"/>
        <w:rPr>
          <w:rFonts w:eastAsia="仿宋"/>
          <w:sz w:val="28"/>
          <w:szCs w:val="28"/>
        </w:rPr>
      </w:pPr>
      <w:r>
        <w:rPr>
          <w:rFonts w:eastAsia="仿宋"/>
          <w:sz w:val="28"/>
          <w:szCs w:val="28"/>
        </w:rPr>
        <w:t>由花溪区委宣传部牵头成立，主要职责：统一组织有关新闻单位及时报道应急处置工作情况，做好舆论引导工作等。</w:t>
      </w:r>
    </w:p>
    <w:p w14:paraId="4534FA92">
      <w:pPr>
        <w:autoSpaceDE w:val="0"/>
        <w:autoSpaceDN w:val="0"/>
        <w:adjustRightInd w:val="0"/>
        <w:ind w:firstLine="560" w:firstLineChars="200"/>
        <w:rPr>
          <w:rFonts w:eastAsia="仿宋"/>
          <w:sz w:val="28"/>
          <w:szCs w:val="28"/>
        </w:rPr>
      </w:pPr>
      <w:r>
        <w:rPr>
          <w:rFonts w:eastAsia="仿宋"/>
          <w:sz w:val="28"/>
          <w:szCs w:val="28"/>
        </w:rPr>
        <w:t>（7）社会维稳组</w:t>
      </w:r>
    </w:p>
    <w:p w14:paraId="3E596D0C">
      <w:pPr>
        <w:autoSpaceDE w:val="0"/>
        <w:autoSpaceDN w:val="0"/>
        <w:adjustRightInd w:val="0"/>
        <w:ind w:firstLine="560" w:firstLineChars="200"/>
        <w:rPr>
          <w:rFonts w:eastAsia="仿宋"/>
          <w:sz w:val="28"/>
          <w:szCs w:val="28"/>
        </w:rPr>
      </w:pPr>
      <w:r>
        <w:rPr>
          <w:rFonts w:hint="eastAsia" w:eastAsia="仿宋"/>
          <w:sz w:val="28"/>
          <w:szCs w:val="28"/>
        </w:rPr>
        <w:t>由花溪区委政法委牵头，属地和行业部门配合</w:t>
      </w:r>
      <w:r>
        <w:rPr>
          <w:rFonts w:eastAsia="仿宋"/>
          <w:sz w:val="28"/>
          <w:szCs w:val="28"/>
        </w:rPr>
        <w:t>，主要职责：负责对伤亡人员家属的接待、安抚和慰问工作及伤亡人员善后事宜，做好群众的思想稳定工作，维护社会稳定，消除不稳定因素等。</w:t>
      </w:r>
    </w:p>
    <w:p w14:paraId="0C99F869">
      <w:pPr>
        <w:autoSpaceDE w:val="0"/>
        <w:autoSpaceDN w:val="0"/>
        <w:adjustRightInd w:val="0"/>
        <w:ind w:firstLine="560" w:firstLineChars="200"/>
        <w:rPr>
          <w:rFonts w:eastAsia="仿宋"/>
          <w:sz w:val="28"/>
          <w:szCs w:val="28"/>
        </w:rPr>
      </w:pPr>
      <w:r>
        <w:rPr>
          <w:rFonts w:eastAsia="仿宋"/>
          <w:sz w:val="28"/>
          <w:szCs w:val="28"/>
        </w:rPr>
        <w:t>（8）事后调查组</w:t>
      </w:r>
    </w:p>
    <w:p w14:paraId="4CD70E5A">
      <w:pPr>
        <w:autoSpaceDE w:val="0"/>
        <w:autoSpaceDN w:val="0"/>
        <w:adjustRightInd w:val="0"/>
        <w:ind w:firstLine="560" w:firstLineChars="200"/>
        <w:rPr>
          <w:rFonts w:eastAsia="仿宋"/>
          <w:sz w:val="28"/>
          <w:szCs w:val="28"/>
        </w:rPr>
      </w:pPr>
      <w:r>
        <w:rPr>
          <w:rFonts w:eastAsia="仿宋"/>
          <w:sz w:val="28"/>
          <w:szCs w:val="28"/>
        </w:rPr>
        <w:t>由贵阳市生态环境局花溪分局牵头，主要职责：开展突发事件事故调查，事发后善后工作，包括开展环境损害鉴定评估、提出污染修复方案等。</w:t>
      </w:r>
    </w:p>
    <w:p w14:paraId="4D4B6C3D">
      <w:pPr>
        <w:autoSpaceDE w:val="0"/>
        <w:autoSpaceDN w:val="0"/>
        <w:adjustRightInd w:val="0"/>
        <w:ind w:firstLine="560" w:firstLineChars="200"/>
        <w:rPr>
          <w:rFonts w:eastAsia="仿宋"/>
          <w:sz w:val="28"/>
          <w:szCs w:val="28"/>
        </w:rPr>
      </w:pPr>
      <w:r>
        <w:rPr>
          <w:rFonts w:eastAsia="仿宋"/>
          <w:sz w:val="28"/>
          <w:szCs w:val="28"/>
        </w:rPr>
        <w:t>（9）专家咨询组</w:t>
      </w:r>
    </w:p>
    <w:p w14:paraId="0A97825C">
      <w:pPr>
        <w:autoSpaceDE w:val="0"/>
        <w:autoSpaceDN w:val="0"/>
        <w:adjustRightInd w:val="0"/>
        <w:ind w:firstLine="560" w:firstLineChars="200"/>
        <w:rPr>
          <w:rFonts w:eastAsia="仿宋"/>
          <w:sz w:val="28"/>
          <w:szCs w:val="28"/>
        </w:rPr>
      </w:pPr>
      <w:r>
        <w:rPr>
          <w:rFonts w:eastAsia="仿宋"/>
          <w:sz w:val="28"/>
          <w:szCs w:val="28"/>
        </w:rPr>
        <w:t>由贵阳市生态环境局花溪分局牵头，主要职责：组织有关专家为应急处置工作提供技术支持和决策咨询等。</w:t>
      </w:r>
    </w:p>
    <w:p w14:paraId="0E77CE1A">
      <w:pPr>
        <w:pStyle w:val="4"/>
        <w:spacing w:before="120" w:after="120"/>
        <w:rPr>
          <w:rFonts w:eastAsia="仿宋"/>
          <w:sz w:val="28"/>
        </w:rPr>
      </w:pPr>
      <w:r>
        <w:rPr>
          <w:rFonts w:eastAsia="仿宋"/>
          <w:sz w:val="28"/>
        </w:rPr>
        <w:t>3.2.4 成员单位职责</w:t>
      </w:r>
    </w:p>
    <w:p w14:paraId="24DE78F7">
      <w:pPr>
        <w:autoSpaceDE w:val="0"/>
        <w:autoSpaceDN w:val="0"/>
        <w:adjustRightInd w:val="0"/>
        <w:ind w:firstLine="560" w:firstLineChars="200"/>
        <w:rPr>
          <w:rFonts w:eastAsia="仿宋"/>
          <w:sz w:val="28"/>
          <w:szCs w:val="28"/>
        </w:rPr>
      </w:pPr>
      <w:r>
        <w:rPr>
          <w:rFonts w:eastAsia="仿宋"/>
          <w:sz w:val="28"/>
          <w:szCs w:val="28"/>
        </w:rPr>
        <w:t>各成员单位要同时按照本预案规定的职责分工，做好突发环境事件预测、预警、报警、处置、终止、善后等环境的相应应急处置工作：</w:t>
      </w:r>
    </w:p>
    <w:p w14:paraId="6A0A51F4">
      <w:pPr>
        <w:autoSpaceDE w:val="0"/>
        <w:autoSpaceDN w:val="0"/>
        <w:adjustRightInd w:val="0"/>
        <w:ind w:firstLine="560" w:firstLineChars="200"/>
        <w:rPr>
          <w:rFonts w:eastAsia="仿宋"/>
          <w:sz w:val="28"/>
          <w:szCs w:val="28"/>
        </w:rPr>
      </w:pPr>
      <w:r>
        <w:rPr>
          <w:rFonts w:eastAsia="仿宋"/>
          <w:sz w:val="28"/>
          <w:szCs w:val="28"/>
        </w:rPr>
        <w:t>（1）花溪区委宣传部</w:t>
      </w:r>
    </w:p>
    <w:p w14:paraId="7F7D8BE1">
      <w:pPr>
        <w:autoSpaceDE w:val="0"/>
        <w:autoSpaceDN w:val="0"/>
        <w:adjustRightInd w:val="0"/>
        <w:ind w:firstLine="560" w:firstLineChars="200"/>
        <w:rPr>
          <w:rFonts w:eastAsia="仿宋"/>
          <w:sz w:val="28"/>
          <w:szCs w:val="28"/>
        </w:rPr>
      </w:pPr>
      <w:r>
        <w:rPr>
          <w:rFonts w:eastAsia="仿宋"/>
          <w:sz w:val="28"/>
          <w:szCs w:val="28"/>
        </w:rPr>
        <w:t>组织召开新闻发布会，向上级宣传部上报信息，协调省市新闻媒体开展报道。</w:t>
      </w:r>
    </w:p>
    <w:p w14:paraId="204B5640">
      <w:pPr>
        <w:autoSpaceDE w:val="0"/>
        <w:autoSpaceDN w:val="0"/>
        <w:adjustRightInd w:val="0"/>
        <w:ind w:firstLine="560" w:firstLineChars="200"/>
        <w:rPr>
          <w:rFonts w:eastAsia="仿宋"/>
          <w:sz w:val="28"/>
          <w:szCs w:val="28"/>
        </w:rPr>
      </w:pPr>
      <w:r>
        <w:rPr>
          <w:rFonts w:eastAsia="仿宋"/>
          <w:sz w:val="28"/>
          <w:szCs w:val="28"/>
        </w:rPr>
        <w:t>（2）花溪区应急</w:t>
      </w:r>
      <w:r>
        <w:rPr>
          <w:rFonts w:hint="eastAsia" w:eastAsia="仿宋"/>
          <w:sz w:val="28"/>
          <w:szCs w:val="28"/>
        </w:rPr>
        <w:t>管理</w:t>
      </w:r>
      <w:r>
        <w:rPr>
          <w:rFonts w:eastAsia="仿宋"/>
          <w:sz w:val="28"/>
          <w:szCs w:val="28"/>
        </w:rPr>
        <w:t>局</w:t>
      </w:r>
    </w:p>
    <w:p w14:paraId="158A3B6A">
      <w:pPr>
        <w:autoSpaceDE w:val="0"/>
        <w:autoSpaceDN w:val="0"/>
        <w:adjustRightInd w:val="0"/>
        <w:ind w:firstLine="560" w:firstLineChars="200"/>
        <w:rPr>
          <w:rFonts w:eastAsia="仿宋"/>
          <w:sz w:val="28"/>
          <w:szCs w:val="28"/>
        </w:rPr>
      </w:pPr>
      <w:r>
        <w:rPr>
          <w:rFonts w:eastAsia="仿宋"/>
          <w:sz w:val="28"/>
          <w:szCs w:val="28"/>
        </w:rPr>
        <w:t>履行应急值守、信息汇总、综合协调职责，发挥运转枢纽作用。负责统一接收、汇总、分析情况并向</w:t>
      </w:r>
      <w:r>
        <w:rPr>
          <w:rFonts w:hint="eastAsia" w:eastAsia="仿宋"/>
          <w:sz w:val="28"/>
          <w:szCs w:val="28"/>
        </w:rPr>
        <w:t>区</w:t>
      </w:r>
      <w:r>
        <w:rPr>
          <w:rFonts w:eastAsia="仿宋"/>
          <w:sz w:val="28"/>
          <w:szCs w:val="28"/>
        </w:rPr>
        <w:t>领导报送重大紧急突发事件信息，向</w:t>
      </w:r>
      <w:r>
        <w:rPr>
          <w:rFonts w:hint="eastAsia" w:eastAsia="仿宋"/>
          <w:sz w:val="28"/>
          <w:szCs w:val="28"/>
        </w:rPr>
        <w:t>区</w:t>
      </w:r>
      <w:r>
        <w:rPr>
          <w:rFonts w:eastAsia="仿宋"/>
          <w:sz w:val="28"/>
          <w:szCs w:val="28"/>
        </w:rPr>
        <w:t>政府办公室通报重要信息；负责向上级报告全</w:t>
      </w:r>
      <w:r>
        <w:rPr>
          <w:rFonts w:hint="eastAsia" w:eastAsia="仿宋"/>
          <w:sz w:val="28"/>
          <w:szCs w:val="28"/>
        </w:rPr>
        <w:t>区</w:t>
      </w:r>
      <w:r>
        <w:rPr>
          <w:rFonts w:eastAsia="仿宋"/>
          <w:sz w:val="28"/>
          <w:szCs w:val="28"/>
        </w:rPr>
        <w:t>突发事件信息；负责全</w:t>
      </w:r>
      <w:r>
        <w:rPr>
          <w:rFonts w:hint="eastAsia" w:eastAsia="仿宋"/>
          <w:sz w:val="28"/>
          <w:szCs w:val="28"/>
        </w:rPr>
        <w:t>区</w:t>
      </w:r>
      <w:r>
        <w:rPr>
          <w:rFonts w:eastAsia="仿宋"/>
          <w:sz w:val="28"/>
          <w:szCs w:val="28"/>
        </w:rPr>
        <w:t>突发事件处置的组织协调工作；指导全</w:t>
      </w:r>
      <w:r>
        <w:rPr>
          <w:rFonts w:hint="eastAsia" w:eastAsia="仿宋"/>
          <w:sz w:val="28"/>
          <w:szCs w:val="28"/>
        </w:rPr>
        <w:t>区</w:t>
      </w:r>
      <w:r>
        <w:rPr>
          <w:rFonts w:eastAsia="仿宋"/>
          <w:sz w:val="28"/>
          <w:szCs w:val="28"/>
        </w:rPr>
        <w:t>突发事件应急体系、应急信息平台建设；负责应急综合保障体系的组织建设，协调应急处置保障；督促、检查和指导相关部门对突发事件的应急预案体系建设；负责</w:t>
      </w:r>
      <w:r>
        <w:rPr>
          <w:rFonts w:hint="eastAsia" w:eastAsia="仿宋"/>
          <w:sz w:val="28"/>
          <w:szCs w:val="28"/>
        </w:rPr>
        <w:t>区</w:t>
      </w:r>
      <w:r>
        <w:rPr>
          <w:rFonts w:eastAsia="仿宋"/>
          <w:sz w:val="28"/>
          <w:szCs w:val="28"/>
        </w:rPr>
        <w:t>人民政府值班工作，及时向</w:t>
      </w:r>
      <w:r>
        <w:rPr>
          <w:rFonts w:hint="eastAsia" w:eastAsia="仿宋"/>
          <w:sz w:val="28"/>
          <w:szCs w:val="28"/>
        </w:rPr>
        <w:t>区</w:t>
      </w:r>
      <w:r>
        <w:rPr>
          <w:rFonts w:eastAsia="仿宋"/>
          <w:sz w:val="28"/>
          <w:szCs w:val="28"/>
        </w:rPr>
        <w:t>人民政府领导报告重要情况，并协助处理各地、各部门向</w:t>
      </w:r>
      <w:r>
        <w:rPr>
          <w:rFonts w:hint="eastAsia" w:eastAsia="仿宋"/>
          <w:sz w:val="28"/>
          <w:szCs w:val="28"/>
        </w:rPr>
        <w:t>区</w:t>
      </w:r>
      <w:r>
        <w:rPr>
          <w:rFonts w:eastAsia="仿宋"/>
          <w:sz w:val="28"/>
          <w:szCs w:val="28"/>
        </w:rPr>
        <w:t>政府反映的重要情况。防范企业生产安全事故次生水源地突发环境事件，及时上报并通报事故信息。协助处置因企业生产安全事故、违法排污等导致的水源地突发环境事件。</w:t>
      </w:r>
    </w:p>
    <w:p w14:paraId="03E382C6">
      <w:pPr>
        <w:autoSpaceDE w:val="0"/>
        <w:autoSpaceDN w:val="0"/>
        <w:adjustRightInd w:val="0"/>
        <w:ind w:firstLine="560" w:firstLineChars="200"/>
        <w:rPr>
          <w:rFonts w:eastAsia="仿宋"/>
          <w:sz w:val="28"/>
          <w:szCs w:val="28"/>
        </w:rPr>
      </w:pPr>
      <w:r>
        <w:rPr>
          <w:rFonts w:eastAsia="仿宋"/>
          <w:sz w:val="28"/>
          <w:szCs w:val="28"/>
        </w:rPr>
        <w:t>（3）贵阳市生态环境局花溪分局</w:t>
      </w:r>
    </w:p>
    <w:p w14:paraId="36FE9E74">
      <w:pPr>
        <w:autoSpaceDE w:val="0"/>
        <w:autoSpaceDN w:val="0"/>
        <w:adjustRightInd w:val="0"/>
        <w:ind w:firstLine="560" w:firstLineChars="200"/>
        <w:rPr>
          <w:rFonts w:eastAsia="仿宋"/>
          <w:sz w:val="28"/>
          <w:szCs w:val="28"/>
        </w:rPr>
      </w:pPr>
      <w:r>
        <w:rPr>
          <w:rFonts w:eastAsia="仿宋"/>
          <w:sz w:val="28"/>
          <w:szCs w:val="28"/>
        </w:rPr>
        <w:t>设立突发环境事件应急处置常设工作机构，收集和处理环境事件信息，负责环境事件日常监测与预警，提出启动预案以及加强或撤销控制措施的建议和意见。负责加强对所有水源地保护区域的监测，严密监控饮用水源保护区周边工业废水、生活污水排放情况；负责水源地以及水源地上游江河湖水体水质应急环境监测，沿湖污染物排放的监督检查；负责组织饮用水源地突发环境污染事件应急处理；负责环境污染事故的现场监测，协同相关部门及专家组成员分析原因，判明污染物，评估污染程度和污染范围，提出处理建议，防止污染扩大；对污染事故进行调查取证，依法对责任人作出处理；负责跟踪污染动态情况，对建立和解除污染警报的时间、区域提出建议；负责组织开展突发环境事件污染损害评估，指导事故责任方按照评估报告的要求开展生态破坏的恢复工作。及时向</w:t>
      </w:r>
      <w:r>
        <w:rPr>
          <w:rFonts w:hint="eastAsia" w:eastAsia="仿宋"/>
          <w:sz w:val="28"/>
          <w:szCs w:val="28"/>
        </w:rPr>
        <w:t>区</w:t>
      </w:r>
      <w:r>
        <w:rPr>
          <w:rFonts w:eastAsia="仿宋"/>
          <w:sz w:val="28"/>
          <w:szCs w:val="28"/>
        </w:rPr>
        <w:t>委</w:t>
      </w:r>
      <w:r>
        <w:rPr>
          <w:rFonts w:hint="eastAsia" w:eastAsia="仿宋"/>
          <w:sz w:val="28"/>
          <w:szCs w:val="28"/>
        </w:rPr>
        <w:t>区</w:t>
      </w:r>
      <w:r>
        <w:rPr>
          <w:rFonts w:eastAsia="仿宋"/>
          <w:sz w:val="28"/>
          <w:szCs w:val="28"/>
        </w:rPr>
        <w:t>政府和贵阳市生态环境局报告有关突发环境事件以及应急处置情况。</w:t>
      </w:r>
    </w:p>
    <w:p w14:paraId="7E97EEA5">
      <w:pPr>
        <w:autoSpaceDE w:val="0"/>
        <w:autoSpaceDN w:val="0"/>
        <w:adjustRightInd w:val="0"/>
        <w:ind w:firstLine="560" w:firstLineChars="200"/>
        <w:rPr>
          <w:rFonts w:eastAsia="仿宋"/>
          <w:sz w:val="28"/>
          <w:szCs w:val="28"/>
        </w:rPr>
      </w:pPr>
      <w:r>
        <w:rPr>
          <w:rFonts w:eastAsia="仿宋"/>
          <w:sz w:val="28"/>
          <w:szCs w:val="28"/>
        </w:rPr>
        <w:t>（4）贵阳市公安局花溪分局</w:t>
      </w:r>
    </w:p>
    <w:p w14:paraId="1966F635">
      <w:pPr>
        <w:autoSpaceDE w:val="0"/>
        <w:autoSpaceDN w:val="0"/>
        <w:adjustRightInd w:val="0"/>
        <w:ind w:firstLine="560" w:firstLineChars="200"/>
        <w:rPr>
          <w:rFonts w:eastAsia="仿宋"/>
          <w:sz w:val="28"/>
          <w:szCs w:val="28"/>
        </w:rPr>
      </w:pPr>
      <w:r>
        <w:rPr>
          <w:rFonts w:eastAsia="仿宋"/>
          <w:sz w:val="28"/>
          <w:szCs w:val="28"/>
        </w:rPr>
        <w:t>为应急供水车辆提供线路保障；负责维护应急抢险事故现场治安秩序，维护污染区域的交通管制工作；打击阻挠供水应急抢险的违法犯罪活动，监督、维护事故发生地区的社会稳定，维护社会治安，确保供水应急抢险工作顺利进行；组织对突发环境事件涉嫌刑事犯罪的侦查、鉴定工作；密切注视事件动态，依法、及时、妥善处置与人民生命财产安全、社会稳定有关的突发事件，清理和维护交通秩序，加强消防措施，维护事发地的社会治安；协助相关部门做好污染调查，落实各项强制隔离和人员紧急疏散撤离措施，保障应急工作顺利进行。</w:t>
      </w:r>
    </w:p>
    <w:p w14:paraId="36D5EDA1">
      <w:pPr>
        <w:autoSpaceDE w:val="0"/>
        <w:autoSpaceDN w:val="0"/>
        <w:adjustRightInd w:val="0"/>
        <w:ind w:firstLine="560" w:firstLineChars="200"/>
        <w:rPr>
          <w:rFonts w:eastAsia="仿宋"/>
          <w:sz w:val="28"/>
          <w:szCs w:val="28"/>
        </w:rPr>
      </w:pPr>
      <w:r>
        <w:rPr>
          <w:rFonts w:eastAsia="仿宋"/>
          <w:sz w:val="28"/>
          <w:szCs w:val="28"/>
        </w:rPr>
        <w:t>（5）花溪区</w:t>
      </w:r>
      <w:r>
        <w:rPr>
          <w:rFonts w:hint="eastAsia" w:eastAsia="仿宋"/>
          <w:sz w:val="28"/>
          <w:szCs w:val="28"/>
        </w:rPr>
        <w:t>发展</w:t>
      </w:r>
      <w:r>
        <w:rPr>
          <w:rFonts w:eastAsia="仿宋"/>
          <w:sz w:val="28"/>
          <w:szCs w:val="28"/>
        </w:rPr>
        <w:t>和改革局</w:t>
      </w:r>
    </w:p>
    <w:p w14:paraId="0A1E920E">
      <w:pPr>
        <w:autoSpaceDE w:val="0"/>
        <w:autoSpaceDN w:val="0"/>
        <w:adjustRightInd w:val="0"/>
        <w:ind w:firstLine="560" w:firstLineChars="200"/>
        <w:rPr>
          <w:rFonts w:eastAsia="仿宋"/>
          <w:sz w:val="28"/>
          <w:szCs w:val="28"/>
        </w:rPr>
      </w:pPr>
      <w:r>
        <w:rPr>
          <w:rFonts w:eastAsia="仿宋"/>
          <w:sz w:val="28"/>
          <w:szCs w:val="28"/>
        </w:rPr>
        <w:t>负责平抑饮用水源突发污染事件期间桶装水、矿泉水、纯净水等市场饮用水价格。安排突发环境事件应急物资储备和提出动用花溪区应急物资储备建议，组织协调突发环境事件应急结束后的恢复与重建工作</w:t>
      </w:r>
      <w:r>
        <w:rPr>
          <w:rFonts w:hint="eastAsia" w:eastAsia="仿宋"/>
          <w:sz w:val="28"/>
          <w:szCs w:val="28"/>
        </w:rPr>
        <w:t>；</w:t>
      </w:r>
      <w:r>
        <w:rPr>
          <w:rFonts w:eastAsia="仿宋"/>
          <w:sz w:val="28"/>
          <w:szCs w:val="28"/>
        </w:rPr>
        <w:t>负责救济物资发放，污染区域内人民群众的转移安置工作。负责饮用水源突发环境事件应急救援物资和生活必需品的保障供应工作。</w:t>
      </w:r>
    </w:p>
    <w:p w14:paraId="4E969DE8">
      <w:pPr>
        <w:autoSpaceDE w:val="0"/>
        <w:autoSpaceDN w:val="0"/>
        <w:adjustRightInd w:val="0"/>
        <w:ind w:firstLine="560" w:firstLineChars="200"/>
        <w:rPr>
          <w:rFonts w:eastAsia="仿宋"/>
          <w:sz w:val="28"/>
          <w:szCs w:val="28"/>
        </w:rPr>
      </w:pPr>
      <w:r>
        <w:rPr>
          <w:rFonts w:eastAsia="仿宋"/>
          <w:sz w:val="28"/>
          <w:szCs w:val="28"/>
        </w:rPr>
        <w:t>（6）花溪区民政局</w:t>
      </w:r>
    </w:p>
    <w:p w14:paraId="02DE7ECC">
      <w:pPr>
        <w:autoSpaceDE w:val="0"/>
        <w:autoSpaceDN w:val="0"/>
        <w:adjustRightInd w:val="0"/>
        <w:ind w:firstLine="560" w:firstLineChars="200"/>
        <w:rPr>
          <w:rFonts w:eastAsia="仿宋"/>
          <w:sz w:val="28"/>
          <w:szCs w:val="28"/>
        </w:rPr>
      </w:pPr>
      <w:r>
        <w:rPr>
          <w:rFonts w:eastAsia="仿宋"/>
          <w:sz w:val="28"/>
          <w:szCs w:val="28"/>
        </w:rPr>
        <w:t>负责社会对饮用水源突发环境事件应急处理捐助的资金和应急物资管理使用工作；负责社会福利机构和困难家庭饮用水提供。根据事件危害和受损程度，做好符合救助条件的困难群众的救助工作；配合做好死亡人员的遗体处理工作。</w:t>
      </w:r>
    </w:p>
    <w:p w14:paraId="028DDB8B">
      <w:pPr>
        <w:autoSpaceDE w:val="0"/>
        <w:autoSpaceDN w:val="0"/>
        <w:adjustRightInd w:val="0"/>
        <w:ind w:firstLine="560" w:firstLineChars="200"/>
        <w:rPr>
          <w:rFonts w:eastAsia="仿宋"/>
          <w:sz w:val="28"/>
          <w:szCs w:val="28"/>
        </w:rPr>
      </w:pPr>
      <w:r>
        <w:rPr>
          <w:rFonts w:eastAsia="仿宋"/>
          <w:sz w:val="28"/>
          <w:szCs w:val="28"/>
        </w:rPr>
        <w:t>（7）花溪区财政局</w:t>
      </w:r>
    </w:p>
    <w:p w14:paraId="030A3D95">
      <w:pPr>
        <w:autoSpaceDE w:val="0"/>
        <w:autoSpaceDN w:val="0"/>
        <w:adjustRightInd w:val="0"/>
        <w:ind w:firstLine="560" w:firstLineChars="200"/>
        <w:rPr>
          <w:rFonts w:eastAsia="仿宋"/>
          <w:sz w:val="28"/>
          <w:szCs w:val="28"/>
        </w:rPr>
      </w:pPr>
      <w:r>
        <w:rPr>
          <w:rFonts w:eastAsia="仿宋"/>
          <w:sz w:val="28"/>
          <w:szCs w:val="28"/>
        </w:rPr>
        <w:t>负责用于突发环境事件应急处置能力建设项目的资金保障，将重大环境事件常规演练和预警的日常经费纳入环保部门预算。</w:t>
      </w:r>
    </w:p>
    <w:p w14:paraId="07BE8491">
      <w:pPr>
        <w:autoSpaceDE w:val="0"/>
        <w:autoSpaceDN w:val="0"/>
        <w:adjustRightInd w:val="0"/>
        <w:ind w:firstLine="560" w:firstLineChars="200"/>
        <w:rPr>
          <w:rFonts w:eastAsia="仿宋"/>
          <w:sz w:val="28"/>
          <w:szCs w:val="28"/>
        </w:rPr>
      </w:pPr>
      <w:r>
        <w:rPr>
          <w:rFonts w:eastAsia="仿宋"/>
          <w:sz w:val="28"/>
          <w:szCs w:val="28"/>
        </w:rPr>
        <w:t>（8）花溪区水务局</w:t>
      </w:r>
    </w:p>
    <w:p w14:paraId="1F358472">
      <w:pPr>
        <w:autoSpaceDE w:val="0"/>
        <w:autoSpaceDN w:val="0"/>
        <w:adjustRightInd w:val="0"/>
        <w:ind w:firstLine="560" w:firstLineChars="200"/>
        <w:rPr>
          <w:rFonts w:eastAsia="仿宋"/>
          <w:sz w:val="28"/>
          <w:szCs w:val="28"/>
        </w:rPr>
      </w:pPr>
      <w:r>
        <w:rPr>
          <w:rFonts w:eastAsia="仿宋"/>
          <w:sz w:val="28"/>
          <w:szCs w:val="28"/>
        </w:rPr>
        <w:t>负责指导水源地水利设施建设和管理。按照应急指挥部要求进行污染团拦截、降污或调水稀释等工作。负责供水单位日常管理工作，对供水单位水质异常现象进行调查处理，及时上报并通报供水单位水质异常信息。负责指导供水单位的应急处置工作，组织供水单位进行应急监测，落实停止取水、启动深度处理设施和切换备用水源等应急工作安排。</w:t>
      </w:r>
    </w:p>
    <w:p w14:paraId="1BF9A617">
      <w:pPr>
        <w:autoSpaceDE w:val="0"/>
        <w:autoSpaceDN w:val="0"/>
        <w:adjustRightInd w:val="0"/>
        <w:ind w:firstLine="560" w:firstLineChars="200"/>
        <w:rPr>
          <w:rFonts w:eastAsia="仿宋"/>
          <w:sz w:val="28"/>
          <w:szCs w:val="28"/>
        </w:rPr>
      </w:pPr>
      <w:r>
        <w:rPr>
          <w:rFonts w:eastAsia="仿宋"/>
          <w:sz w:val="28"/>
          <w:szCs w:val="28"/>
        </w:rPr>
        <w:t>（9）花溪区农业农村局</w:t>
      </w:r>
    </w:p>
    <w:p w14:paraId="29212ADB">
      <w:pPr>
        <w:autoSpaceDE w:val="0"/>
        <w:autoSpaceDN w:val="0"/>
        <w:adjustRightInd w:val="0"/>
        <w:ind w:firstLine="560" w:firstLineChars="200"/>
        <w:rPr>
          <w:rFonts w:eastAsia="仿宋"/>
          <w:sz w:val="28"/>
          <w:szCs w:val="28"/>
        </w:rPr>
      </w:pPr>
      <w:r>
        <w:rPr>
          <w:rFonts w:eastAsia="仿宋"/>
          <w:sz w:val="28"/>
          <w:szCs w:val="28"/>
        </w:rPr>
        <w:t>管理暴雨期间入河农灌退水排放行为，防范农业面源导致的水源地突发环境事件。协助处置因农业面源、养殖导致的水源地突发环境事件。对具有农灌功能的水源地，应急期间暂停农灌取水。</w:t>
      </w:r>
    </w:p>
    <w:p w14:paraId="53623D6F">
      <w:pPr>
        <w:autoSpaceDE w:val="0"/>
        <w:autoSpaceDN w:val="0"/>
        <w:adjustRightInd w:val="0"/>
        <w:ind w:firstLine="560" w:firstLineChars="200"/>
        <w:rPr>
          <w:rFonts w:eastAsia="仿宋"/>
          <w:sz w:val="28"/>
          <w:szCs w:val="28"/>
        </w:rPr>
      </w:pPr>
      <w:r>
        <w:rPr>
          <w:rFonts w:eastAsia="仿宋"/>
          <w:sz w:val="28"/>
          <w:szCs w:val="28"/>
        </w:rPr>
        <w:t>（10）花溪区气象局</w:t>
      </w:r>
    </w:p>
    <w:p w14:paraId="0D2D4CFA">
      <w:pPr>
        <w:autoSpaceDE w:val="0"/>
        <w:autoSpaceDN w:val="0"/>
        <w:adjustRightInd w:val="0"/>
        <w:ind w:firstLine="560" w:firstLineChars="200"/>
        <w:rPr>
          <w:rFonts w:eastAsia="仿宋"/>
          <w:sz w:val="28"/>
          <w:szCs w:val="28"/>
        </w:rPr>
      </w:pPr>
      <w:r>
        <w:rPr>
          <w:rFonts w:eastAsia="仿宋"/>
          <w:sz w:val="28"/>
          <w:szCs w:val="28"/>
        </w:rPr>
        <w:t>及时上报、通报和发布暴雨、洪水等气象信息。负责提供应急期间水源地周边气象信息，防治次生灾害发生。</w:t>
      </w:r>
    </w:p>
    <w:p w14:paraId="70A56FDF">
      <w:pPr>
        <w:autoSpaceDE w:val="0"/>
        <w:autoSpaceDN w:val="0"/>
        <w:adjustRightInd w:val="0"/>
        <w:ind w:firstLine="560" w:firstLineChars="200"/>
        <w:rPr>
          <w:rFonts w:eastAsia="仿宋"/>
          <w:sz w:val="28"/>
          <w:szCs w:val="28"/>
        </w:rPr>
      </w:pPr>
      <w:r>
        <w:rPr>
          <w:rFonts w:eastAsia="仿宋"/>
          <w:sz w:val="28"/>
          <w:szCs w:val="28"/>
        </w:rPr>
        <w:t>（11）花溪区卫生健康局</w:t>
      </w:r>
    </w:p>
    <w:p w14:paraId="5C4C7D5C">
      <w:pPr>
        <w:autoSpaceDE w:val="0"/>
        <w:autoSpaceDN w:val="0"/>
        <w:adjustRightInd w:val="0"/>
        <w:ind w:firstLine="560" w:firstLineChars="200"/>
        <w:rPr>
          <w:rFonts w:eastAsia="仿宋"/>
          <w:sz w:val="28"/>
          <w:szCs w:val="28"/>
        </w:rPr>
      </w:pPr>
      <w:r>
        <w:rPr>
          <w:rFonts w:eastAsia="仿宋"/>
          <w:sz w:val="28"/>
          <w:szCs w:val="28"/>
        </w:rPr>
        <w:t>负责自来水管网末梢水水质卫生日常管理，及时上报并通报管网末梢水水质异常信息。负责管网末梢水水质应急监测，确保应急期间居民饮水卫生安全。</w:t>
      </w:r>
    </w:p>
    <w:p w14:paraId="12FD331C">
      <w:pPr>
        <w:autoSpaceDE w:val="0"/>
        <w:autoSpaceDN w:val="0"/>
        <w:adjustRightInd w:val="0"/>
        <w:ind w:firstLine="560" w:firstLineChars="200"/>
        <w:rPr>
          <w:rFonts w:eastAsia="仿宋"/>
          <w:sz w:val="28"/>
          <w:szCs w:val="28"/>
        </w:rPr>
      </w:pPr>
      <w:r>
        <w:rPr>
          <w:rFonts w:eastAsia="仿宋"/>
          <w:sz w:val="28"/>
          <w:szCs w:val="28"/>
        </w:rPr>
        <w:t>（12）花溪区消防大队</w:t>
      </w:r>
    </w:p>
    <w:p w14:paraId="14B43005">
      <w:pPr>
        <w:autoSpaceDE w:val="0"/>
        <w:autoSpaceDN w:val="0"/>
        <w:adjustRightInd w:val="0"/>
        <w:ind w:firstLine="560" w:firstLineChars="200"/>
        <w:rPr>
          <w:rFonts w:eastAsia="仿宋"/>
          <w:sz w:val="28"/>
          <w:szCs w:val="28"/>
        </w:rPr>
      </w:pPr>
      <w:r>
        <w:rPr>
          <w:rFonts w:eastAsia="仿宋"/>
          <w:sz w:val="28"/>
          <w:szCs w:val="28"/>
        </w:rPr>
        <w:t>参与较大、重大、特大环境事件的应急救援，协助控制和降低环境事件的危害。启用本单位专用和特种运水车辆到达指定地点取水、送水和放水。</w:t>
      </w:r>
    </w:p>
    <w:p w14:paraId="29B669B2">
      <w:pPr>
        <w:autoSpaceDE w:val="0"/>
        <w:autoSpaceDN w:val="0"/>
        <w:adjustRightInd w:val="0"/>
        <w:ind w:firstLine="560" w:firstLineChars="200"/>
        <w:rPr>
          <w:rFonts w:eastAsia="仿宋"/>
          <w:sz w:val="28"/>
          <w:szCs w:val="28"/>
        </w:rPr>
      </w:pPr>
      <w:r>
        <w:rPr>
          <w:rFonts w:eastAsia="仿宋"/>
          <w:sz w:val="28"/>
          <w:szCs w:val="28"/>
        </w:rPr>
        <w:t>（13）花溪区人武部</w:t>
      </w:r>
    </w:p>
    <w:p w14:paraId="35B82B9C">
      <w:pPr>
        <w:autoSpaceDE w:val="0"/>
        <w:autoSpaceDN w:val="0"/>
        <w:adjustRightInd w:val="0"/>
        <w:ind w:firstLine="560" w:firstLineChars="200"/>
        <w:rPr>
          <w:rFonts w:eastAsia="仿宋"/>
          <w:sz w:val="28"/>
          <w:szCs w:val="28"/>
        </w:rPr>
      </w:pPr>
      <w:r>
        <w:rPr>
          <w:rFonts w:eastAsia="仿宋"/>
          <w:sz w:val="28"/>
          <w:szCs w:val="28"/>
        </w:rPr>
        <w:t>负责组织所属现役、预备役部队和民兵参加突发环境事件应急救援行动。</w:t>
      </w:r>
    </w:p>
    <w:p w14:paraId="50035C3C">
      <w:pPr>
        <w:autoSpaceDE w:val="0"/>
        <w:autoSpaceDN w:val="0"/>
        <w:adjustRightInd w:val="0"/>
        <w:ind w:firstLine="560" w:firstLineChars="200"/>
        <w:rPr>
          <w:rFonts w:eastAsia="仿宋"/>
          <w:sz w:val="28"/>
          <w:szCs w:val="28"/>
        </w:rPr>
      </w:pPr>
      <w:r>
        <w:rPr>
          <w:rFonts w:eastAsia="仿宋"/>
          <w:sz w:val="28"/>
          <w:szCs w:val="28"/>
        </w:rPr>
        <w:t>（14）花溪区政府新闻办</w:t>
      </w:r>
    </w:p>
    <w:p w14:paraId="7DC9FB54">
      <w:pPr>
        <w:autoSpaceDE w:val="0"/>
        <w:autoSpaceDN w:val="0"/>
        <w:adjustRightInd w:val="0"/>
        <w:ind w:firstLine="560" w:firstLineChars="200"/>
        <w:rPr>
          <w:rFonts w:eastAsia="仿宋"/>
          <w:sz w:val="28"/>
          <w:szCs w:val="28"/>
        </w:rPr>
      </w:pPr>
      <w:r>
        <w:rPr>
          <w:rFonts w:eastAsia="仿宋"/>
          <w:sz w:val="28"/>
          <w:szCs w:val="28"/>
        </w:rPr>
        <w:t>协调召开新闻发布会，及时发布突发事件处理进展情况及政府处置情况，健康引导社会舆论。</w:t>
      </w:r>
    </w:p>
    <w:p w14:paraId="3E90E059">
      <w:pPr>
        <w:autoSpaceDE w:val="0"/>
        <w:autoSpaceDN w:val="0"/>
        <w:adjustRightInd w:val="0"/>
        <w:ind w:firstLine="560" w:firstLineChars="200"/>
        <w:rPr>
          <w:rFonts w:eastAsia="仿宋"/>
          <w:sz w:val="28"/>
          <w:szCs w:val="28"/>
        </w:rPr>
      </w:pPr>
      <w:r>
        <w:rPr>
          <w:rFonts w:eastAsia="仿宋"/>
          <w:sz w:val="28"/>
          <w:szCs w:val="28"/>
        </w:rPr>
        <w:t>（15）水源所在地</w:t>
      </w:r>
      <w:r>
        <w:rPr>
          <w:rFonts w:hint="eastAsia" w:eastAsia="仿宋"/>
          <w:sz w:val="28"/>
          <w:szCs w:val="28"/>
        </w:rPr>
        <w:t>乡(</w:t>
      </w:r>
      <w:r>
        <w:rPr>
          <w:rFonts w:eastAsia="仿宋"/>
          <w:sz w:val="28"/>
          <w:szCs w:val="28"/>
        </w:rPr>
        <w:t>镇</w:t>
      </w:r>
      <w:r>
        <w:rPr>
          <w:rFonts w:hint="eastAsia" w:eastAsia="仿宋"/>
          <w:sz w:val="28"/>
          <w:szCs w:val="28"/>
        </w:rPr>
        <w:t>/街道办)</w:t>
      </w:r>
      <w:r>
        <w:rPr>
          <w:rFonts w:eastAsia="仿宋"/>
          <w:sz w:val="28"/>
          <w:szCs w:val="28"/>
        </w:rPr>
        <w:t>人民政府</w:t>
      </w:r>
      <w:r>
        <w:rPr>
          <w:rFonts w:hint="eastAsia" w:eastAsia="仿宋"/>
          <w:sz w:val="28"/>
          <w:szCs w:val="28"/>
        </w:rPr>
        <w:t>/办事处</w:t>
      </w:r>
    </w:p>
    <w:p w14:paraId="4C107AE4">
      <w:pPr>
        <w:autoSpaceDE w:val="0"/>
        <w:autoSpaceDN w:val="0"/>
        <w:adjustRightInd w:val="0"/>
        <w:ind w:firstLine="560" w:firstLineChars="200"/>
        <w:rPr>
          <w:rFonts w:eastAsia="仿宋"/>
          <w:sz w:val="28"/>
          <w:szCs w:val="28"/>
        </w:rPr>
      </w:pPr>
      <w:r>
        <w:rPr>
          <w:rFonts w:eastAsia="仿宋"/>
          <w:sz w:val="28"/>
          <w:szCs w:val="28"/>
        </w:rPr>
        <w:t>配合参与应急组织救援及应急处置工作，配合应急指挥部及应急办公室的工作调度。</w:t>
      </w:r>
    </w:p>
    <w:p w14:paraId="6F6FC69A">
      <w:pPr>
        <w:rPr>
          <w:rFonts w:eastAsia="仿宋"/>
        </w:rPr>
      </w:pPr>
    </w:p>
    <w:p w14:paraId="18F63A39">
      <w:pPr>
        <w:rPr>
          <w:rFonts w:eastAsia="仿宋"/>
        </w:rPr>
      </w:pPr>
    </w:p>
    <w:p w14:paraId="1568687D">
      <w:pPr>
        <w:rPr>
          <w:rFonts w:eastAsia="仿宋"/>
        </w:rPr>
        <w:sectPr>
          <w:footerReference r:id="rId9" w:type="default"/>
          <w:pgSz w:w="11906" w:h="16838"/>
          <w:pgMar w:top="1440" w:right="1644" w:bottom="1440" w:left="1644" w:header="851" w:footer="992" w:gutter="0"/>
          <w:cols w:space="425" w:num="1"/>
          <w:docGrid w:type="lines" w:linePitch="312" w:charSpace="0"/>
        </w:sectPr>
      </w:pPr>
    </w:p>
    <w:p w14:paraId="165AA60E">
      <w:pPr>
        <w:spacing w:line="240" w:lineRule="auto"/>
        <w:rPr>
          <w:rFonts w:eastAsia="仿宋"/>
          <w:sz w:val="18"/>
        </w:rPr>
      </w:pPr>
    </w:p>
    <w:p w14:paraId="365D2867">
      <w:pPr>
        <w:widowControl/>
        <w:spacing w:line="240" w:lineRule="auto"/>
        <w:jc w:val="center"/>
        <w:outlineLvl w:val="0"/>
        <w:rPr>
          <w:rFonts w:eastAsia="仿宋"/>
          <w:b/>
          <w:bCs/>
          <w:sz w:val="32"/>
          <w:szCs w:val="28"/>
        </w:rPr>
      </w:pPr>
      <w:bookmarkStart w:id="61" w:name="_Toc60930794"/>
      <w:r>
        <w:rPr>
          <w:rFonts w:eastAsia="仿宋"/>
          <w:b/>
          <w:bCs/>
          <w:sz w:val="32"/>
          <w:szCs w:val="28"/>
        </w:rPr>
        <w:t>4  应急响应</w:t>
      </w:r>
      <w:bookmarkEnd w:id="61"/>
    </w:p>
    <w:p w14:paraId="6577F7AA">
      <w:pPr>
        <w:spacing w:line="240" w:lineRule="auto"/>
        <w:rPr>
          <w:rFonts w:eastAsia="仿宋"/>
        </w:rPr>
      </w:pPr>
    </w:p>
    <w:p w14:paraId="6017C4A0">
      <w:pPr>
        <w:ind w:firstLine="480"/>
        <w:rPr>
          <w:rFonts w:eastAsia="仿宋"/>
          <w:sz w:val="28"/>
          <w:szCs w:val="28"/>
        </w:rPr>
      </w:pPr>
      <w:r>
        <w:rPr>
          <w:rFonts w:eastAsia="仿宋"/>
          <w:sz w:val="28"/>
          <w:szCs w:val="28"/>
        </w:rPr>
        <w:t>饮用水水源地地突发环境事件应急响应一般包括预警、信息报告与通报、事态研判、应急监测、污染源排查与处置、应急处置、物资调集及应急设施启用、舆情监测与信息发布、响应终止等工作内容。花溪区千人以上集中式饮用水水源地地突发环境事件工作路线详见图</w:t>
      </w:r>
      <w:r>
        <w:rPr>
          <w:rFonts w:hint="eastAsia" w:eastAsia="仿宋"/>
          <w:sz w:val="28"/>
          <w:szCs w:val="28"/>
        </w:rPr>
        <w:t>4-</w:t>
      </w:r>
      <w:r>
        <w:rPr>
          <w:rFonts w:eastAsia="仿宋"/>
          <w:sz w:val="28"/>
          <w:szCs w:val="28"/>
        </w:rPr>
        <w:t>1。</w:t>
      </w:r>
    </w:p>
    <w:p w14:paraId="6325A191">
      <w:pPr>
        <w:jc w:val="center"/>
        <w:rPr>
          <w:rFonts w:eastAsia="仿宋"/>
          <w:szCs w:val="21"/>
        </w:rPr>
      </w:pPr>
      <w:r>
        <w:rPr>
          <w:rFonts w:eastAsia="仿宋"/>
          <w:szCs w:val="21"/>
        </w:rPr>
        <w:drawing>
          <wp:inline distT="0" distB="0" distL="0" distR="0">
            <wp:extent cx="4262120" cy="5981700"/>
            <wp:effectExtent l="19050" t="0" r="4518" b="0"/>
            <wp:docPr id="2" name="图片 2" descr="C:\Users\Administrator\Desktop\QQ截图20191101192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Administrator\Desktop\QQ截图20191101192539.jpg"/>
                    <pic:cNvPicPr>
                      <a:picLocks noChangeAspect="1" noChangeArrowheads="1"/>
                    </pic:cNvPicPr>
                  </pic:nvPicPr>
                  <pic:blipFill>
                    <a:blip r:embed="rId65"/>
                    <a:srcRect/>
                    <a:stretch>
                      <a:fillRect/>
                    </a:stretch>
                  </pic:blipFill>
                  <pic:spPr>
                    <a:xfrm>
                      <a:off x="0" y="0"/>
                      <a:ext cx="4264252" cy="5983903"/>
                    </a:xfrm>
                    <a:prstGeom prst="rect">
                      <a:avLst/>
                    </a:prstGeom>
                    <a:noFill/>
                    <a:ln w="9525">
                      <a:noFill/>
                      <a:miter lim="800000"/>
                      <a:headEnd/>
                      <a:tailEnd/>
                    </a:ln>
                  </pic:spPr>
                </pic:pic>
              </a:graphicData>
            </a:graphic>
          </wp:inline>
        </w:drawing>
      </w:r>
    </w:p>
    <w:p w14:paraId="028D68E3">
      <w:pPr>
        <w:spacing w:line="240" w:lineRule="auto"/>
        <w:jc w:val="center"/>
        <w:rPr>
          <w:rFonts w:eastAsia="仿宋"/>
        </w:rPr>
      </w:pPr>
      <w:r>
        <w:rPr>
          <w:rFonts w:hint="eastAsia" w:eastAsia="仿宋"/>
          <w:b/>
        </w:rPr>
        <w:t>图4-</w:t>
      </w:r>
      <w:r>
        <w:rPr>
          <w:rFonts w:eastAsia="仿宋"/>
          <w:b/>
        </w:rPr>
        <w:t>1 应急响应工作路线图</w:t>
      </w:r>
    </w:p>
    <w:p w14:paraId="0A3556EE">
      <w:pPr>
        <w:pStyle w:val="3"/>
        <w:rPr>
          <w:rFonts w:eastAsia="仿宋"/>
          <w:sz w:val="32"/>
        </w:rPr>
      </w:pPr>
      <w:bookmarkStart w:id="62" w:name="_Toc60930795"/>
      <w:r>
        <w:rPr>
          <w:rFonts w:eastAsia="仿宋"/>
          <w:sz w:val="32"/>
        </w:rPr>
        <w:t>4.1 预警</w:t>
      </w:r>
      <w:bookmarkEnd w:id="62"/>
    </w:p>
    <w:p w14:paraId="6C6BF771">
      <w:pPr>
        <w:pStyle w:val="4"/>
        <w:spacing w:before="120" w:after="120"/>
        <w:rPr>
          <w:rFonts w:eastAsia="仿宋"/>
          <w:sz w:val="28"/>
        </w:rPr>
      </w:pPr>
      <w:r>
        <w:rPr>
          <w:rFonts w:eastAsia="仿宋"/>
          <w:sz w:val="28"/>
        </w:rPr>
        <w:t>4.1.1 预警分级</w:t>
      </w:r>
    </w:p>
    <w:p w14:paraId="7B87FFC4">
      <w:pPr>
        <w:autoSpaceDE w:val="0"/>
        <w:autoSpaceDN w:val="0"/>
        <w:adjustRightInd w:val="0"/>
        <w:ind w:firstLine="560" w:firstLineChars="200"/>
        <w:rPr>
          <w:rFonts w:eastAsia="仿宋"/>
          <w:sz w:val="28"/>
          <w:szCs w:val="28"/>
        </w:rPr>
      </w:pPr>
      <w:r>
        <w:rPr>
          <w:rFonts w:eastAsia="仿宋"/>
          <w:sz w:val="28"/>
          <w:szCs w:val="28"/>
        </w:rPr>
        <w:t>花溪区</w:t>
      </w:r>
      <w:r>
        <w:rPr>
          <w:rFonts w:hint="eastAsia" w:eastAsia="仿宋"/>
          <w:sz w:val="28"/>
          <w:szCs w:val="28"/>
        </w:rPr>
        <w:t>千人以上集中式</w:t>
      </w:r>
      <w:r>
        <w:rPr>
          <w:rFonts w:eastAsia="仿宋"/>
          <w:sz w:val="28"/>
          <w:szCs w:val="28"/>
        </w:rPr>
        <w:t>饮用水水源地突发环境事件应急预案属于花溪区人民政府专项预案，并且有适用的地域范围。为提高效率、简化程序，对可以预警的水源地突发环境事件，根据水源地重要性、污染物的危害性、事态的紧急程度、采取的响应措施以及对取水可能造成的影响等实际情况，本预案预警级别简化为橙色和红色两级预警。根据事态发展情况和采取措施的效果，预警级别可以升级、降级或解除。</w:t>
      </w:r>
    </w:p>
    <w:p w14:paraId="1CC8BCE7">
      <w:pPr>
        <w:autoSpaceDE w:val="0"/>
        <w:autoSpaceDN w:val="0"/>
        <w:adjustRightInd w:val="0"/>
        <w:ind w:firstLine="560" w:firstLineChars="200"/>
        <w:rPr>
          <w:rFonts w:eastAsia="仿宋"/>
          <w:sz w:val="28"/>
          <w:szCs w:val="28"/>
        </w:rPr>
      </w:pPr>
      <w:r>
        <w:rPr>
          <w:rFonts w:eastAsia="仿宋"/>
          <w:sz w:val="28"/>
          <w:szCs w:val="28"/>
        </w:rPr>
        <w:t>发布预警，即应采取预警行动或采取应急措施。发布橙色预警时，仅采取预警行动；发布红色预警时，在采取预警行动的同时，启动应急措施。</w:t>
      </w:r>
    </w:p>
    <w:p w14:paraId="71CE0E19">
      <w:pPr>
        <w:pStyle w:val="4"/>
        <w:spacing w:before="120" w:after="120"/>
        <w:rPr>
          <w:rFonts w:eastAsia="仿宋"/>
          <w:sz w:val="28"/>
        </w:rPr>
      </w:pPr>
      <w:r>
        <w:rPr>
          <w:rFonts w:eastAsia="仿宋"/>
          <w:sz w:val="28"/>
        </w:rPr>
        <w:t>4.1.2 预警启动的条件</w:t>
      </w:r>
    </w:p>
    <w:p w14:paraId="57097679">
      <w:pPr>
        <w:autoSpaceDE w:val="0"/>
        <w:autoSpaceDN w:val="0"/>
        <w:adjustRightInd w:val="0"/>
        <w:ind w:firstLine="560" w:firstLineChars="200"/>
        <w:rPr>
          <w:rFonts w:eastAsia="仿宋"/>
          <w:sz w:val="28"/>
          <w:szCs w:val="28"/>
        </w:rPr>
      </w:pPr>
      <w:r>
        <w:rPr>
          <w:rFonts w:eastAsia="仿宋"/>
          <w:sz w:val="28"/>
          <w:szCs w:val="28"/>
        </w:rPr>
        <w:t>1、发生以下情形的作为橙色预警启动条件</w:t>
      </w:r>
    </w:p>
    <w:p w14:paraId="008A1BC4">
      <w:pPr>
        <w:autoSpaceDE w:val="0"/>
        <w:autoSpaceDN w:val="0"/>
        <w:adjustRightInd w:val="0"/>
        <w:ind w:firstLine="560" w:firstLineChars="200"/>
        <w:rPr>
          <w:rFonts w:eastAsia="仿宋"/>
          <w:sz w:val="28"/>
          <w:szCs w:val="28"/>
        </w:rPr>
      </w:pPr>
      <w:r>
        <w:rPr>
          <w:rFonts w:eastAsia="仿宋"/>
          <w:sz w:val="28"/>
          <w:szCs w:val="28"/>
        </w:rPr>
        <w:t>（1）通过信息报告发现，在一级、二级保护区外发生突发环境事件，可能会影响水源地一级、二级保护区。</w:t>
      </w:r>
    </w:p>
    <w:p w14:paraId="7733B64E">
      <w:pPr>
        <w:autoSpaceDE w:val="0"/>
        <w:autoSpaceDN w:val="0"/>
        <w:adjustRightInd w:val="0"/>
        <w:ind w:firstLine="560" w:firstLineChars="200"/>
        <w:rPr>
          <w:rFonts w:eastAsia="仿宋"/>
          <w:sz w:val="28"/>
          <w:szCs w:val="28"/>
        </w:rPr>
      </w:pPr>
      <w:r>
        <w:rPr>
          <w:rFonts w:eastAsia="仿宋"/>
          <w:sz w:val="28"/>
          <w:szCs w:val="28"/>
        </w:rPr>
        <w:t>（2）通过信息报告发现，当污染物迁移至水源地应急预案适用的地域范围，但水源保护区或其连接水体尚未受到污染，或是污染物已进入水源保护区上游连接水体，但应急专家组研判认为对水源地水质影响可能较小、可能不影响取水。</w:t>
      </w:r>
    </w:p>
    <w:p w14:paraId="271D6CCD">
      <w:pPr>
        <w:autoSpaceDE w:val="0"/>
        <w:autoSpaceDN w:val="0"/>
        <w:adjustRightInd w:val="0"/>
        <w:ind w:firstLine="560" w:firstLineChars="200"/>
        <w:rPr>
          <w:rFonts w:eastAsia="仿宋"/>
          <w:sz w:val="28"/>
          <w:szCs w:val="28"/>
        </w:rPr>
      </w:pPr>
      <w:r>
        <w:rPr>
          <w:rFonts w:eastAsia="仿宋"/>
          <w:sz w:val="28"/>
          <w:szCs w:val="28"/>
        </w:rPr>
        <w:t>2、发生以下情况作为红色预警启动条件</w:t>
      </w:r>
    </w:p>
    <w:p w14:paraId="4D29F6E1">
      <w:pPr>
        <w:autoSpaceDE w:val="0"/>
        <w:autoSpaceDN w:val="0"/>
        <w:adjustRightInd w:val="0"/>
        <w:ind w:firstLine="560" w:firstLineChars="200"/>
        <w:rPr>
          <w:rFonts w:eastAsia="仿宋"/>
          <w:sz w:val="28"/>
          <w:szCs w:val="28"/>
        </w:rPr>
      </w:pPr>
      <w:r>
        <w:rPr>
          <w:rFonts w:eastAsia="仿宋"/>
          <w:sz w:val="28"/>
          <w:szCs w:val="28"/>
        </w:rPr>
        <w:t>（1）通过信息报告发现，在一级、二级保护区内发生突发环境事件。</w:t>
      </w:r>
    </w:p>
    <w:p w14:paraId="0AAE5BBB">
      <w:pPr>
        <w:autoSpaceDE w:val="0"/>
        <w:autoSpaceDN w:val="0"/>
        <w:adjustRightInd w:val="0"/>
        <w:ind w:firstLine="560" w:firstLineChars="200"/>
        <w:rPr>
          <w:rFonts w:eastAsia="仿宋"/>
          <w:sz w:val="28"/>
          <w:szCs w:val="28"/>
        </w:rPr>
      </w:pPr>
      <w:r>
        <w:rPr>
          <w:rFonts w:eastAsia="仿宋"/>
          <w:sz w:val="28"/>
          <w:szCs w:val="28"/>
        </w:rPr>
        <w:t>（2）通过信息报告发现，在二级保护区上游汇水区域4小时流程范围内发生固定源或流动源突发环境事件，或污染物已扩散至距水源保护区上游连接水体的直线距离不足100米的陆域或水域。</w:t>
      </w:r>
    </w:p>
    <w:p w14:paraId="3F0238A3">
      <w:pPr>
        <w:autoSpaceDE w:val="0"/>
        <w:autoSpaceDN w:val="0"/>
        <w:adjustRightInd w:val="0"/>
        <w:ind w:firstLine="560" w:firstLineChars="200"/>
        <w:rPr>
          <w:rFonts w:eastAsia="仿宋"/>
          <w:sz w:val="28"/>
          <w:szCs w:val="28"/>
        </w:rPr>
      </w:pPr>
      <w:r>
        <w:rPr>
          <w:rFonts w:eastAsia="仿宋"/>
          <w:sz w:val="28"/>
          <w:szCs w:val="28"/>
        </w:rPr>
        <w:t>（3）通过信息报告发现，在二级保护区上游汇水区域8小时流程范围内发生固定源或流动源突发环境事件，或污染物已扩散至距水源保护区上游连接水体的直线距离不足200米的陆域或水域，经水质监测和信息研判，判断污染物迁移至取水口位置时，相应指标浓度仍会超标的。</w:t>
      </w:r>
    </w:p>
    <w:p w14:paraId="53604BCB">
      <w:pPr>
        <w:autoSpaceDE w:val="0"/>
        <w:autoSpaceDN w:val="0"/>
        <w:adjustRightInd w:val="0"/>
        <w:ind w:firstLine="560" w:firstLineChars="200"/>
        <w:rPr>
          <w:rFonts w:eastAsia="仿宋"/>
          <w:sz w:val="28"/>
          <w:szCs w:val="28"/>
        </w:rPr>
      </w:pPr>
      <w:r>
        <w:rPr>
          <w:rFonts w:eastAsia="仿宋"/>
          <w:sz w:val="28"/>
          <w:szCs w:val="28"/>
        </w:rPr>
        <w:t>（4）通过监测发现，水源保护区或其上游连接水体理化指标异常。</w:t>
      </w:r>
    </w:p>
    <w:p w14:paraId="1AA8B26F">
      <w:pPr>
        <w:autoSpaceDE w:val="0"/>
        <w:autoSpaceDN w:val="0"/>
        <w:adjustRightInd w:val="0"/>
        <w:ind w:firstLine="560" w:firstLineChars="200"/>
        <w:rPr>
          <w:rFonts w:eastAsia="仿宋"/>
          <w:sz w:val="28"/>
          <w:szCs w:val="28"/>
        </w:rPr>
      </w:pPr>
      <w:r>
        <w:rPr>
          <w:rFonts w:hint="eastAsia" w:ascii="宋体" w:hAnsi="宋体" w:cs="宋体"/>
          <w:sz w:val="28"/>
          <w:szCs w:val="28"/>
        </w:rPr>
        <w:t>①</w:t>
      </w:r>
      <w:r>
        <w:rPr>
          <w:rFonts w:eastAsia="仿宋"/>
          <w:sz w:val="28"/>
          <w:szCs w:val="28"/>
        </w:rPr>
        <w:t>在二级保护区内，出现水质监测指标超标或生物综合毒性异常，经实验室监（复）测确认的。</w:t>
      </w:r>
    </w:p>
    <w:p w14:paraId="154AEE9F">
      <w:pPr>
        <w:autoSpaceDE w:val="0"/>
        <w:autoSpaceDN w:val="0"/>
        <w:adjustRightInd w:val="0"/>
        <w:ind w:firstLine="560" w:firstLineChars="200"/>
        <w:rPr>
          <w:rFonts w:eastAsia="仿宋"/>
          <w:sz w:val="28"/>
          <w:szCs w:val="28"/>
        </w:rPr>
      </w:pPr>
      <w:r>
        <w:rPr>
          <w:rFonts w:hint="eastAsia" w:ascii="宋体" w:hAnsi="宋体" w:cs="宋体"/>
          <w:sz w:val="28"/>
          <w:szCs w:val="28"/>
        </w:rPr>
        <w:t>②</w:t>
      </w:r>
      <w:r>
        <w:rPr>
          <w:rFonts w:eastAsia="仿宋"/>
          <w:sz w:val="28"/>
          <w:szCs w:val="28"/>
        </w:rPr>
        <w:t>在二级保护区上游8小时流程范围内，出现水质监测指标、有毒有害物质或生物综合毒性异常，且污染物浓度持续升高的。</w:t>
      </w:r>
    </w:p>
    <w:p w14:paraId="7E6007C5">
      <w:pPr>
        <w:autoSpaceDE w:val="0"/>
        <w:autoSpaceDN w:val="0"/>
        <w:adjustRightInd w:val="0"/>
        <w:ind w:firstLine="560" w:firstLineChars="200"/>
        <w:rPr>
          <w:rFonts w:eastAsia="仿宋"/>
          <w:sz w:val="28"/>
          <w:szCs w:val="28"/>
        </w:rPr>
      </w:pPr>
      <w:r>
        <w:rPr>
          <w:rFonts w:hint="eastAsia" w:ascii="宋体" w:hAnsi="宋体" w:cs="宋体"/>
          <w:sz w:val="28"/>
          <w:szCs w:val="28"/>
        </w:rPr>
        <w:t>③</w:t>
      </w:r>
      <w:r>
        <w:rPr>
          <w:rFonts w:eastAsia="仿宋"/>
          <w:sz w:val="28"/>
          <w:szCs w:val="28"/>
        </w:rPr>
        <w:t>在二级保护区上游4小时流程范围内，出现水质监测指标、有毒有害物质或生物综合毒性异常的。</w:t>
      </w:r>
    </w:p>
    <w:p w14:paraId="402CCCA4">
      <w:pPr>
        <w:autoSpaceDE w:val="0"/>
        <w:autoSpaceDN w:val="0"/>
        <w:adjustRightInd w:val="0"/>
        <w:ind w:firstLine="560" w:firstLineChars="200"/>
        <w:rPr>
          <w:rFonts w:eastAsia="仿宋"/>
          <w:sz w:val="28"/>
          <w:szCs w:val="28"/>
        </w:rPr>
      </w:pPr>
      <w:r>
        <w:rPr>
          <w:rFonts w:eastAsia="仿宋"/>
          <w:sz w:val="28"/>
          <w:szCs w:val="28"/>
        </w:rPr>
        <w:t>（5）通过监测发现，水源保护区或其上游连接水体感官性状异常，即水体出现异常颜色或气味的。</w:t>
      </w:r>
    </w:p>
    <w:p w14:paraId="5BB614A7">
      <w:pPr>
        <w:autoSpaceDE w:val="0"/>
        <w:autoSpaceDN w:val="0"/>
        <w:adjustRightInd w:val="0"/>
        <w:ind w:firstLine="560" w:firstLineChars="200"/>
        <w:rPr>
          <w:rFonts w:eastAsia="仿宋"/>
          <w:sz w:val="28"/>
          <w:szCs w:val="28"/>
        </w:rPr>
      </w:pPr>
      <w:r>
        <w:rPr>
          <w:rFonts w:eastAsia="仿宋"/>
          <w:sz w:val="28"/>
          <w:szCs w:val="28"/>
        </w:rPr>
        <w:t>（6）通过监测发现，水源保护区或其上游连接水体生态指标异常，即水面出现大面积死鱼或生物综合毒性异常并经实验室监测后确认的。</w:t>
      </w:r>
    </w:p>
    <w:p w14:paraId="10FC270F">
      <w:pPr>
        <w:pStyle w:val="4"/>
        <w:spacing w:before="120" w:after="120"/>
        <w:rPr>
          <w:rFonts w:eastAsia="仿宋"/>
          <w:sz w:val="28"/>
        </w:rPr>
      </w:pPr>
      <w:r>
        <w:rPr>
          <w:rFonts w:eastAsia="仿宋"/>
          <w:sz w:val="28"/>
        </w:rPr>
        <w:t>4.1.3 预警发布和预警级别调整</w:t>
      </w:r>
    </w:p>
    <w:p w14:paraId="6C4D72DE">
      <w:pPr>
        <w:autoSpaceDE w:val="0"/>
        <w:autoSpaceDN w:val="0"/>
        <w:adjustRightInd w:val="0"/>
        <w:ind w:firstLine="560" w:firstLineChars="200"/>
        <w:rPr>
          <w:rFonts w:eastAsia="仿宋"/>
          <w:sz w:val="28"/>
          <w:szCs w:val="28"/>
        </w:rPr>
      </w:pPr>
      <w:r>
        <w:rPr>
          <w:rFonts w:eastAsia="仿宋"/>
          <w:sz w:val="28"/>
          <w:szCs w:val="28"/>
        </w:rPr>
        <w:t>花溪区</w:t>
      </w:r>
      <w:r>
        <w:rPr>
          <w:rFonts w:hint="eastAsia" w:eastAsia="仿宋"/>
          <w:sz w:val="28"/>
          <w:szCs w:val="28"/>
        </w:rPr>
        <w:t>千人以上集中式</w:t>
      </w:r>
      <w:r>
        <w:rPr>
          <w:rFonts w:eastAsia="仿宋"/>
          <w:sz w:val="28"/>
          <w:szCs w:val="28"/>
        </w:rPr>
        <w:t>饮用水水源地突发环境事件应急指挥部负责组织有关部门和专家组根据污染物的危害性、事态的紧急程度以及对取水可能造成的影响等实际情况，进行研判，预估可能的影响范围和危害程度，提出预警级别。</w:t>
      </w:r>
    </w:p>
    <w:p w14:paraId="42697E46">
      <w:pPr>
        <w:autoSpaceDE w:val="0"/>
        <w:autoSpaceDN w:val="0"/>
        <w:adjustRightInd w:val="0"/>
        <w:ind w:firstLine="560" w:firstLineChars="200"/>
        <w:rPr>
          <w:rFonts w:eastAsia="仿宋"/>
          <w:sz w:val="28"/>
          <w:szCs w:val="28"/>
        </w:rPr>
      </w:pPr>
      <w:r>
        <w:rPr>
          <w:rFonts w:eastAsia="仿宋"/>
          <w:sz w:val="28"/>
          <w:szCs w:val="28"/>
        </w:rPr>
        <w:t>橙色预警由花溪区</w:t>
      </w:r>
      <w:r>
        <w:rPr>
          <w:rFonts w:hint="eastAsia" w:eastAsia="仿宋"/>
          <w:sz w:val="28"/>
          <w:szCs w:val="28"/>
        </w:rPr>
        <w:t>千人以上集中式</w:t>
      </w:r>
      <w:r>
        <w:rPr>
          <w:rFonts w:eastAsia="仿宋"/>
          <w:sz w:val="28"/>
          <w:szCs w:val="28"/>
        </w:rPr>
        <w:t>饮用水水源地突发环境事件应急指挥部发布并报</w:t>
      </w:r>
      <w:r>
        <w:rPr>
          <w:rFonts w:hint="eastAsia" w:eastAsia="仿宋"/>
          <w:sz w:val="28"/>
          <w:szCs w:val="28"/>
        </w:rPr>
        <w:t>区</w:t>
      </w:r>
      <w:r>
        <w:rPr>
          <w:rFonts w:eastAsia="仿宋"/>
          <w:sz w:val="28"/>
          <w:szCs w:val="28"/>
        </w:rPr>
        <w:t>指挥部，红色预警由</w:t>
      </w:r>
      <w:r>
        <w:rPr>
          <w:rFonts w:hint="eastAsia" w:eastAsia="仿宋"/>
          <w:sz w:val="28"/>
          <w:szCs w:val="28"/>
        </w:rPr>
        <w:t>区</w:t>
      </w:r>
      <w:r>
        <w:rPr>
          <w:rFonts w:eastAsia="仿宋"/>
          <w:sz w:val="28"/>
          <w:szCs w:val="28"/>
        </w:rPr>
        <w:t>指挥部负责发布并由贵阳市政府报省政府。</w:t>
      </w:r>
    </w:p>
    <w:p w14:paraId="14B16BB9">
      <w:pPr>
        <w:autoSpaceDE w:val="0"/>
        <w:autoSpaceDN w:val="0"/>
        <w:adjustRightInd w:val="0"/>
        <w:ind w:firstLine="560" w:firstLineChars="200"/>
        <w:rPr>
          <w:rFonts w:eastAsia="仿宋"/>
          <w:sz w:val="28"/>
          <w:szCs w:val="28"/>
        </w:rPr>
      </w:pPr>
      <w:r>
        <w:rPr>
          <w:rFonts w:eastAsia="仿宋"/>
          <w:sz w:val="28"/>
          <w:szCs w:val="28"/>
        </w:rPr>
        <w:t>橙色预警：存在环境安全隐患，可能发生或引发一般突发环境事件的；或事件已经发生，可能进一步扩大影响范围，造成公共危害的。</w:t>
      </w:r>
    </w:p>
    <w:p w14:paraId="7A6C4FFE">
      <w:pPr>
        <w:autoSpaceDE w:val="0"/>
        <w:autoSpaceDN w:val="0"/>
        <w:adjustRightInd w:val="0"/>
        <w:ind w:firstLine="560" w:firstLineChars="200"/>
        <w:rPr>
          <w:rFonts w:eastAsia="仿宋"/>
          <w:sz w:val="28"/>
          <w:szCs w:val="28"/>
        </w:rPr>
      </w:pPr>
      <w:r>
        <w:rPr>
          <w:rFonts w:eastAsia="仿宋"/>
          <w:sz w:val="28"/>
          <w:szCs w:val="28"/>
        </w:rPr>
        <w:t>红色预警：情况比较紧急，可能发生或引发较大突发环境事件的；或事件已经发生，可能进一步扩大影响范围，造成较大危害的。</w:t>
      </w:r>
    </w:p>
    <w:p w14:paraId="575CBBD3">
      <w:pPr>
        <w:autoSpaceDE w:val="0"/>
        <w:autoSpaceDN w:val="0"/>
        <w:adjustRightInd w:val="0"/>
        <w:ind w:firstLine="560" w:firstLineChars="200"/>
        <w:rPr>
          <w:rFonts w:eastAsia="仿宋"/>
          <w:sz w:val="28"/>
          <w:szCs w:val="28"/>
        </w:rPr>
      </w:pPr>
      <w:r>
        <w:rPr>
          <w:rFonts w:eastAsia="仿宋"/>
          <w:sz w:val="28"/>
          <w:szCs w:val="28"/>
        </w:rPr>
        <w:t>预警信息应涵盖下列内容：</w:t>
      </w:r>
    </w:p>
    <w:p w14:paraId="3829C022">
      <w:pPr>
        <w:autoSpaceDE w:val="0"/>
        <w:autoSpaceDN w:val="0"/>
        <w:adjustRightInd w:val="0"/>
        <w:ind w:firstLine="560" w:firstLineChars="200"/>
        <w:rPr>
          <w:rFonts w:eastAsia="仿宋"/>
          <w:sz w:val="28"/>
          <w:szCs w:val="28"/>
        </w:rPr>
      </w:pPr>
      <w:r>
        <w:rPr>
          <w:rFonts w:eastAsia="仿宋"/>
          <w:sz w:val="28"/>
          <w:szCs w:val="28"/>
        </w:rPr>
        <w:t>（1）发生事件的时间、地点，信息来源、事件性质，简要过程，初步判断事件原因；</w:t>
      </w:r>
    </w:p>
    <w:p w14:paraId="4A609E6C">
      <w:pPr>
        <w:autoSpaceDE w:val="0"/>
        <w:autoSpaceDN w:val="0"/>
        <w:adjustRightInd w:val="0"/>
        <w:ind w:firstLine="560" w:firstLineChars="200"/>
        <w:rPr>
          <w:rFonts w:eastAsia="仿宋"/>
          <w:sz w:val="28"/>
          <w:szCs w:val="28"/>
        </w:rPr>
      </w:pPr>
      <w:r>
        <w:rPr>
          <w:rFonts w:eastAsia="仿宋"/>
          <w:sz w:val="28"/>
          <w:szCs w:val="28"/>
        </w:rPr>
        <w:t>（2）事件造成的危害程度，影响范围，有无伤亡，事件发展趋势：</w:t>
      </w:r>
    </w:p>
    <w:p w14:paraId="031540F3">
      <w:pPr>
        <w:autoSpaceDE w:val="0"/>
        <w:autoSpaceDN w:val="0"/>
        <w:adjustRightInd w:val="0"/>
        <w:ind w:firstLine="560" w:firstLineChars="200"/>
        <w:rPr>
          <w:rFonts w:eastAsia="仿宋"/>
          <w:sz w:val="28"/>
          <w:szCs w:val="28"/>
        </w:rPr>
      </w:pPr>
      <w:r>
        <w:rPr>
          <w:rFonts w:eastAsia="仿宋"/>
          <w:sz w:val="28"/>
          <w:szCs w:val="28"/>
        </w:rPr>
        <w:t>（3）事件发生后采取的应急处置措施及事件控制情况；</w:t>
      </w:r>
    </w:p>
    <w:p w14:paraId="7BB3D2E5">
      <w:pPr>
        <w:autoSpaceDE w:val="0"/>
        <w:autoSpaceDN w:val="0"/>
        <w:adjustRightInd w:val="0"/>
        <w:ind w:firstLine="560" w:firstLineChars="200"/>
        <w:rPr>
          <w:rFonts w:eastAsia="仿宋"/>
          <w:sz w:val="28"/>
          <w:szCs w:val="28"/>
        </w:rPr>
      </w:pPr>
      <w:r>
        <w:rPr>
          <w:rFonts w:eastAsia="仿宋"/>
          <w:sz w:val="28"/>
          <w:szCs w:val="28"/>
        </w:rPr>
        <w:t>（4）有关部门和单位协助抢救和处理的相关事宜及其他需上报的事项；</w:t>
      </w:r>
    </w:p>
    <w:p w14:paraId="24A279D2">
      <w:pPr>
        <w:autoSpaceDE w:val="0"/>
        <w:autoSpaceDN w:val="0"/>
        <w:adjustRightInd w:val="0"/>
        <w:ind w:firstLine="560" w:firstLineChars="200"/>
        <w:rPr>
          <w:rFonts w:eastAsia="仿宋"/>
          <w:sz w:val="28"/>
          <w:szCs w:val="28"/>
        </w:rPr>
      </w:pPr>
      <w:r>
        <w:rPr>
          <w:rFonts w:eastAsia="仿宋"/>
          <w:sz w:val="28"/>
          <w:szCs w:val="28"/>
        </w:rPr>
        <w:t>（5）事件报告单位负责人签字或加盖单位印章、报告时间。应急处理过程中，要及时续报有关情况。</w:t>
      </w:r>
    </w:p>
    <w:p w14:paraId="5E4FDAEF">
      <w:pPr>
        <w:autoSpaceDE w:val="0"/>
        <w:autoSpaceDN w:val="0"/>
        <w:adjustRightInd w:val="0"/>
        <w:ind w:firstLine="560" w:firstLineChars="200"/>
        <w:rPr>
          <w:rFonts w:eastAsia="仿宋"/>
          <w:sz w:val="28"/>
          <w:szCs w:val="28"/>
        </w:rPr>
      </w:pPr>
      <w:r>
        <w:rPr>
          <w:rFonts w:eastAsia="仿宋"/>
          <w:sz w:val="28"/>
          <w:szCs w:val="28"/>
        </w:rPr>
        <w:t>预警发布的对象，主要针对组织实施预警行动和应急处置行动的部门、单位。</w:t>
      </w:r>
    </w:p>
    <w:p w14:paraId="7C12A9E1">
      <w:pPr>
        <w:autoSpaceDE w:val="0"/>
        <w:autoSpaceDN w:val="0"/>
        <w:adjustRightInd w:val="0"/>
        <w:ind w:firstLine="560" w:firstLineChars="200"/>
        <w:rPr>
          <w:rFonts w:eastAsia="仿宋"/>
          <w:sz w:val="28"/>
          <w:szCs w:val="28"/>
        </w:rPr>
      </w:pPr>
      <w:r>
        <w:rPr>
          <w:rFonts w:eastAsia="仿宋"/>
          <w:sz w:val="28"/>
          <w:szCs w:val="28"/>
        </w:rPr>
        <w:t>根据事态发展情况和采取措施的效果，预警级别可以升级、降级或解除。</w:t>
      </w:r>
    </w:p>
    <w:p w14:paraId="3C0EAAF4">
      <w:pPr>
        <w:autoSpaceDE w:val="0"/>
        <w:autoSpaceDN w:val="0"/>
        <w:adjustRightInd w:val="0"/>
        <w:ind w:firstLine="560" w:firstLineChars="200"/>
        <w:rPr>
          <w:rFonts w:eastAsia="仿宋"/>
          <w:sz w:val="28"/>
          <w:szCs w:val="28"/>
        </w:rPr>
      </w:pPr>
      <w:r>
        <w:rPr>
          <w:rFonts w:eastAsia="仿宋"/>
          <w:sz w:val="28"/>
          <w:szCs w:val="28"/>
        </w:rPr>
        <w:t>预警信息的发布、调整和解除可通过广播、电视、报刊、通信、信息网络、警报器、宣传车或组织人员逐户通知等方式进行，对老、幼、病、残、孕等特殊人群以及学校等特殊场所和警报盲区应当采取有针对性的公告方式。</w:t>
      </w:r>
    </w:p>
    <w:p w14:paraId="59F3BE2B">
      <w:pPr>
        <w:pStyle w:val="4"/>
        <w:spacing w:before="120" w:after="120"/>
        <w:rPr>
          <w:rFonts w:eastAsia="仿宋"/>
          <w:sz w:val="28"/>
        </w:rPr>
      </w:pPr>
      <w:r>
        <w:rPr>
          <w:rFonts w:eastAsia="仿宋"/>
          <w:sz w:val="28"/>
        </w:rPr>
        <w:t>4.1.4 预警行动</w:t>
      </w:r>
    </w:p>
    <w:p w14:paraId="7C83B5EC">
      <w:pPr>
        <w:autoSpaceDE w:val="0"/>
        <w:autoSpaceDN w:val="0"/>
        <w:adjustRightInd w:val="0"/>
        <w:ind w:firstLine="560" w:firstLineChars="200"/>
        <w:rPr>
          <w:rFonts w:eastAsia="仿宋"/>
          <w:sz w:val="28"/>
          <w:szCs w:val="28"/>
        </w:rPr>
      </w:pPr>
      <w:r>
        <w:rPr>
          <w:rFonts w:eastAsia="仿宋"/>
          <w:sz w:val="28"/>
          <w:szCs w:val="28"/>
        </w:rPr>
        <w:t>当发布橙色预警时，应急指挥部根据突发环境事件情景，应选择有直接关系的部门和单位实施预警行动，并由花溪区</w:t>
      </w:r>
      <w:r>
        <w:rPr>
          <w:rFonts w:hint="eastAsia" w:eastAsia="仿宋"/>
          <w:sz w:val="28"/>
          <w:szCs w:val="28"/>
        </w:rPr>
        <w:t>千人以上集中式</w:t>
      </w:r>
      <w:r>
        <w:rPr>
          <w:rFonts w:eastAsia="仿宋"/>
          <w:sz w:val="28"/>
          <w:szCs w:val="28"/>
        </w:rPr>
        <w:t>饮用水水源地突发环境事件应急指挥部通知上述各组负责人员及成员单位。实施预警行动的部门和单位应当采取以下措施：</w:t>
      </w:r>
    </w:p>
    <w:p w14:paraId="7173D533">
      <w:pPr>
        <w:autoSpaceDE w:val="0"/>
        <w:autoSpaceDN w:val="0"/>
        <w:adjustRightInd w:val="0"/>
        <w:ind w:firstLine="560" w:firstLineChars="200"/>
        <w:rPr>
          <w:rFonts w:eastAsia="仿宋"/>
          <w:sz w:val="28"/>
          <w:szCs w:val="28"/>
        </w:rPr>
      </w:pPr>
      <w:r>
        <w:rPr>
          <w:rFonts w:eastAsia="仿宋"/>
          <w:sz w:val="28"/>
          <w:szCs w:val="28"/>
        </w:rPr>
        <w:t>（1）通知现场应急处置组的有关单位和人员做好应急准备，进入待命状态，必要时到达现场开展相关工作。</w:t>
      </w:r>
    </w:p>
    <w:p w14:paraId="00E83618">
      <w:pPr>
        <w:autoSpaceDE w:val="0"/>
        <w:autoSpaceDN w:val="0"/>
        <w:adjustRightInd w:val="0"/>
        <w:ind w:firstLine="560" w:firstLineChars="200"/>
        <w:rPr>
          <w:rFonts w:eastAsia="仿宋"/>
          <w:sz w:val="28"/>
          <w:szCs w:val="28"/>
        </w:rPr>
      </w:pPr>
      <w:r>
        <w:rPr>
          <w:rFonts w:eastAsia="仿宋"/>
          <w:sz w:val="28"/>
          <w:szCs w:val="28"/>
        </w:rPr>
        <w:t>（2）通知水源地对应的供水单位进入待命状态，做好停止取水、深度处理、低压供水或启动备用水源等准备。</w:t>
      </w:r>
    </w:p>
    <w:p w14:paraId="0B2E22E6">
      <w:pPr>
        <w:autoSpaceDE w:val="0"/>
        <w:autoSpaceDN w:val="0"/>
        <w:adjustRightInd w:val="0"/>
        <w:ind w:firstLine="560" w:firstLineChars="200"/>
        <w:rPr>
          <w:rFonts w:eastAsia="仿宋"/>
          <w:sz w:val="28"/>
          <w:szCs w:val="28"/>
        </w:rPr>
      </w:pPr>
      <w:r>
        <w:rPr>
          <w:rFonts w:eastAsia="仿宋"/>
          <w:sz w:val="28"/>
          <w:szCs w:val="28"/>
        </w:rPr>
        <w:t>（3）加强信息监控，核实突发环境事件污染来源、进入水体的污染物种类和总量、污染扩散范围等信息。</w:t>
      </w:r>
    </w:p>
    <w:p w14:paraId="5F075ACB">
      <w:pPr>
        <w:autoSpaceDE w:val="0"/>
        <w:autoSpaceDN w:val="0"/>
        <w:adjustRightInd w:val="0"/>
        <w:ind w:firstLine="560" w:firstLineChars="200"/>
        <w:rPr>
          <w:rFonts w:eastAsia="仿宋"/>
          <w:sz w:val="28"/>
          <w:szCs w:val="28"/>
        </w:rPr>
      </w:pPr>
      <w:r>
        <w:rPr>
          <w:rFonts w:eastAsia="仿宋"/>
          <w:sz w:val="28"/>
          <w:szCs w:val="28"/>
        </w:rPr>
        <w:t>（4）做好应急监测准备。</w:t>
      </w:r>
    </w:p>
    <w:p w14:paraId="05A43AAE">
      <w:pPr>
        <w:autoSpaceDE w:val="0"/>
        <w:autoSpaceDN w:val="0"/>
        <w:adjustRightInd w:val="0"/>
        <w:ind w:firstLine="560" w:firstLineChars="200"/>
        <w:rPr>
          <w:rFonts w:eastAsia="仿宋"/>
          <w:sz w:val="28"/>
          <w:szCs w:val="28"/>
        </w:rPr>
      </w:pPr>
      <w:r>
        <w:rPr>
          <w:rFonts w:eastAsia="仿宋"/>
          <w:sz w:val="28"/>
          <w:szCs w:val="28"/>
        </w:rPr>
        <w:t>（5）做好事件信息上报和通报。</w:t>
      </w:r>
    </w:p>
    <w:p w14:paraId="2DA200FB">
      <w:pPr>
        <w:autoSpaceDE w:val="0"/>
        <w:autoSpaceDN w:val="0"/>
        <w:adjustRightInd w:val="0"/>
        <w:ind w:firstLine="560" w:firstLineChars="200"/>
        <w:rPr>
          <w:rFonts w:eastAsia="仿宋"/>
          <w:sz w:val="28"/>
          <w:szCs w:val="28"/>
        </w:rPr>
      </w:pPr>
      <w:r>
        <w:rPr>
          <w:rFonts w:eastAsia="仿宋"/>
          <w:sz w:val="28"/>
          <w:szCs w:val="28"/>
        </w:rPr>
        <w:t>（6）加强舆情监测、引导和应对工作。</w:t>
      </w:r>
    </w:p>
    <w:p w14:paraId="5AFBE630">
      <w:pPr>
        <w:autoSpaceDE w:val="0"/>
        <w:autoSpaceDN w:val="0"/>
        <w:adjustRightInd w:val="0"/>
        <w:ind w:firstLine="560" w:firstLineChars="200"/>
        <w:rPr>
          <w:rFonts w:eastAsia="仿宋"/>
          <w:sz w:val="28"/>
          <w:szCs w:val="28"/>
        </w:rPr>
      </w:pPr>
      <w:r>
        <w:rPr>
          <w:rFonts w:eastAsia="仿宋"/>
          <w:sz w:val="28"/>
          <w:szCs w:val="28"/>
        </w:rPr>
        <w:t>当发布红色预警时，应急指挥部的指挥长、副指挥长应当到达现场，组织开展应急响应工作，实施预警行动的部门和单位应采取相应的措施：</w:t>
      </w:r>
    </w:p>
    <w:p w14:paraId="2F0D0EE5">
      <w:pPr>
        <w:autoSpaceDE w:val="0"/>
        <w:autoSpaceDN w:val="0"/>
        <w:adjustRightInd w:val="0"/>
        <w:ind w:firstLine="560" w:firstLineChars="200"/>
        <w:rPr>
          <w:rFonts w:eastAsia="仿宋"/>
          <w:sz w:val="28"/>
          <w:szCs w:val="28"/>
        </w:rPr>
      </w:pPr>
      <w:r>
        <w:rPr>
          <w:rFonts w:eastAsia="仿宋"/>
          <w:sz w:val="28"/>
          <w:szCs w:val="28"/>
        </w:rPr>
        <w:t>（1）下达启动水源地应急预案的命令。</w:t>
      </w:r>
    </w:p>
    <w:p w14:paraId="3A810261">
      <w:pPr>
        <w:autoSpaceDE w:val="0"/>
        <w:autoSpaceDN w:val="0"/>
        <w:adjustRightInd w:val="0"/>
        <w:ind w:firstLine="560" w:firstLineChars="200"/>
        <w:rPr>
          <w:rFonts w:eastAsia="仿宋"/>
          <w:sz w:val="28"/>
          <w:szCs w:val="28"/>
        </w:rPr>
      </w:pPr>
      <w:r>
        <w:rPr>
          <w:rFonts w:eastAsia="仿宋"/>
          <w:sz w:val="28"/>
          <w:szCs w:val="28"/>
        </w:rPr>
        <w:t>（2）通知各组负责人及有关单位和人员做好应急准备，进入待命状态，必要时到达现场开展相关工作。</w:t>
      </w:r>
    </w:p>
    <w:p w14:paraId="2A5706E8">
      <w:pPr>
        <w:autoSpaceDE w:val="0"/>
        <w:autoSpaceDN w:val="0"/>
        <w:adjustRightInd w:val="0"/>
        <w:ind w:firstLine="560" w:firstLineChars="200"/>
        <w:rPr>
          <w:rFonts w:eastAsia="仿宋"/>
          <w:sz w:val="28"/>
          <w:szCs w:val="28"/>
        </w:rPr>
      </w:pPr>
      <w:r>
        <w:rPr>
          <w:rFonts w:eastAsia="仿宋"/>
          <w:sz w:val="28"/>
          <w:szCs w:val="28"/>
        </w:rPr>
        <w:t>（3）通知水源地对应的供水单位进入待命状态，做好停止取水、深度处理、低压供水或启动备用水源等准备。</w:t>
      </w:r>
    </w:p>
    <w:p w14:paraId="164DA8A8">
      <w:pPr>
        <w:autoSpaceDE w:val="0"/>
        <w:autoSpaceDN w:val="0"/>
        <w:adjustRightInd w:val="0"/>
        <w:ind w:firstLine="560" w:firstLineChars="200"/>
        <w:rPr>
          <w:rFonts w:eastAsia="仿宋"/>
          <w:sz w:val="28"/>
          <w:szCs w:val="28"/>
        </w:rPr>
      </w:pPr>
      <w:r>
        <w:rPr>
          <w:rFonts w:eastAsia="仿宋"/>
          <w:sz w:val="28"/>
          <w:szCs w:val="28"/>
        </w:rPr>
        <w:t>（4）加强信息监控，核实突发环境事件污染来源、进入水体的污染物种类和总量、污染扩散范围等信息。</w:t>
      </w:r>
    </w:p>
    <w:p w14:paraId="163E08EC">
      <w:pPr>
        <w:autoSpaceDE w:val="0"/>
        <w:autoSpaceDN w:val="0"/>
        <w:adjustRightInd w:val="0"/>
        <w:ind w:firstLine="560" w:firstLineChars="200"/>
        <w:rPr>
          <w:rFonts w:eastAsia="仿宋"/>
          <w:sz w:val="28"/>
          <w:szCs w:val="28"/>
        </w:rPr>
      </w:pPr>
      <w:r>
        <w:rPr>
          <w:rFonts w:eastAsia="仿宋"/>
          <w:sz w:val="28"/>
          <w:szCs w:val="28"/>
        </w:rPr>
        <w:t>（5）开展应急监测或做好应急监测准备。</w:t>
      </w:r>
    </w:p>
    <w:p w14:paraId="05DAB16F">
      <w:pPr>
        <w:autoSpaceDE w:val="0"/>
        <w:autoSpaceDN w:val="0"/>
        <w:adjustRightInd w:val="0"/>
        <w:ind w:firstLine="560" w:firstLineChars="200"/>
        <w:rPr>
          <w:rFonts w:eastAsia="仿宋"/>
          <w:sz w:val="28"/>
          <w:szCs w:val="28"/>
        </w:rPr>
      </w:pPr>
      <w:r>
        <w:rPr>
          <w:rFonts w:eastAsia="仿宋"/>
          <w:sz w:val="28"/>
          <w:szCs w:val="28"/>
        </w:rPr>
        <w:t>（6）做好事件信息上报和通报。</w:t>
      </w:r>
    </w:p>
    <w:p w14:paraId="18C9DD98">
      <w:pPr>
        <w:autoSpaceDE w:val="0"/>
        <w:autoSpaceDN w:val="0"/>
        <w:adjustRightInd w:val="0"/>
        <w:ind w:firstLine="560" w:firstLineChars="200"/>
        <w:rPr>
          <w:rFonts w:eastAsia="仿宋"/>
          <w:sz w:val="28"/>
          <w:szCs w:val="28"/>
        </w:rPr>
      </w:pPr>
      <w:r>
        <w:rPr>
          <w:rFonts w:eastAsia="仿宋"/>
          <w:sz w:val="28"/>
          <w:szCs w:val="28"/>
        </w:rPr>
        <w:t>（7）调集所需应急物资和设备，做好应急保障。</w:t>
      </w:r>
    </w:p>
    <w:p w14:paraId="749384BE">
      <w:pPr>
        <w:autoSpaceDE w:val="0"/>
        <w:autoSpaceDN w:val="0"/>
        <w:adjustRightInd w:val="0"/>
        <w:ind w:firstLine="560" w:firstLineChars="200"/>
        <w:rPr>
          <w:rFonts w:eastAsia="仿宋"/>
          <w:sz w:val="28"/>
          <w:szCs w:val="28"/>
        </w:rPr>
      </w:pPr>
      <w:r>
        <w:rPr>
          <w:rFonts w:eastAsia="仿宋"/>
          <w:sz w:val="28"/>
          <w:szCs w:val="28"/>
        </w:rPr>
        <w:t>（8）在危险区域设置提示或警告标志。</w:t>
      </w:r>
    </w:p>
    <w:p w14:paraId="266C45A8">
      <w:pPr>
        <w:autoSpaceDE w:val="0"/>
        <w:autoSpaceDN w:val="0"/>
        <w:adjustRightInd w:val="0"/>
        <w:ind w:firstLine="560" w:firstLineChars="200"/>
        <w:rPr>
          <w:rFonts w:eastAsia="仿宋"/>
          <w:sz w:val="28"/>
          <w:szCs w:val="28"/>
        </w:rPr>
      </w:pPr>
      <w:r>
        <w:rPr>
          <w:rFonts w:eastAsia="仿宋"/>
          <w:sz w:val="28"/>
          <w:szCs w:val="28"/>
        </w:rPr>
        <w:t>（9）必要时，及时通过媒体或其他方式向公众发布信息。</w:t>
      </w:r>
    </w:p>
    <w:p w14:paraId="3FFB6D95">
      <w:pPr>
        <w:autoSpaceDE w:val="0"/>
        <w:autoSpaceDN w:val="0"/>
        <w:adjustRightInd w:val="0"/>
        <w:ind w:firstLine="560" w:firstLineChars="200"/>
        <w:rPr>
          <w:rFonts w:eastAsia="仿宋"/>
          <w:sz w:val="28"/>
          <w:szCs w:val="28"/>
        </w:rPr>
      </w:pPr>
      <w:r>
        <w:rPr>
          <w:rFonts w:eastAsia="仿宋"/>
          <w:sz w:val="28"/>
          <w:szCs w:val="28"/>
        </w:rPr>
        <w:t>（10）加强舆情监测、引导和应对工作。</w:t>
      </w:r>
    </w:p>
    <w:p w14:paraId="5D2B91C9">
      <w:pPr>
        <w:pStyle w:val="4"/>
        <w:spacing w:before="120" w:after="120"/>
        <w:rPr>
          <w:rFonts w:eastAsia="仿宋"/>
          <w:sz w:val="28"/>
        </w:rPr>
      </w:pPr>
      <w:bookmarkStart w:id="63" w:name="_Toc526772691"/>
      <w:bookmarkStart w:id="64" w:name="_Toc47"/>
      <w:r>
        <w:rPr>
          <w:rFonts w:eastAsia="仿宋"/>
          <w:sz w:val="28"/>
        </w:rPr>
        <w:t xml:space="preserve">4.1.5 </w:t>
      </w:r>
      <w:bookmarkEnd w:id="63"/>
      <w:bookmarkEnd w:id="64"/>
      <w:r>
        <w:rPr>
          <w:rFonts w:eastAsia="仿宋"/>
          <w:sz w:val="28"/>
        </w:rPr>
        <w:t>预警解除</w:t>
      </w:r>
    </w:p>
    <w:p w14:paraId="08A746A2">
      <w:pPr>
        <w:autoSpaceDE w:val="0"/>
        <w:autoSpaceDN w:val="0"/>
        <w:adjustRightInd w:val="0"/>
        <w:ind w:firstLine="560" w:firstLineChars="200"/>
        <w:rPr>
          <w:rFonts w:eastAsia="仿宋"/>
          <w:sz w:val="28"/>
          <w:szCs w:val="28"/>
        </w:rPr>
      </w:pPr>
      <w:r>
        <w:rPr>
          <w:rFonts w:eastAsia="仿宋"/>
          <w:sz w:val="28"/>
          <w:szCs w:val="28"/>
        </w:rPr>
        <w:t>花溪区</w:t>
      </w:r>
      <w:r>
        <w:rPr>
          <w:rFonts w:hint="eastAsia" w:eastAsia="仿宋"/>
          <w:sz w:val="28"/>
          <w:szCs w:val="28"/>
        </w:rPr>
        <w:t>千人以上集中式</w:t>
      </w:r>
      <w:r>
        <w:rPr>
          <w:rFonts w:eastAsia="仿宋"/>
          <w:sz w:val="28"/>
          <w:szCs w:val="28"/>
        </w:rPr>
        <w:t>饮用水水源地突发环境事件应急指挥部负责组织有关部门和专家组对事件进行研判，当判明危险已经解除时，由花溪区</w:t>
      </w:r>
      <w:r>
        <w:rPr>
          <w:rFonts w:hint="eastAsia" w:eastAsia="仿宋"/>
          <w:sz w:val="28"/>
          <w:szCs w:val="28"/>
        </w:rPr>
        <w:t>千人以上</w:t>
      </w:r>
      <w:r>
        <w:rPr>
          <w:rFonts w:eastAsia="仿宋"/>
          <w:sz w:val="28"/>
          <w:szCs w:val="28"/>
        </w:rPr>
        <w:t>饮用水水源地突发环境事件应急指挥部宣布解除预警，随后通知实施预警行动部门和单位解除相关措施。若已通过媒体或其他方式向公众发布预警信息，则应再次通过媒体或其他方式向公众发布解除预警的信息。</w:t>
      </w:r>
    </w:p>
    <w:p w14:paraId="7F30B87A">
      <w:pPr>
        <w:pStyle w:val="3"/>
        <w:rPr>
          <w:rFonts w:eastAsia="仿宋"/>
          <w:sz w:val="32"/>
        </w:rPr>
      </w:pPr>
      <w:bookmarkStart w:id="65" w:name="_Toc5880"/>
      <w:bookmarkStart w:id="66" w:name="_Toc526772694"/>
      <w:bookmarkStart w:id="67" w:name="_Toc60930796"/>
      <w:bookmarkStart w:id="68" w:name="_Toc7206"/>
      <w:r>
        <w:rPr>
          <w:rFonts w:eastAsia="仿宋"/>
          <w:sz w:val="32"/>
        </w:rPr>
        <w:t xml:space="preserve">4.2 </w:t>
      </w:r>
      <w:bookmarkEnd w:id="65"/>
      <w:bookmarkEnd w:id="66"/>
      <w:r>
        <w:rPr>
          <w:rFonts w:eastAsia="仿宋"/>
          <w:sz w:val="32"/>
        </w:rPr>
        <w:t>信息报告与通报</w:t>
      </w:r>
      <w:bookmarkEnd w:id="67"/>
      <w:bookmarkEnd w:id="68"/>
    </w:p>
    <w:p w14:paraId="5E81A155">
      <w:pPr>
        <w:pStyle w:val="4"/>
        <w:spacing w:before="120" w:after="120"/>
        <w:rPr>
          <w:rFonts w:eastAsia="仿宋"/>
          <w:sz w:val="28"/>
        </w:rPr>
      </w:pPr>
      <w:bookmarkStart w:id="69" w:name="_Toc526772695"/>
      <w:bookmarkStart w:id="70" w:name="_Toc30853"/>
      <w:r>
        <w:rPr>
          <w:rFonts w:eastAsia="仿宋"/>
          <w:sz w:val="28"/>
        </w:rPr>
        <w:t xml:space="preserve">4.2.1 </w:t>
      </w:r>
      <w:bookmarkEnd w:id="69"/>
      <w:bookmarkEnd w:id="70"/>
      <w:r>
        <w:rPr>
          <w:rFonts w:eastAsia="仿宋"/>
          <w:sz w:val="28"/>
        </w:rPr>
        <w:t>信息报告与通报流程</w:t>
      </w:r>
    </w:p>
    <w:p w14:paraId="15FDA05B">
      <w:pPr>
        <w:autoSpaceDE w:val="0"/>
        <w:autoSpaceDN w:val="0"/>
        <w:adjustRightInd w:val="0"/>
        <w:ind w:firstLine="560" w:firstLineChars="200"/>
        <w:rPr>
          <w:rFonts w:eastAsia="仿宋"/>
          <w:sz w:val="28"/>
          <w:szCs w:val="28"/>
        </w:rPr>
      </w:pPr>
      <w:r>
        <w:rPr>
          <w:rFonts w:eastAsia="仿宋"/>
          <w:sz w:val="28"/>
          <w:szCs w:val="28"/>
        </w:rPr>
        <w:t>饮用水水源地地突发环境事件发生后或可能发生时，涉及企事业单位或其他生产经营者必须采取应对措施，立即向当地乡镇</w:t>
      </w:r>
      <w:r>
        <w:rPr>
          <w:rFonts w:hint="eastAsia" w:eastAsia="仿宋"/>
          <w:sz w:val="28"/>
          <w:szCs w:val="28"/>
        </w:rPr>
        <w:t>/街道</w:t>
      </w:r>
      <w:r>
        <w:rPr>
          <w:rFonts w:eastAsia="仿宋"/>
          <w:sz w:val="28"/>
          <w:szCs w:val="28"/>
        </w:rPr>
        <w:t>及贵阳市生态环境局花溪分局和相关部门报告，当地乡镇及贵阳市生态环境局花溪分局和相关部门要立即到现场调查核实和现行处置，并第一时间报告花溪区</w:t>
      </w:r>
      <w:r>
        <w:rPr>
          <w:rFonts w:hint="eastAsia" w:eastAsia="仿宋"/>
          <w:sz w:val="28"/>
          <w:szCs w:val="28"/>
        </w:rPr>
        <w:t>千人以上集中式</w:t>
      </w:r>
      <w:r>
        <w:rPr>
          <w:rFonts w:eastAsia="仿宋"/>
          <w:sz w:val="28"/>
          <w:szCs w:val="28"/>
        </w:rPr>
        <w:t>饮用水水源地突发环境事件应急指挥部和通报可能受到污染危害的单位和居民。110、120、119、12369、新闻热线等公众举报受理中心接到群众举报发生</w:t>
      </w:r>
      <w:r>
        <w:rPr>
          <w:rFonts w:hint="eastAsia" w:eastAsia="仿宋"/>
          <w:sz w:val="28"/>
          <w:szCs w:val="28"/>
        </w:rPr>
        <w:t>千人以上</w:t>
      </w:r>
      <w:r>
        <w:rPr>
          <w:rFonts w:eastAsia="仿宋"/>
          <w:sz w:val="28"/>
          <w:szCs w:val="28"/>
        </w:rPr>
        <w:t>饮用水水源地污染事故时，均应立即向花溪区</w:t>
      </w:r>
      <w:r>
        <w:rPr>
          <w:rFonts w:hint="eastAsia" w:eastAsia="仿宋"/>
          <w:sz w:val="28"/>
          <w:szCs w:val="28"/>
        </w:rPr>
        <w:t>千人以上集中式</w:t>
      </w:r>
      <w:r>
        <w:rPr>
          <w:rFonts w:eastAsia="仿宋"/>
          <w:sz w:val="28"/>
          <w:szCs w:val="28"/>
        </w:rPr>
        <w:t>饮用水水源地突发环境事件应急指挥部报告。特殊情况下，若遇到敏感事件或发生在重点地区、特殊时期，或可能演化为重大、特别重大突发环境事件的信息，有关责任单位和部门应立即向应急指挥部报告。</w:t>
      </w:r>
    </w:p>
    <w:p w14:paraId="6AE65F56">
      <w:pPr>
        <w:autoSpaceDE w:val="0"/>
        <w:autoSpaceDN w:val="0"/>
        <w:adjustRightInd w:val="0"/>
        <w:ind w:firstLine="560" w:firstLineChars="200"/>
        <w:rPr>
          <w:rFonts w:eastAsia="仿宋"/>
          <w:sz w:val="28"/>
          <w:szCs w:val="28"/>
        </w:rPr>
      </w:pPr>
      <w:r>
        <w:rPr>
          <w:rFonts w:eastAsia="仿宋"/>
          <w:sz w:val="28"/>
          <w:szCs w:val="28"/>
        </w:rPr>
        <w:t>花溪区</w:t>
      </w:r>
      <w:r>
        <w:rPr>
          <w:rFonts w:hint="eastAsia" w:eastAsia="仿宋"/>
          <w:sz w:val="28"/>
          <w:szCs w:val="28"/>
        </w:rPr>
        <w:t>千人以上集中式</w:t>
      </w:r>
      <w:r>
        <w:rPr>
          <w:rFonts w:eastAsia="仿宋"/>
          <w:sz w:val="28"/>
          <w:szCs w:val="28"/>
        </w:rPr>
        <w:t>饮用水水源地突发环境事件指挥部在接到报告后，应立即向各部门报告。</w:t>
      </w:r>
    </w:p>
    <w:p w14:paraId="545C1D26">
      <w:pPr>
        <w:autoSpaceDE w:val="0"/>
        <w:autoSpaceDN w:val="0"/>
        <w:adjustRightInd w:val="0"/>
        <w:ind w:firstLine="560" w:firstLineChars="200"/>
        <w:rPr>
          <w:rFonts w:eastAsia="仿宋"/>
          <w:sz w:val="28"/>
          <w:szCs w:val="28"/>
        </w:rPr>
      </w:pPr>
      <w:r>
        <w:rPr>
          <w:rFonts w:eastAsia="仿宋"/>
          <w:sz w:val="28"/>
          <w:szCs w:val="28"/>
        </w:rPr>
        <w:t>因交通事故、生产安全事故导致水源地突发环境事件的，由</w:t>
      </w:r>
      <w:r>
        <w:rPr>
          <w:rFonts w:hint="eastAsia" w:eastAsia="仿宋"/>
          <w:sz w:val="28"/>
          <w:szCs w:val="28"/>
        </w:rPr>
        <w:t>贵阳市公安局花溪分</w:t>
      </w:r>
      <w:r>
        <w:rPr>
          <w:rFonts w:eastAsia="仿宋"/>
          <w:sz w:val="28"/>
          <w:szCs w:val="28"/>
        </w:rPr>
        <w:t>局、</w:t>
      </w:r>
      <w:r>
        <w:rPr>
          <w:rFonts w:hint="eastAsia" w:eastAsia="仿宋"/>
          <w:sz w:val="28"/>
          <w:szCs w:val="28"/>
        </w:rPr>
        <w:t>花溪区</w:t>
      </w:r>
      <w:r>
        <w:rPr>
          <w:rFonts w:eastAsia="仿宋"/>
          <w:sz w:val="28"/>
          <w:szCs w:val="28"/>
        </w:rPr>
        <w:t>交通运输局等有关部门及时通报</w:t>
      </w:r>
      <w:r>
        <w:rPr>
          <w:rFonts w:hint="eastAsia" w:eastAsia="仿宋"/>
          <w:sz w:val="28"/>
          <w:szCs w:val="28"/>
        </w:rPr>
        <w:t>贵阳市生态环境局花溪分局</w:t>
      </w:r>
      <w:r>
        <w:rPr>
          <w:rFonts w:eastAsia="仿宋"/>
          <w:sz w:val="28"/>
          <w:szCs w:val="28"/>
        </w:rPr>
        <w:t>、</w:t>
      </w:r>
      <w:r>
        <w:rPr>
          <w:rFonts w:hint="eastAsia" w:eastAsia="仿宋"/>
          <w:sz w:val="28"/>
          <w:szCs w:val="28"/>
        </w:rPr>
        <w:t>花溪区</w:t>
      </w:r>
      <w:r>
        <w:rPr>
          <w:rFonts w:eastAsia="仿宋"/>
          <w:sz w:val="28"/>
          <w:szCs w:val="28"/>
        </w:rPr>
        <w:t>水务局</w:t>
      </w:r>
      <w:r>
        <w:rPr>
          <w:rFonts w:hint="eastAsia" w:eastAsia="仿宋"/>
          <w:sz w:val="28"/>
          <w:szCs w:val="28"/>
        </w:rPr>
        <w:t>和花溪区</w:t>
      </w:r>
      <w:r>
        <w:rPr>
          <w:rFonts w:eastAsia="仿宋"/>
          <w:sz w:val="28"/>
          <w:szCs w:val="28"/>
        </w:rPr>
        <w:t>卫生健康</w:t>
      </w:r>
      <w:r>
        <w:rPr>
          <w:rFonts w:hint="eastAsia" w:eastAsia="仿宋"/>
          <w:sz w:val="28"/>
          <w:szCs w:val="28"/>
        </w:rPr>
        <w:t>局</w:t>
      </w:r>
      <w:r>
        <w:rPr>
          <w:rFonts w:eastAsia="仿宋"/>
          <w:sz w:val="28"/>
          <w:szCs w:val="28"/>
        </w:rPr>
        <w:t>等部门。</w:t>
      </w:r>
    </w:p>
    <w:p w14:paraId="338AF1DB">
      <w:pPr>
        <w:autoSpaceDE w:val="0"/>
        <w:autoSpaceDN w:val="0"/>
        <w:adjustRightInd w:val="0"/>
        <w:ind w:firstLine="560" w:firstLineChars="200"/>
        <w:rPr>
          <w:rFonts w:eastAsia="仿宋"/>
          <w:sz w:val="28"/>
          <w:szCs w:val="28"/>
        </w:rPr>
      </w:pPr>
      <w:r>
        <w:rPr>
          <w:rFonts w:eastAsia="仿宋"/>
          <w:sz w:val="28"/>
          <w:szCs w:val="28"/>
        </w:rPr>
        <w:t>水源地突发环境事件已经或者可能涉及相邻行政区域的，由事发地政府及时通报相邻行政区域同级政府。</w:t>
      </w:r>
    </w:p>
    <w:p w14:paraId="652E44B6">
      <w:pPr>
        <w:pStyle w:val="4"/>
        <w:spacing w:before="120" w:after="120"/>
        <w:rPr>
          <w:rFonts w:eastAsia="仿宋"/>
          <w:sz w:val="28"/>
          <w:szCs w:val="28"/>
        </w:rPr>
      </w:pPr>
      <w:bookmarkStart w:id="71" w:name="_Toc526772696"/>
      <w:bookmarkStart w:id="72" w:name="_Toc24194"/>
      <w:r>
        <w:rPr>
          <w:rFonts w:eastAsia="仿宋"/>
          <w:sz w:val="28"/>
        </w:rPr>
        <w:t>4.2.2</w:t>
      </w:r>
      <w:bookmarkEnd w:id="71"/>
      <w:bookmarkEnd w:id="72"/>
      <w:r>
        <w:rPr>
          <w:rFonts w:eastAsia="仿宋"/>
          <w:sz w:val="28"/>
        </w:rPr>
        <w:t>事件报告时限和程序</w:t>
      </w:r>
    </w:p>
    <w:p w14:paraId="3726ECDD">
      <w:pPr>
        <w:autoSpaceDE w:val="0"/>
        <w:autoSpaceDN w:val="0"/>
        <w:adjustRightInd w:val="0"/>
        <w:ind w:firstLine="560" w:firstLineChars="200"/>
        <w:rPr>
          <w:rFonts w:eastAsia="仿宋"/>
          <w:sz w:val="28"/>
          <w:szCs w:val="28"/>
        </w:rPr>
      </w:pPr>
      <w:r>
        <w:rPr>
          <w:rFonts w:eastAsia="仿宋"/>
          <w:sz w:val="28"/>
          <w:szCs w:val="28"/>
        </w:rPr>
        <w:t>花溪区</w:t>
      </w:r>
      <w:r>
        <w:rPr>
          <w:rFonts w:hint="eastAsia" w:eastAsia="仿宋"/>
          <w:sz w:val="28"/>
          <w:szCs w:val="28"/>
        </w:rPr>
        <w:t>千人以上集中式</w:t>
      </w:r>
      <w:r>
        <w:rPr>
          <w:rFonts w:eastAsia="仿宋"/>
          <w:sz w:val="28"/>
          <w:szCs w:val="28"/>
        </w:rPr>
        <w:t>饮用水水源污染事件发生后，涉事企业事业单位或其他生产经营者必须采取应对措施，并立即向贵阳市生态环境局花溪分局及有关部门报告，同时通报可能受到污染危害的单位和居民。因生产安全事故导致突发环境事件的，花溪区应急管理局等有关部门应当及时通报同级生态环境主管部门。</w:t>
      </w:r>
    </w:p>
    <w:p w14:paraId="3B05324C">
      <w:pPr>
        <w:autoSpaceDE w:val="0"/>
        <w:autoSpaceDN w:val="0"/>
        <w:adjustRightInd w:val="0"/>
        <w:ind w:firstLine="560" w:firstLineChars="200"/>
        <w:rPr>
          <w:rFonts w:eastAsia="仿宋"/>
          <w:sz w:val="28"/>
          <w:szCs w:val="28"/>
        </w:rPr>
      </w:pPr>
      <w:r>
        <w:rPr>
          <w:rFonts w:eastAsia="仿宋"/>
          <w:sz w:val="28"/>
          <w:szCs w:val="28"/>
        </w:rPr>
        <w:t>贵阳市生态环境局花溪分局在接到</w:t>
      </w:r>
      <w:r>
        <w:rPr>
          <w:rFonts w:hint="eastAsia" w:eastAsia="仿宋"/>
          <w:sz w:val="28"/>
          <w:szCs w:val="28"/>
        </w:rPr>
        <w:t>千人以上</w:t>
      </w:r>
      <w:r>
        <w:rPr>
          <w:rFonts w:eastAsia="仿宋"/>
          <w:sz w:val="28"/>
          <w:szCs w:val="28"/>
        </w:rPr>
        <w:t>饮用水水源污染事件信息报告或监测到相关信息后，应当立即进行核实，对饮用水水源污染突发环境事件的性质和类别作出初步认定，突发事件信息等级分为特别重大、重大、较大和一般四级。</w:t>
      </w:r>
    </w:p>
    <w:p w14:paraId="5A27BB13">
      <w:pPr>
        <w:autoSpaceDE w:val="0"/>
        <w:autoSpaceDN w:val="0"/>
        <w:adjustRightInd w:val="0"/>
        <w:ind w:firstLine="560" w:firstLineChars="200"/>
        <w:rPr>
          <w:rFonts w:eastAsia="仿宋"/>
          <w:sz w:val="28"/>
          <w:szCs w:val="28"/>
        </w:rPr>
      </w:pPr>
      <w:r>
        <w:rPr>
          <w:rFonts w:eastAsia="仿宋"/>
          <w:sz w:val="28"/>
          <w:szCs w:val="28"/>
        </w:rPr>
        <w:t>按照《省人民政府办公厅关于印发贵州省突发事件信息报告管理办法的通知》黔府办发[2020]14号的内容，</w:t>
      </w:r>
      <w:r>
        <w:rPr>
          <w:rFonts w:hint="eastAsia" w:eastAsia="仿宋"/>
          <w:sz w:val="28"/>
          <w:szCs w:val="28"/>
        </w:rPr>
        <w:t>千人以上集中式</w:t>
      </w:r>
      <w:r>
        <w:rPr>
          <w:rFonts w:eastAsia="仿宋"/>
          <w:sz w:val="28"/>
          <w:szCs w:val="28"/>
        </w:rPr>
        <w:t>饮用水水源污染事件信息报送程序及时限要求：</w:t>
      </w:r>
    </w:p>
    <w:p w14:paraId="54582808">
      <w:pPr>
        <w:autoSpaceDE w:val="0"/>
        <w:autoSpaceDN w:val="0"/>
        <w:adjustRightInd w:val="0"/>
        <w:ind w:firstLine="560" w:firstLineChars="200"/>
        <w:rPr>
          <w:rFonts w:eastAsia="仿宋"/>
          <w:sz w:val="28"/>
          <w:szCs w:val="28"/>
        </w:rPr>
      </w:pPr>
      <w:r>
        <w:rPr>
          <w:rFonts w:eastAsia="仿宋"/>
          <w:sz w:val="28"/>
          <w:szCs w:val="28"/>
        </w:rPr>
        <w:t>（1）重大突发事件信息（Ⅱ级）或特别重大突发事件信息（Ⅰ级）：事发地县人民政府及责任主体部门，必须在事发后20分钟内电话向省人民政府报告，40分钟内书面报告。根据《突发环境事件信息报告办法》的规定，突发事件在发展过程中演变为重大及以上级别的，首报时间可从达到重大级别时算起。</w:t>
      </w:r>
    </w:p>
    <w:p w14:paraId="0407AF10">
      <w:pPr>
        <w:autoSpaceDE w:val="0"/>
        <w:autoSpaceDN w:val="0"/>
        <w:adjustRightInd w:val="0"/>
        <w:ind w:firstLine="560" w:firstLineChars="200"/>
        <w:rPr>
          <w:rFonts w:eastAsia="仿宋"/>
          <w:sz w:val="28"/>
          <w:szCs w:val="28"/>
        </w:rPr>
      </w:pPr>
      <w:r>
        <w:rPr>
          <w:rFonts w:eastAsia="仿宋"/>
          <w:sz w:val="28"/>
          <w:szCs w:val="28"/>
        </w:rPr>
        <w:t>（2）较大突发事件信息（Ⅲ级）：事发地县级人民政府以及责任主体部门，必须在事发后2小时内向省人民政府报告。突发事件在发展过程中演变为较大级别的，首报时间可从达到较大级别算起。</w:t>
      </w:r>
    </w:p>
    <w:p w14:paraId="32FAD49B">
      <w:pPr>
        <w:autoSpaceDE w:val="0"/>
        <w:autoSpaceDN w:val="0"/>
        <w:adjustRightInd w:val="0"/>
        <w:ind w:firstLine="560" w:firstLineChars="200"/>
        <w:rPr>
          <w:rFonts w:eastAsia="仿宋"/>
          <w:sz w:val="28"/>
          <w:szCs w:val="28"/>
        </w:rPr>
      </w:pPr>
      <w:r>
        <w:rPr>
          <w:rFonts w:eastAsia="仿宋"/>
          <w:sz w:val="28"/>
          <w:szCs w:val="28"/>
        </w:rPr>
        <w:t>（3）涉及敏感人群、敏感时间、敏感地点，或突发事件本身比较敏感的，突发事件信息报告不受级别限制，报告方式和时限按照重大以上级别要求执行。</w:t>
      </w:r>
    </w:p>
    <w:p w14:paraId="48931F34">
      <w:pPr>
        <w:autoSpaceDE w:val="0"/>
        <w:autoSpaceDN w:val="0"/>
        <w:adjustRightInd w:val="0"/>
        <w:ind w:firstLine="560" w:firstLineChars="200"/>
        <w:rPr>
          <w:rFonts w:eastAsia="仿宋"/>
          <w:sz w:val="28"/>
          <w:szCs w:val="28"/>
        </w:rPr>
      </w:pPr>
      <w:r>
        <w:rPr>
          <w:rFonts w:eastAsia="仿宋"/>
          <w:sz w:val="28"/>
          <w:szCs w:val="28"/>
        </w:rPr>
        <w:t>责任部门：贵阳市生态环境局花溪分局。</w:t>
      </w:r>
    </w:p>
    <w:p w14:paraId="07681B5E">
      <w:pPr>
        <w:pStyle w:val="4"/>
        <w:spacing w:before="120" w:after="120"/>
        <w:rPr>
          <w:rFonts w:eastAsia="仿宋"/>
          <w:sz w:val="28"/>
        </w:rPr>
      </w:pPr>
      <w:bookmarkStart w:id="73" w:name="_Toc526772697"/>
      <w:bookmarkStart w:id="74" w:name="_Toc12685"/>
      <w:r>
        <w:rPr>
          <w:rFonts w:eastAsia="仿宋"/>
          <w:sz w:val="28"/>
        </w:rPr>
        <w:t xml:space="preserve">4.2.3 </w:t>
      </w:r>
      <w:bookmarkEnd w:id="73"/>
      <w:bookmarkEnd w:id="74"/>
      <w:r>
        <w:rPr>
          <w:rFonts w:eastAsia="仿宋"/>
          <w:sz w:val="28"/>
        </w:rPr>
        <w:t>信息报告和通报内容</w:t>
      </w:r>
    </w:p>
    <w:p w14:paraId="43BD400B">
      <w:pPr>
        <w:autoSpaceDE w:val="0"/>
        <w:autoSpaceDN w:val="0"/>
        <w:adjustRightInd w:val="0"/>
        <w:ind w:firstLine="560" w:firstLineChars="200"/>
        <w:rPr>
          <w:rFonts w:eastAsia="仿宋"/>
          <w:sz w:val="28"/>
          <w:szCs w:val="28"/>
        </w:rPr>
      </w:pPr>
      <w:r>
        <w:rPr>
          <w:rFonts w:eastAsia="仿宋"/>
          <w:sz w:val="28"/>
          <w:szCs w:val="28"/>
        </w:rPr>
        <w:t>饮用水水源地突发环境事件的报告分为初报、续报和处理结果报告。</w:t>
      </w:r>
    </w:p>
    <w:p w14:paraId="1F613F1A">
      <w:pPr>
        <w:autoSpaceDE w:val="0"/>
        <w:autoSpaceDN w:val="0"/>
        <w:adjustRightInd w:val="0"/>
        <w:ind w:firstLine="560" w:firstLineChars="200"/>
        <w:rPr>
          <w:rFonts w:eastAsia="仿宋"/>
          <w:sz w:val="28"/>
          <w:szCs w:val="28"/>
        </w:rPr>
      </w:pPr>
      <w:r>
        <w:rPr>
          <w:rFonts w:eastAsia="仿宋"/>
          <w:sz w:val="28"/>
          <w:szCs w:val="28"/>
        </w:rPr>
        <w:t>初报在发现或者得知突发环境事件后首次上报；续报在查清有关基本情况、事件发展情况后随时上报；处理结果报告在突发环境事件处理完毕后上报，通报的单位至少应包括</w:t>
      </w:r>
      <w:r>
        <w:rPr>
          <w:rFonts w:hint="eastAsia" w:eastAsia="仿宋"/>
          <w:sz w:val="28"/>
          <w:szCs w:val="28"/>
        </w:rPr>
        <w:t>贵阳市生态环境局花溪分局</w:t>
      </w:r>
      <w:r>
        <w:rPr>
          <w:rFonts w:eastAsia="仿宋"/>
          <w:sz w:val="28"/>
          <w:szCs w:val="28"/>
        </w:rPr>
        <w:t>、花溪区卫生健康局、花溪区水务局等部门；根据水源地突发环境事件的类型和情景，还应通报花溪区消防大队（遇火灾爆炸）、花溪区交通运输局（遇水上、道路运输事故）、</w:t>
      </w:r>
      <w:r>
        <w:rPr>
          <w:rFonts w:hint="eastAsia" w:eastAsia="仿宋"/>
          <w:sz w:val="28"/>
          <w:szCs w:val="28"/>
        </w:rPr>
        <w:t>贵阳市</w:t>
      </w:r>
      <w:r>
        <w:rPr>
          <w:rFonts w:eastAsia="仿宋"/>
          <w:sz w:val="28"/>
          <w:szCs w:val="28"/>
        </w:rPr>
        <w:t>公安局</w:t>
      </w:r>
      <w:r>
        <w:rPr>
          <w:rFonts w:hint="eastAsia" w:eastAsia="仿宋"/>
          <w:sz w:val="28"/>
          <w:szCs w:val="28"/>
        </w:rPr>
        <w:t>花溪分局</w:t>
      </w:r>
      <w:r>
        <w:rPr>
          <w:rFonts w:eastAsia="仿宋"/>
          <w:sz w:val="28"/>
          <w:szCs w:val="28"/>
        </w:rPr>
        <w:t>（遇火灾爆炸、道路运输事故）、花溪区农业农村局（遇大面积死鱼）等部门。初报应当报告突发环境事件的发生时间、地点、信息来源、事件起因和性质、基本过程、主要污染物和数量、监测数据、人员受害情况、饮用水水源地受影响情况、事件发展趋势、处置情况、拟采取的措施以及下一步工作建议等初步情况。</w:t>
      </w:r>
    </w:p>
    <w:p w14:paraId="1BEE9CB5">
      <w:pPr>
        <w:autoSpaceDE w:val="0"/>
        <w:autoSpaceDN w:val="0"/>
        <w:adjustRightInd w:val="0"/>
        <w:ind w:firstLine="560" w:firstLineChars="200"/>
        <w:rPr>
          <w:rFonts w:eastAsia="仿宋"/>
          <w:sz w:val="28"/>
          <w:szCs w:val="28"/>
        </w:rPr>
      </w:pPr>
      <w:r>
        <w:rPr>
          <w:rFonts w:eastAsia="仿宋"/>
          <w:sz w:val="28"/>
          <w:szCs w:val="28"/>
        </w:rPr>
        <w:t>续报应当在初报的基础上，报告有关处置进展情况。</w:t>
      </w:r>
    </w:p>
    <w:p w14:paraId="3A6E417F">
      <w:pPr>
        <w:autoSpaceDE w:val="0"/>
        <w:autoSpaceDN w:val="0"/>
        <w:adjustRightInd w:val="0"/>
        <w:ind w:firstLine="560" w:firstLineChars="200"/>
        <w:rPr>
          <w:rFonts w:eastAsia="仿宋"/>
          <w:sz w:val="28"/>
          <w:szCs w:val="28"/>
        </w:rPr>
      </w:pPr>
      <w:r>
        <w:rPr>
          <w:rFonts w:eastAsia="仿宋"/>
          <w:sz w:val="28"/>
          <w:szCs w:val="28"/>
        </w:rPr>
        <w:t>处理结果报告应当在初报和续报的基础上，报告处理突发环境事件的措施、过程和结果，突发环境事件潜在或者间接危害以及损失、社会影响、处理后的遗留问题、责任追究等详细情况。处理结果报告应至少包括事件基本情况，处理事件的措施、过程和结果，事件造成的危害、损失和社会影响，处理后的遗留问题，肇事者责任追究情况五个部分。</w:t>
      </w:r>
    </w:p>
    <w:p w14:paraId="3B8C580C">
      <w:pPr>
        <w:autoSpaceDE w:val="0"/>
        <w:autoSpaceDN w:val="0"/>
        <w:adjustRightInd w:val="0"/>
        <w:ind w:firstLine="560" w:firstLineChars="200"/>
        <w:rPr>
          <w:rFonts w:eastAsia="仿宋"/>
          <w:sz w:val="28"/>
          <w:szCs w:val="28"/>
        </w:rPr>
      </w:pPr>
      <w:r>
        <w:rPr>
          <w:rFonts w:eastAsia="仿宋"/>
          <w:sz w:val="28"/>
          <w:szCs w:val="28"/>
        </w:rPr>
        <w:t>突发环境事件信息应当采用传真、网络、邮寄和面呈等方式书面报告；情况紧急时，初报可通过电话报告，但应当及时补充书面报告。</w:t>
      </w:r>
    </w:p>
    <w:p w14:paraId="3233977F">
      <w:pPr>
        <w:autoSpaceDE w:val="0"/>
        <w:autoSpaceDN w:val="0"/>
        <w:adjustRightInd w:val="0"/>
        <w:ind w:firstLine="560" w:firstLineChars="200"/>
        <w:rPr>
          <w:rFonts w:eastAsia="仿宋"/>
          <w:sz w:val="28"/>
          <w:szCs w:val="28"/>
        </w:rPr>
      </w:pPr>
      <w:r>
        <w:rPr>
          <w:rFonts w:eastAsia="仿宋"/>
          <w:sz w:val="28"/>
          <w:szCs w:val="28"/>
        </w:rPr>
        <w:t>书面报告中应当载明突发环境事件报告单位、报告签发人、联系人及联系方式等内容，并尽可能提供地图、图片以及相关的多媒体资料。报告应包括下列内容：</w:t>
      </w:r>
    </w:p>
    <w:p w14:paraId="1F8ED563">
      <w:pPr>
        <w:autoSpaceDE w:val="0"/>
        <w:autoSpaceDN w:val="0"/>
        <w:adjustRightInd w:val="0"/>
        <w:ind w:firstLine="560" w:firstLineChars="200"/>
        <w:rPr>
          <w:rFonts w:eastAsia="仿宋"/>
          <w:sz w:val="28"/>
          <w:szCs w:val="28"/>
        </w:rPr>
      </w:pPr>
      <w:r>
        <w:rPr>
          <w:rFonts w:eastAsia="仿宋"/>
          <w:sz w:val="28"/>
          <w:szCs w:val="28"/>
        </w:rPr>
        <w:t>（1）造成水源污染的单位及发生时间、地点；</w:t>
      </w:r>
    </w:p>
    <w:p w14:paraId="06A560B3">
      <w:pPr>
        <w:autoSpaceDE w:val="0"/>
        <w:autoSpaceDN w:val="0"/>
        <w:adjustRightInd w:val="0"/>
        <w:ind w:firstLine="560" w:firstLineChars="200"/>
        <w:rPr>
          <w:rFonts w:eastAsia="仿宋"/>
          <w:sz w:val="28"/>
          <w:szCs w:val="28"/>
        </w:rPr>
      </w:pPr>
      <w:r>
        <w:rPr>
          <w:rFonts w:eastAsia="仿宋"/>
          <w:sz w:val="28"/>
          <w:szCs w:val="28"/>
        </w:rPr>
        <w:t>（2）造成水源污染的简要经过、伤亡人数、直接经济损失的初步估计；</w:t>
      </w:r>
    </w:p>
    <w:p w14:paraId="685CA782">
      <w:pPr>
        <w:autoSpaceDE w:val="0"/>
        <w:autoSpaceDN w:val="0"/>
        <w:adjustRightInd w:val="0"/>
        <w:ind w:firstLine="560" w:firstLineChars="200"/>
        <w:rPr>
          <w:rFonts w:eastAsia="仿宋"/>
          <w:sz w:val="28"/>
          <w:szCs w:val="28"/>
        </w:rPr>
      </w:pPr>
      <w:r>
        <w:rPr>
          <w:rFonts w:eastAsia="仿宋"/>
          <w:sz w:val="28"/>
          <w:szCs w:val="28"/>
        </w:rPr>
        <w:t>（3）造成水源污染的原因、性质的初步判断；</w:t>
      </w:r>
    </w:p>
    <w:p w14:paraId="4BA9E87B">
      <w:pPr>
        <w:autoSpaceDE w:val="0"/>
        <w:autoSpaceDN w:val="0"/>
        <w:adjustRightInd w:val="0"/>
        <w:ind w:firstLine="560" w:firstLineChars="200"/>
        <w:rPr>
          <w:rFonts w:eastAsia="仿宋"/>
          <w:sz w:val="28"/>
          <w:szCs w:val="28"/>
        </w:rPr>
      </w:pPr>
      <w:r>
        <w:rPr>
          <w:rFonts w:eastAsia="仿宋"/>
          <w:sz w:val="28"/>
          <w:szCs w:val="28"/>
        </w:rPr>
        <w:t>（4）造成水源污染的情况和采取的措施；</w:t>
      </w:r>
    </w:p>
    <w:p w14:paraId="5C8B281E">
      <w:pPr>
        <w:autoSpaceDE w:val="0"/>
        <w:autoSpaceDN w:val="0"/>
        <w:adjustRightInd w:val="0"/>
        <w:ind w:firstLine="560" w:firstLineChars="200"/>
        <w:rPr>
          <w:rFonts w:eastAsia="仿宋"/>
          <w:sz w:val="28"/>
          <w:szCs w:val="28"/>
        </w:rPr>
      </w:pPr>
      <w:r>
        <w:rPr>
          <w:rFonts w:eastAsia="仿宋"/>
          <w:sz w:val="28"/>
          <w:szCs w:val="28"/>
        </w:rPr>
        <w:t>（5）需要有关单位协助事故抢救和处理的有关事宜。</w:t>
      </w:r>
    </w:p>
    <w:p w14:paraId="6DB970BE">
      <w:pPr>
        <w:autoSpaceDE w:val="0"/>
        <w:autoSpaceDN w:val="0"/>
        <w:adjustRightInd w:val="0"/>
        <w:ind w:firstLine="560" w:firstLineChars="200"/>
        <w:rPr>
          <w:rFonts w:eastAsia="仿宋"/>
          <w:sz w:val="28"/>
          <w:szCs w:val="28"/>
        </w:rPr>
      </w:pPr>
      <w:r>
        <w:rPr>
          <w:rFonts w:eastAsia="仿宋"/>
          <w:sz w:val="28"/>
          <w:szCs w:val="28"/>
        </w:rPr>
        <w:t>责任部门：贵阳市生态环境局花溪分局。</w:t>
      </w:r>
    </w:p>
    <w:p w14:paraId="6BB80EF8">
      <w:pPr>
        <w:pStyle w:val="3"/>
        <w:rPr>
          <w:rFonts w:eastAsia="仿宋"/>
          <w:sz w:val="32"/>
        </w:rPr>
      </w:pPr>
      <w:bookmarkStart w:id="75" w:name="_Toc28076"/>
      <w:bookmarkStart w:id="76" w:name="_Toc526772700"/>
      <w:bookmarkStart w:id="77" w:name="_Toc60930797"/>
      <w:bookmarkStart w:id="78" w:name="_Toc22847"/>
      <w:r>
        <w:rPr>
          <w:rFonts w:eastAsia="仿宋"/>
          <w:sz w:val="32"/>
        </w:rPr>
        <w:t>4.3</w:t>
      </w:r>
      <w:bookmarkEnd w:id="75"/>
      <w:bookmarkEnd w:id="76"/>
      <w:r>
        <w:rPr>
          <w:rFonts w:eastAsia="仿宋"/>
          <w:sz w:val="32"/>
        </w:rPr>
        <w:t xml:space="preserve"> 事态研判</w:t>
      </w:r>
      <w:bookmarkEnd w:id="77"/>
      <w:bookmarkEnd w:id="78"/>
    </w:p>
    <w:p w14:paraId="0B96BE47">
      <w:pPr>
        <w:autoSpaceDE w:val="0"/>
        <w:autoSpaceDN w:val="0"/>
        <w:adjustRightInd w:val="0"/>
        <w:ind w:firstLine="560" w:firstLineChars="200"/>
        <w:rPr>
          <w:rFonts w:eastAsia="仿宋"/>
          <w:sz w:val="28"/>
          <w:szCs w:val="28"/>
        </w:rPr>
      </w:pPr>
      <w:r>
        <w:rPr>
          <w:rFonts w:eastAsia="仿宋"/>
          <w:sz w:val="28"/>
          <w:szCs w:val="28"/>
        </w:rPr>
        <w:t>（1）现场指挥</w:t>
      </w:r>
    </w:p>
    <w:p w14:paraId="2A4C903E">
      <w:pPr>
        <w:autoSpaceDE w:val="0"/>
        <w:autoSpaceDN w:val="0"/>
        <w:adjustRightInd w:val="0"/>
        <w:ind w:firstLine="560" w:firstLineChars="200"/>
        <w:rPr>
          <w:rFonts w:eastAsia="仿宋"/>
          <w:sz w:val="28"/>
          <w:szCs w:val="28"/>
        </w:rPr>
      </w:pPr>
      <w:r>
        <w:rPr>
          <w:rFonts w:eastAsia="仿宋"/>
          <w:sz w:val="28"/>
          <w:szCs w:val="28"/>
        </w:rPr>
        <w:t>花溪区</w:t>
      </w:r>
      <w:r>
        <w:rPr>
          <w:rFonts w:hint="eastAsia" w:eastAsia="仿宋"/>
          <w:sz w:val="28"/>
          <w:szCs w:val="28"/>
        </w:rPr>
        <w:t>千人以上集中式</w:t>
      </w:r>
      <w:r>
        <w:rPr>
          <w:rFonts w:eastAsia="仿宋"/>
          <w:sz w:val="28"/>
          <w:szCs w:val="28"/>
        </w:rPr>
        <w:t>饮用水水源地突发环境事件应急指挥部根据事态发展变化需要，在充分调查了解和听取专家等有关方面意见的基础上，尽快开展指挥工作，指挥现场人员按预案和规程迅速展开；向有关人员提出现场应急行动原则和要求；随时调用所需人员参与应急工作，做到各司其职、各尽其责、密切协同、有条不紊地开展工作。</w:t>
      </w:r>
    </w:p>
    <w:p w14:paraId="2F7B2268">
      <w:pPr>
        <w:autoSpaceDE w:val="0"/>
        <w:autoSpaceDN w:val="0"/>
        <w:adjustRightInd w:val="0"/>
        <w:ind w:firstLine="560" w:firstLineChars="200"/>
        <w:rPr>
          <w:rFonts w:eastAsia="仿宋"/>
          <w:sz w:val="28"/>
          <w:szCs w:val="28"/>
        </w:rPr>
      </w:pPr>
      <w:r>
        <w:rPr>
          <w:rFonts w:eastAsia="仿宋"/>
          <w:sz w:val="28"/>
          <w:szCs w:val="28"/>
        </w:rPr>
        <w:t>（2）现场协调</w:t>
      </w:r>
    </w:p>
    <w:p w14:paraId="6E8E5247">
      <w:pPr>
        <w:autoSpaceDE w:val="0"/>
        <w:autoSpaceDN w:val="0"/>
        <w:adjustRightInd w:val="0"/>
        <w:ind w:firstLine="560" w:firstLineChars="200"/>
        <w:rPr>
          <w:rFonts w:eastAsia="仿宋"/>
          <w:sz w:val="28"/>
          <w:szCs w:val="28"/>
        </w:rPr>
      </w:pPr>
      <w:r>
        <w:rPr>
          <w:rFonts w:eastAsia="仿宋"/>
          <w:sz w:val="28"/>
          <w:szCs w:val="28"/>
        </w:rPr>
        <w:t>协调各级、各专业应急救援力量实施应急救援行动，为救援队伍协调提供必要的装备、工具和设施，为救援人员协调提供安全保障；协调专家组迅速开展工作，及时向专家组通报应急状态和应急信息，特别是有关资料和技术参数；安排好专家的生活起居，为专家迅速展开分析、研究和评估等工作创造良好的环境条件；及时听取专家对事件危害范围、发展趋势的预测和所提出的应急处置方案和建议；积极协调专家参与供水水质情况、危害范围、事件等级的判定和分析工作，使其更好地在制水工艺改进、水源地环境保护、跨流域调水等重大决策措施上提供技术支持，发挥参谋咨询作用。</w:t>
      </w:r>
    </w:p>
    <w:p w14:paraId="6C028F53">
      <w:pPr>
        <w:autoSpaceDE w:val="0"/>
        <w:autoSpaceDN w:val="0"/>
        <w:adjustRightInd w:val="0"/>
        <w:ind w:firstLine="560" w:firstLineChars="200"/>
        <w:rPr>
          <w:rFonts w:eastAsia="仿宋"/>
          <w:sz w:val="28"/>
          <w:szCs w:val="28"/>
        </w:rPr>
      </w:pPr>
      <w:r>
        <w:rPr>
          <w:rFonts w:eastAsia="仿宋"/>
          <w:sz w:val="28"/>
          <w:szCs w:val="28"/>
        </w:rPr>
        <w:t>（3）召开现场办公会</w:t>
      </w:r>
    </w:p>
    <w:p w14:paraId="463A7087">
      <w:pPr>
        <w:autoSpaceDE w:val="0"/>
        <w:autoSpaceDN w:val="0"/>
        <w:adjustRightInd w:val="0"/>
        <w:ind w:firstLine="560" w:firstLineChars="200"/>
        <w:rPr>
          <w:rFonts w:eastAsia="仿宋"/>
          <w:sz w:val="28"/>
          <w:szCs w:val="28"/>
        </w:rPr>
      </w:pPr>
      <w:r>
        <w:rPr>
          <w:rFonts w:eastAsia="仿宋"/>
          <w:sz w:val="28"/>
          <w:szCs w:val="28"/>
        </w:rPr>
        <w:t>召开各种现场办公会现场解决问题，充分调动各部门和单位的主动性、积极性，为现场应急指挥部提供支持，动员一切所需力量为应急处置工作服务。</w:t>
      </w:r>
    </w:p>
    <w:p w14:paraId="106F5845">
      <w:pPr>
        <w:pStyle w:val="3"/>
        <w:rPr>
          <w:rFonts w:eastAsia="仿宋"/>
          <w:sz w:val="32"/>
        </w:rPr>
      </w:pPr>
      <w:bookmarkStart w:id="79" w:name="_Toc27274"/>
      <w:bookmarkStart w:id="80" w:name="_Toc526772704"/>
      <w:bookmarkStart w:id="81" w:name="_Toc11573"/>
      <w:bookmarkStart w:id="82" w:name="_Toc60930798"/>
      <w:r>
        <w:rPr>
          <w:rFonts w:eastAsia="仿宋"/>
          <w:sz w:val="32"/>
        </w:rPr>
        <w:t>4.4</w:t>
      </w:r>
      <w:bookmarkEnd w:id="79"/>
      <w:bookmarkEnd w:id="80"/>
      <w:r>
        <w:rPr>
          <w:rFonts w:eastAsia="仿宋"/>
          <w:sz w:val="32"/>
        </w:rPr>
        <w:t>应急监测</w:t>
      </w:r>
      <w:bookmarkEnd w:id="81"/>
      <w:bookmarkEnd w:id="82"/>
    </w:p>
    <w:p w14:paraId="4EBE6C69">
      <w:pPr>
        <w:autoSpaceDE w:val="0"/>
        <w:autoSpaceDN w:val="0"/>
        <w:adjustRightInd w:val="0"/>
        <w:ind w:firstLine="560" w:firstLineChars="200"/>
        <w:rPr>
          <w:rFonts w:eastAsia="仿宋"/>
          <w:sz w:val="28"/>
          <w:szCs w:val="28"/>
        </w:rPr>
      </w:pPr>
      <w:r>
        <w:rPr>
          <w:rFonts w:eastAsia="仿宋"/>
          <w:sz w:val="28"/>
          <w:szCs w:val="28"/>
        </w:rPr>
        <w:t>贵阳市生态环境局花溪分局、花溪区水务局和花溪区卫生健康局负责组织、实施、协调花溪区</w:t>
      </w:r>
      <w:r>
        <w:rPr>
          <w:rFonts w:hint="eastAsia" w:eastAsia="仿宋"/>
          <w:sz w:val="28"/>
          <w:szCs w:val="28"/>
        </w:rPr>
        <w:t>千人以上集中式</w:t>
      </w:r>
      <w:r>
        <w:rPr>
          <w:rFonts w:eastAsia="仿宋"/>
          <w:sz w:val="28"/>
          <w:szCs w:val="28"/>
        </w:rPr>
        <w:t>饮用水水源地突发环境事件的环境应急监测，并配合相关监测单位进行应急监测。</w:t>
      </w:r>
    </w:p>
    <w:p w14:paraId="099B70B8">
      <w:pPr>
        <w:autoSpaceDE w:val="0"/>
        <w:autoSpaceDN w:val="0"/>
        <w:adjustRightInd w:val="0"/>
        <w:ind w:firstLine="560" w:firstLineChars="200"/>
        <w:rPr>
          <w:rFonts w:eastAsia="仿宋"/>
          <w:sz w:val="28"/>
          <w:szCs w:val="28"/>
        </w:rPr>
      </w:pPr>
      <w:r>
        <w:rPr>
          <w:rFonts w:eastAsia="仿宋"/>
          <w:sz w:val="28"/>
          <w:szCs w:val="28"/>
        </w:rPr>
        <w:t>（1）监测范围。确定的原则应尽量涵盖饮用水突发环境事件的污染范围，在尚未受到污染的区域布设控制点位。</w:t>
      </w:r>
    </w:p>
    <w:p w14:paraId="0515A903">
      <w:pPr>
        <w:autoSpaceDE w:val="0"/>
        <w:autoSpaceDN w:val="0"/>
        <w:adjustRightInd w:val="0"/>
        <w:ind w:firstLine="560" w:firstLineChars="200"/>
        <w:rPr>
          <w:rFonts w:eastAsia="仿宋"/>
          <w:sz w:val="28"/>
          <w:szCs w:val="28"/>
        </w:rPr>
      </w:pPr>
      <w:r>
        <w:rPr>
          <w:rFonts w:eastAsia="仿宋"/>
          <w:sz w:val="28"/>
          <w:szCs w:val="28"/>
        </w:rPr>
        <w:t>（2）监测布点。以饮用水突发环境事件发生地点为中心或源头，结合气象和水文条件，在其扩散方向及可能受到影响的水源地合理布点，对污染带移动过程形成动态监测。对被突发环境事件所污染的地表水应设置对照断面、控制断面、消减断面，尽可能以最少的断面获取足够的有代表性的所需信息，同时必须考虑采样点可行性和方便性。对河流型水源地的监测应在事故发生地及其下游布点，同时在事故发生地上游一定距离布设对照断面：如江河水流的流速很小或基本静止，可根据污染物的特性在不同水层采样：在事故影响区域内饮用水取水口和农灌区取水口处必须设置采样断面。</w:t>
      </w:r>
    </w:p>
    <w:p w14:paraId="56E586A6">
      <w:pPr>
        <w:autoSpaceDE w:val="0"/>
        <w:autoSpaceDN w:val="0"/>
        <w:adjustRightInd w:val="0"/>
        <w:ind w:firstLine="560" w:firstLineChars="200"/>
        <w:rPr>
          <w:rFonts w:eastAsia="仿宋"/>
          <w:sz w:val="28"/>
          <w:szCs w:val="28"/>
        </w:rPr>
      </w:pPr>
      <w:r>
        <w:rPr>
          <w:rFonts w:eastAsia="仿宋"/>
          <w:sz w:val="28"/>
          <w:szCs w:val="28"/>
        </w:rPr>
        <w:t>（3）现场采样。监测单位应编制突发环境事件应急监测预案，并根据该预案初步制定有关采样计划，包括布点原则、监测频次、采样方法、监测项目、采样人员及分工、采样器材、安全防护设备、必要的简易快速检测器材等，必要时，根据事故现场具体情况制定更详细的采样计划。</w:t>
      </w:r>
    </w:p>
    <w:p w14:paraId="58466DCF">
      <w:pPr>
        <w:autoSpaceDE w:val="0"/>
        <w:autoSpaceDN w:val="0"/>
        <w:adjustRightInd w:val="0"/>
        <w:ind w:firstLine="560" w:firstLineChars="200"/>
        <w:rPr>
          <w:rFonts w:eastAsia="仿宋"/>
          <w:sz w:val="28"/>
          <w:szCs w:val="28"/>
        </w:rPr>
      </w:pPr>
      <w:r>
        <w:rPr>
          <w:rFonts w:eastAsia="仿宋"/>
          <w:sz w:val="28"/>
          <w:szCs w:val="28"/>
        </w:rPr>
        <w:t>应急监测通常采集瞬时样品，采样量根据分析项目及分析方法确定，采样量还应满足留样要求。污染发生后，应首先采集污染源样品，注意采样点代表性。具体采样方法及采样量可参照H/T191、HJ/T164、H/T194、 HJ/T193、H/T55和HJ/T166等。</w:t>
      </w:r>
    </w:p>
    <w:p w14:paraId="52DCB207">
      <w:pPr>
        <w:autoSpaceDE w:val="0"/>
        <w:autoSpaceDN w:val="0"/>
        <w:adjustRightInd w:val="0"/>
        <w:ind w:firstLine="560" w:firstLineChars="200"/>
        <w:rPr>
          <w:rFonts w:eastAsia="仿宋"/>
          <w:sz w:val="28"/>
          <w:szCs w:val="28"/>
        </w:rPr>
      </w:pPr>
      <w:r>
        <w:rPr>
          <w:rFonts w:eastAsia="仿宋"/>
          <w:sz w:val="28"/>
          <w:szCs w:val="28"/>
        </w:rPr>
        <w:t>采样人员到达现场后，应根据事故发生地点具体情况，迅速划定采样、控制区域，按布点方法进行布点，确定采样断面。采样频次主要根据现场污染状况确定。事故刚发生时，采样频次可适当增加，待摸清污染物变化规律后，可减少采样频次。依据不同的环境区域功能和事故发生地的污染实际情况，力求以最低的采样频次，取得最有代表性的样品，既满足反映环境污染程度、范围的要求，又切实可行。</w:t>
      </w:r>
    </w:p>
    <w:p w14:paraId="7DBF5730">
      <w:pPr>
        <w:autoSpaceDE w:val="0"/>
        <w:autoSpaceDN w:val="0"/>
        <w:adjustRightInd w:val="0"/>
        <w:ind w:firstLine="560" w:firstLineChars="200"/>
        <w:rPr>
          <w:rFonts w:eastAsia="仿宋"/>
          <w:sz w:val="28"/>
          <w:szCs w:val="28"/>
        </w:rPr>
      </w:pPr>
      <w:r>
        <w:rPr>
          <w:rFonts w:eastAsia="仿宋"/>
          <w:sz w:val="28"/>
          <w:szCs w:val="28"/>
        </w:rPr>
        <w:t>现场采样记录也是应急监测采样时必不可少的一个环节，它是突发环境应急监测的第一手资料，必须如实记录并在现场完成，内容全面，可充分利用常规例行监测表格进行规范记录，至少应包括如下信息：</w:t>
      </w:r>
    </w:p>
    <w:p w14:paraId="1777D9B5">
      <w:pPr>
        <w:autoSpaceDE w:val="0"/>
        <w:autoSpaceDN w:val="0"/>
        <w:adjustRightInd w:val="0"/>
        <w:ind w:firstLine="560" w:firstLineChars="200"/>
        <w:rPr>
          <w:rFonts w:eastAsia="仿宋"/>
          <w:sz w:val="28"/>
          <w:szCs w:val="28"/>
        </w:rPr>
      </w:pPr>
      <w:r>
        <w:rPr>
          <w:rFonts w:eastAsia="仿宋"/>
          <w:sz w:val="28"/>
          <w:szCs w:val="28"/>
        </w:rPr>
        <w:t>a.事故发生的时间和地点，污染事故单位名称、联系方式。</w:t>
      </w:r>
    </w:p>
    <w:p w14:paraId="44205D1B">
      <w:pPr>
        <w:autoSpaceDE w:val="0"/>
        <w:autoSpaceDN w:val="0"/>
        <w:adjustRightInd w:val="0"/>
        <w:ind w:firstLine="560" w:firstLineChars="200"/>
        <w:rPr>
          <w:rFonts w:eastAsia="仿宋"/>
          <w:sz w:val="28"/>
          <w:szCs w:val="28"/>
        </w:rPr>
      </w:pPr>
      <w:r>
        <w:rPr>
          <w:rFonts w:eastAsia="仿宋"/>
          <w:sz w:val="28"/>
          <w:szCs w:val="28"/>
        </w:rPr>
        <w:t>b.现场示意图，如有必要对采样断面及周围情况进行现场录像和拍照，特别注明采样断面所在位置的标志性特征物如建筑物、桥梁等名称。</w:t>
      </w:r>
    </w:p>
    <w:p w14:paraId="74991F71">
      <w:pPr>
        <w:autoSpaceDE w:val="0"/>
        <w:autoSpaceDN w:val="0"/>
        <w:adjustRightInd w:val="0"/>
        <w:ind w:firstLine="560" w:firstLineChars="200"/>
        <w:rPr>
          <w:rFonts w:eastAsia="仿宋"/>
          <w:sz w:val="28"/>
          <w:szCs w:val="28"/>
        </w:rPr>
      </w:pPr>
      <w:r>
        <w:rPr>
          <w:rFonts w:eastAsia="仿宋"/>
          <w:sz w:val="28"/>
          <w:szCs w:val="28"/>
        </w:rPr>
        <w:t>c.监测实施方案，包括监测项目（如可能）、采样断面（点位）、监测频次、采样时间等。</w:t>
      </w:r>
    </w:p>
    <w:p w14:paraId="759482A6">
      <w:pPr>
        <w:autoSpaceDE w:val="0"/>
        <w:autoSpaceDN w:val="0"/>
        <w:adjustRightInd w:val="0"/>
        <w:ind w:firstLine="560" w:firstLineChars="200"/>
        <w:rPr>
          <w:rFonts w:eastAsia="仿宋"/>
          <w:sz w:val="28"/>
          <w:szCs w:val="28"/>
        </w:rPr>
      </w:pPr>
      <w:r>
        <w:rPr>
          <w:rFonts w:eastAsia="仿宋"/>
          <w:sz w:val="28"/>
          <w:szCs w:val="28"/>
        </w:rPr>
        <w:t>d.事故发生现场描述及事故发生的原因。</w:t>
      </w:r>
    </w:p>
    <w:p w14:paraId="47B92347">
      <w:pPr>
        <w:autoSpaceDE w:val="0"/>
        <w:autoSpaceDN w:val="0"/>
        <w:adjustRightInd w:val="0"/>
        <w:ind w:firstLine="560" w:firstLineChars="200"/>
        <w:rPr>
          <w:rFonts w:eastAsia="仿宋"/>
          <w:sz w:val="28"/>
          <w:szCs w:val="28"/>
        </w:rPr>
      </w:pPr>
      <w:r>
        <w:rPr>
          <w:rFonts w:eastAsia="仿宋"/>
          <w:sz w:val="28"/>
          <w:szCs w:val="28"/>
        </w:rPr>
        <w:t>e.必要的水文气象参数（如水温、水流流向、流量、气温、气压、风向、风速等）。</w:t>
      </w:r>
    </w:p>
    <w:p w14:paraId="33100453">
      <w:pPr>
        <w:autoSpaceDE w:val="0"/>
        <w:autoSpaceDN w:val="0"/>
        <w:adjustRightInd w:val="0"/>
        <w:ind w:firstLine="560" w:firstLineChars="200"/>
        <w:rPr>
          <w:rFonts w:eastAsia="仿宋"/>
          <w:sz w:val="28"/>
          <w:szCs w:val="28"/>
        </w:rPr>
      </w:pPr>
      <w:r>
        <w:rPr>
          <w:rFonts w:eastAsia="仿宋"/>
          <w:sz w:val="28"/>
          <w:szCs w:val="28"/>
        </w:rPr>
        <w:t>f.可能存在的污染物名称、流失量及影响范围（程度）；如有可能，简要说明污染物的有害特性。</w:t>
      </w:r>
    </w:p>
    <w:p w14:paraId="4B0AA350">
      <w:pPr>
        <w:autoSpaceDE w:val="0"/>
        <w:autoSpaceDN w:val="0"/>
        <w:adjustRightInd w:val="0"/>
        <w:ind w:firstLine="560" w:firstLineChars="200"/>
        <w:rPr>
          <w:rFonts w:eastAsia="仿宋"/>
          <w:sz w:val="28"/>
          <w:szCs w:val="28"/>
        </w:rPr>
      </w:pPr>
      <w:r>
        <w:rPr>
          <w:rFonts w:eastAsia="仿宋"/>
          <w:sz w:val="28"/>
          <w:szCs w:val="28"/>
        </w:rPr>
        <w:t>g.尽可能收集与突发环境事件相关的其他信息，如盛放有毒有害污染物的容器、标签等信息，尤其是外文标签等信息，以便核对。</w:t>
      </w:r>
    </w:p>
    <w:p w14:paraId="748853AE">
      <w:pPr>
        <w:autoSpaceDE w:val="0"/>
        <w:autoSpaceDN w:val="0"/>
        <w:adjustRightInd w:val="0"/>
        <w:ind w:firstLine="560" w:firstLineChars="200"/>
        <w:rPr>
          <w:rFonts w:eastAsia="仿宋"/>
          <w:sz w:val="28"/>
          <w:szCs w:val="28"/>
        </w:rPr>
      </w:pPr>
      <w:r>
        <w:rPr>
          <w:rFonts w:eastAsia="仿宋"/>
          <w:sz w:val="28"/>
          <w:szCs w:val="28"/>
        </w:rPr>
        <w:t>h.采样人员及校核人员的签名。</w:t>
      </w:r>
    </w:p>
    <w:p w14:paraId="369CD327">
      <w:pPr>
        <w:autoSpaceDE w:val="0"/>
        <w:autoSpaceDN w:val="0"/>
        <w:adjustRightInd w:val="0"/>
        <w:ind w:firstLine="560" w:firstLineChars="200"/>
        <w:rPr>
          <w:rFonts w:eastAsia="仿宋"/>
          <w:sz w:val="28"/>
          <w:szCs w:val="28"/>
        </w:rPr>
      </w:pPr>
      <w:r>
        <w:rPr>
          <w:rFonts w:eastAsia="仿宋"/>
          <w:sz w:val="28"/>
          <w:szCs w:val="28"/>
        </w:rPr>
        <w:t>（4）分析方法。为迅速查明突发环境事件污染物的种类（或名称）、污染程度和范围以及污染发展趋势，在已有调查资料的基础上，充分利用现场快速监测方法和实验室现有的分析方法进行鉴别、确认。为快速监测突发环境事件的污染物，首先可采用如下的快速监测方法：</w:t>
      </w:r>
    </w:p>
    <w:p w14:paraId="17CEEB13">
      <w:pPr>
        <w:autoSpaceDE w:val="0"/>
        <w:autoSpaceDN w:val="0"/>
        <w:adjustRightInd w:val="0"/>
        <w:ind w:firstLine="560" w:firstLineChars="200"/>
        <w:rPr>
          <w:rFonts w:eastAsia="仿宋"/>
          <w:sz w:val="28"/>
          <w:szCs w:val="28"/>
        </w:rPr>
      </w:pPr>
      <w:r>
        <w:rPr>
          <w:rFonts w:eastAsia="仿宋"/>
          <w:sz w:val="28"/>
          <w:szCs w:val="28"/>
        </w:rPr>
        <w:t>a.检测试纸、快速检测管和便携式监测仪器等监测方法。</w:t>
      </w:r>
    </w:p>
    <w:p w14:paraId="1DE4EB51">
      <w:pPr>
        <w:autoSpaceDE w:val="0"/>
        <w:autoSpaceDN w:val="0"/>
        <w:adjustRightInd w:val="0"/>
        <w:ind w:firstLine="560" w:firstLineChars="200"/>
        <w:rPr>
          <w:rFonts w:eastAsia="仿宋"/>
          <w:sz w:val="28"/>
          <w:szCs w:val="28"/>
        </w:rPr>
      </w:pPr>
      <w:r>
        <w:rPr>
          <w:rFonts w:eastAsia="仿宋"/>
          <w:sz w:val="28"/>
          <w:szCs w:val="28"/>
        </w:rPr>
        <w:t>b.现有的水质监测和污染源监测系统等在用的监测方法。</w:t>
      </w:r>
    </w:p>
    <w:p w14:paraId="7EEBA5D0">
      <w:pPr>
        <w:autoSpaceDE w:val="0"/>
        <w:autoSpaceDN w:val="0"/>
        <w:adjustRightInd w:val="0"/>
        <w:ind w:firstLine="560" w:firstLineChars="200"/>
        <w:rPr>
          <w:rFonts w:eastAsia="仿宋"/>
          <w:sz w:val="28"/>
          <w:szCs w:val="28"/>
        </w:rPr>
      </w:pPr>
      <w:r>
        <w:rPr>
          <w:rFonts w:eastAsia="仿宋"/>
          <w:sz w:val="28"/>
          <w:szCs w:val="28"/>
        </w:rPr>
        <w:t>c.现行实验室分析方法。</w:t>
      </w:r>
    </w:p>
    <w:p w14:paraId="5F8FA366">
      <w:pPr>
        <w:autoSpaceDE w:val="0"/>
        <w:autoSpaceDN w:val="0"/>
        <w:adjustRightInd w:val="0"/>
        <w:ind w:firstLine="560" w:firstLineChars="200"/>
        <w:rPr>
          <w:rFonts w:eastAsia="仿宋"/>
          <w:sz w:val="28"/>
          <w:szCs w:val="28"/>
        </w:rPr>
      </w:pPr>
      <w:r>
        <w:rPr>
          <w:rFonts w:eastAsia="仿宋"/>
          <w:sz w:val="28"/>
          <w:szCs w:val="28"/>
        </w:rPr>
        <w:t>（5）监测结果与数据报告，数据处理应参照相应的监测技术规范进行。监测结果可用定性、半定量或定量方式报出。监测结果要及时向指挥部报告，可采用电话、传真、快报、简报、监测报告等形式。</w:t>
      </w:r>
    </w:p>
    <w:p w14:paraId="7AC341A6">
      <w:pPr>
        <w:autoSpaceDE w:val="0"/>
        <w:autoSpaceDN w:val="0"/>
        <w:adjustRightInd w:val="0"/>
        <w:ind w:firstLine="560" w:firstLineChars="200"/>
        <w:rPr>
          <w:rFonts w:eastAsia="仿宋"/>
          <w:sz w:val="28"/>
          <w:szCs w:val="28"/>
        </w:rPr>
      </w:pPr>
      <w:r>
        <w:rPr>
          <w:rFonts w:eastAsia="仿宋"/>
          <w:sz w:val="28"/>
          <w:szCs w:val="28"/>
        </w:rPr>
        <w:t>（6）监测过程质量保障。应急监测过程应实施质量控制，用于监测的各种计量器具要按有关规定定期检定，并在检定周期内进行期间核查，定期检查和维护保养，保证仪器设备的正常运转；实验用水要符合分析方法要求，试剂和实验辅助材料要检验合格后投入使用；实验室采购服务应选择合格的供应商；实验室环境条件应满足分析方法要求，需控制温湿度等条件的实验室要配备相应设备，监控并记录环境条件；应急监测报告应完整，并实行三级审核。</w:t>
      </w:r>
    </w:p>
    <w:p w14:paraId="31E2D906">
      <w:pPr>
        <w:autoSpaceDE w:val="0"/>
        <w:autoSpaceDN w:val="0"/>
        <w:adjustRightInd w:val="0"/>
        <w:ind w:firstLine="560" w:firstLineChars="200"/>
        <w:rPr>
          <w:rFonts w:eastAsia="仿宋"/>
          <w:sz w:val="28"/>
          <w:szCs w:val="28"/>
        </w:rPr>
      </w:pPr>
      <w:r>
        <w:rPr>
          <w:rFonts w:eastAsia="仿宋"/>
          <w:sz w:val="28"/>
          <w:szCs w:val="28"/>
        </w:rPr>
        <w:t>（7）根据监测结果，综合分析突发环境事件污染变化趋势，并通过专家咨询和讨论的方式，预测并报告突发环境事件的发展情况和污染物的变化情况，作为突发环境事件应急决策的依据。</w:t>
      </w:r>
    </w:p>
    <w:p w14:paraId="19A1B46D">
      <w:pPr>
        <w:pStyle w:val="3"/>
        <w:rPr>
          <w:rFonts w:eastAsia="仿宋"/>
          <w:sz w:val="32"/>
        </w:rPr>
      </w:pPr>
      <w:bookmarkStart w:id="83" w:name="_Toc60930799"/>
      <w:bookmarkStart w:id="84" w:name="_Toc28095"/>
      <w:r>
        <w:rPr>
          <w:rFonts w:eastAsia="仿宋"/>
          <w:sz w:val="32"/>
        </w:rPr>
        <w:t>4.5 污染物排查与处置</w:t>
      </w:r>
      <w:bookmarkEnd w:id="83"/>
      <w:bookmarkEnd w:id="84"/>
    </w:p>
    <w:p w14:paraId="2554E325">
      <w:pPr>
        <w:pStyle w:val="4"/>
        <w:spacing w:before="120" w:after="120"/>
        <w:rPr>
          <w:rFonts w:eastAsia="仿宋"/>
          <w:sz w:val="28"/>
        </w:rPr>
      </w:pPr>
      <w:r>
        <w:rPr>
          <w:rFonts w:eastAsia="仿宋"/>
          <w:sz w:val="28"/>
        </w:rPr>
        <w:t>4.5.1 明确排查对象</w:t>
      </w:r>
    </w:p>
    <w:p w14:paraId="641A53DD">
      <w:pPr>
        <w:autoSpaceDE w:val="0"/>
        <w:autoSpaceDN w:val="0"/>
        <w:adjustRightInd w:val="0"/>
        <w:ind w:firstLine="560" w:firstLineChars="200"/>
        <w:rPr>
          <w:rFonts w:eastAsia="仿宋"/>
          <w:sz w:val="28"/>
          <w:szCs w:val="28"/>
        </w:rPr>
      </w:pPr>
      <w:r>
        <w:rPr>
          <w:rFonts w:eastAsia="仿宋"/>
          <w:sz w:val="28"/>
          <w:szCs w:val="28"/>
        </w:rPr>
        <w:t>（1）花溪区千人以上集中式饮用水水源地突发环境事件应急指挥部、贵阳市生态环境局花溪分局、花溪区卫生健康局、花溪区水务局等相关单位等到达现场后，应迅速调查了解现场的基本情况、事件发生的过程、产生的后果以及已采取的措施，根据事件的发生发展情况，开展现场调查，采取控制措施。</w:t>
      </w:r>
    </w:p>
    <w:p w14:paraId="2437ACF6">
      <w:pPr>
        <w:autoSpaceDE w:val="0"/>
        <w:autoSpaceDN w:val="0"/>
        <w:adjustRightInd w:val="0"/>
        <w:ind w:firstLine="560" w:firstLineChars="200"/>
        <w:rPr>
          <w:rFonts w:eastAsia="仿宋"/>
          <w:sz w:val="28"/>
          <w:szCs w:val="28"/>
        </w:rPr>
      </w:pPr>
      <w:r>
        <w:rPr>
          <w:rFonts w:eastAsia="仿宋"/>
          <w:sz w:val="28"/>
          <w:szCs w:val="28"/>
        </w:rPr>
        <w:t>（2）现场调查内容</w:t>
      </w:r>
    </w:p>
    <w:p w14:paraId="25D3B3A6">
      <w:pPr>
        <w:autoSpaceDE w:val="0"/>
        <w:autoSpaceDN w:val="0"/>
        <w:adjustRightInd w:val="0"/>
        <w:ind w:firstLine="560" w:firstLineChars="200"/>
        <w:rPr>
          <w:rFonts w:eastAsia="仿宋"/>
          <w:sz w:val="28"/>
          <w:szCs w:val="28"/>
        </w:rPr>
      </w:pPr>
      <w:r>
        <w:rPr>
          <w:rFonts w:hint="eastAsia" w:ascii="宋体" w:hAnsi="宋体" w:cs="宋体"/>
          <w:sz w:val="28"/>
          <w:szCs w:val="28"/>
        </w:rPr>
        <w:t>①</w:t>
      </w:r>
      <w:r>
        <w:rPr>
          <w:rFonts w:eastAsia="仿宋"/>
          <w:sz w:val="28"/>
          <w:szCs w:val="28"/>
        </w:rPr>
        <w:t>事件发生的地点、时间、原因、过程以及当事人。</w:t>
      </w:r>
    </w:p>
    <w:p w14:paraId="0667562A">
      <w:pPr>
        <w:autoSpaceDE w:val="0"/>
        <w:autoSpaceDN w:val="0"/>
        <w:adjustRightInd w:val="0"/>
        <w:ind w:firstLine="560" w:firstLineChars="200"/>
        <w:rPr>
          <w:rFonts w:eastAsia="仿宋"/>
          <w:sz w:val="28"/>
          <w:szCs w:val="28"/>
        </w:rPr>
      </w:pPr>
      <w:r>
        <w:rPr>
          <w:rFonts w:hint="eastAsia" w:ascii="宋体" w:hAnsi="宋体" w:cs="宋体"/>
          <w:sz w:val="28"/>
          <w:szCs w:val="28"/>
        </w:rPr>
        <w:t>②</w:t>
      </w:r>
      <w:r>
        <w:rPr>
          <w:rFonts w:eastAsia="仿宋"/>
          <w:sz w:val="28"/>
          <w:szCs w:val="28"/>
        </w:rPr>
        <w:t>污染物的来源、品名、种类、性状、数量、污染途径、范围及程度，以及污染的扩散趋势。</w:t>
      </w:r>
    </w:p>
    <w:p w14:paraId="6B969654">
      <w:pPr>
        <w:autoSpaceDE w:val="0"/>
        <w:autoSpaceDN w:val="0"/>
        <w:adjustRightInd w:val="0"/>
        <w:ind w:firstLine="560" w:firstLineChars="200"/>
        <w:rPr>
          <w:rFonts w:eastAsia="仿宋"/>
          <w:sz w:val="28"/>
          <w:szCs w:val="28"/>
        </w:rPr>
      </w:pPr>
      <w:r>
        <w:rPr>
          <w:rFonts w:eastAsia="仿宋"/>
          <w:sz w:val="28"/>
          <w:szCs w:val="28"/>
        </w:rPr>
        <w:t>（3）环境监测站对生活饮用水水源地取水口进行水质检测，结合现场调查的相关情况，以确定主要污染源和污染物。花溪区卫生健康局对污染源和污染物的毒理性能、污染物的生物、菌类的识别进行识别。</w:t>
      </w:r>
    </w:p>
    <w:p w14:paraId="45DE4B4D">
      <w:pPr>
        <w:autoSpaceDE w:val="0"/>
        <w:autoSpaceDN w:val="0"/>
        <w:adjustRightInd w:val="0"/>
        <w:ind w:firstLine="560" w:firstLineChars="200"/>
        <w:rPr>
          <w:rFonts w:eastAsia="仿宋"/>
          <w:sz w:val="28"/>
          <w:szCs w:val="28"/>
        </w:rPr>
      </w:pPr>
      <w:r>
        <w:rPr>
          <w:rFonts w:eastAsia="仿宋"/>
          <w:sz w:val="28"/>
          <w:szCs w:val="28"/>
        </w:rPr>
        <w:t>（4）做好现场监督检查记录，规范制作各类执法文书，收集相关证据材料。</w:t>
      </w:r>
    </w:p>
    <w:p w14:paraId="2DC15A64">
      <w:pPr>
        <w:autoSpaceDE w:val="0"/>
        <w:autoSpaceDN w:val="0"/>
        <w:adjustRightInd w:val="0"/>
        <w:ind w:firstLine="560" w:firstLineChars="200"/>
        <w:rPr>
          <w:rFonts w:eastAsia="仿宋"/>
          <w:sz w:val="28"/>
          <w:szCs w:val="28"/>
        </w:rPr>
      </w:pPr>
      <w:r>
        <w:rPr>
          <w:rFonts w:eastAsia="仿宋"/>
          <w:sz w:val="28"/>
          <w:szCs w:val="28"/>
        </w:rPr>
        <w:t>针对不同类型污染物的排查重点和对象如下：</w:t>
      </w:r>
    </w:p>
    <w:p w14:paraId="00FEA6E9">
      <w:pPr>
        <w:autoSpaceDE w:val="0"/>
        <w:autoSpaceDN w:val="0"/>
        <w:adjustRightInd w:val="0"/>
        <w:ind w:firstLine="560" w:firstLineChars="200"/>
        <w:rPr>
          <w:rFonts w:eastAsia="仿宋"/>
          <w:sz w:val="28"/>
          <w:szCs w:val="28"/>
        </w:rPr>
      </w:pPr>
      <w:r>
        <w:rPr>
          <w:rFonts w:hint="eastAsia" w:ascii="宋体" w:hAnsi="宋体" w:cs="宋体"/>
          <w:sz w:val="28"/>
          <w:szCs w:val="28"/>
        </w:rPr>
        <w:t>①</w:t>
      </w:r>
      <w:r>
        <w:rPr>
          <w:rFonts w:eastAsia="仿宋"/>
          <w:sz w:val="28"/>
          <w:szCs w:val="28"/>
        </w:rPr>
        <w:t>有机类污染：重点排查城镇生活污水处理厂（站）、工业企业，调查污水处理设施运行、尾水排放的异常情况。</w:t>
      </w:r>
    </w:p>
    <w:p w14:paraId="50553D78">
      <w:pPr>
        <w:autoSpaceDE w:val="0"/>
        <w:autoSpaceDN w:val="0"/>
        <w:adjustRightInd w:val="0"/>
        <w:ind w:firstLine="560" w:firstLineChars="200"/>
        <w:rPr>
          <w:rFonts w:eastAsia="仿宋"/>
          <w:sz w:val="28"/>
          <w:szCs w:val="28"/>
        </w:rPr>
      </w:pPr>
      <w:r>
        <w:rPr>
          <w:rFonts w:hint="eastAsia" w:ascii="宋体" w:hAnsi="宋体" w:cs="宋体"/>
          <w:sz w:val="28"/>
          <w:szCs w:val="28"/>
        </w:rPr>
        <w:t>②</w:t>
      </w:r>
      <w:r>
        <w:rPr>
          <w:rFonts w:eastAsia="仿宋"/>
          <w:sz w:val="28"/>
          <w:szCs w:val="28"/>
        </w:rPr>
        <w:t>营养盐类污染：重点排查城镇生活污水处理厂（站）、工业企业、畜禽养殖场（户）、农田种植户、农村居民点、医疗场所等，调查污水处理设施运行、养殖废物处理处置、农药化肥施用、农村生活污染、医疗废水处理及消毒设施的异常情况。</w:t>
      </w:r>
    </w:p>
    <w:p w14:paraId="361841B9">
      <w:pPr>
        <w:autoSpaceDE w:val="0"/>
        <w:autoSpaceDN w:val="0"/>
        <w:adjustRightInd w:val="0"/>
        <w:ind w:firstLine="560" w:firstLineChars="200"/>
        <w:rPr>
          <w:rFonts w:eastAsia="仿宋"/>
          <w:sz w:val="28"/>
          <w:szCs w:val="28"/>
        </w:rPr>
      </w:pPr>
      <w:r>
        <w:rPr>
          <w:rFonts w:hint="eastAsia" w:ascii="宋体" w:hAnsi="宋体" w:cs="宋体"/>
          <w:sz w:val="28"/>
          <w:szCs w:val="28"/>
        </w:rPr>
        <w:t>③</w:t>
      </w:r>
      <w:r>
        <w:rPr>
          <w:rFonts w:eastAsia="仿宋"/>
          <w:sz w:val="28"/>
          <w:szCs w:val="28"/>
        </w:rPr>
        <w:t>细菌类污染：重点排查城镇生活污水处理厂（站）、畜禽养殖场（户）、农村居民点，调查污水处理设施运行、养殖废物处理处置、医疗场所、农村生活污染的异常情况。</w:t>
      </w:r>
    </w:p>
    <w:p w14:paraId="6377FFAD">
      <w:pPr>
        <w:autoSpaceDE w:val="0"/>
        <w:autoSpaceDN w:val="0"/>
        <w:adjustRightInd w:val="0"/>
        <w:ind w:firstLine="560" w:firstLineChars="200"/>
        <w:rPr>
          <w:rFonts w:eastAsia="仿宋"/>
          <w:sz w:val="28"/>
          <w:szCs w:val="28"/>
        </w:rPr>
      </w:pPr>
      <w:r>
        <w:rPr>
          <w:rFonts w:hint="eastAsia" w:ascii="宋体" w:hAnsi="宋体" w:cs="宋体"/>
          <w:sz w:val="28"/>
          <w:szCs w:val="28"/>
        </w:rPr>
        <w:t>④</w:t>
      </w:r>
      <w:r>
        <w:rPr>
          <w:rFonts w:eastAsia="仿宋"/>
          <w:sz w:val="28"/>
          <w:szCs w:val="28"/>
        </w:rPr>
        <w:t>农药类污染：重点排查农药制造有关的工业企业、果园种植园（户）、农田种植户、农灌退水排放口，调查农药施用和流失的异常情况。</w:t>
      </w:r>
    </w:p>
    <w:p w14:paraId="07D39069">
      <w:pPr>
        <w:autoSpaceDE w:val="0"/>
        <w:autoSpaceDN w:val="0"/>
        <w:adjustRightInd w:val="0"/>
        <w:ind w:firstLine="560" w:firstLineChars="200"/>
        <w:rPr>
          <w:rFonts w:eastAsia="仿宋"/>
          <w:sz w:val="28"/>
          <w:szCs w:val="28"/>
        </w:rPr>
      </w:pPr>
      <w:r>
        <w:rPr>
          <w:rFonts w:hint="eastAsia" w:ascii="宋体" w:hAnsi="宋体" w:cs="宋体"/>
          <w:sz w:val="28"/>
          <w:szCs w:val="28"/>
        </w:rPr>
        <w:t>⑤</w:t>
      </w:r>
      <w:r>
        <w:rPr>
          <w:rFonts w:eastAsia="仿宋"/>
          <w:sz w:val="28"/>
          <w:szCs w:val="28"/>
        </w:rPr>
        <w:t>石油类污染：重点排查加油站、运输车辆、运输船舶、油气管线、石油开采、加工和存贮的工业企业，调查上述企业和单位的异常情况。</w:t>
      </w:r>
    </w:p>
    <w:p w14:paraId="5BF40A66">
      <w:pPr>
        <w:autoSpaceDE w:val="0"/>
        <w:autoSpaceDN w:val="0"/>
        <w:adjustRightInd w:val="0"/>
        <w:ind w:firstLine="560" w:firstLineChars="200"/>
        <w:rPr>
          <w:rFonts w:eastAsia="仿宋"/>
          <w:sz w:val="28"/>
          <w:szCs w:val="28"/>
        </w:rPr>
      </w:pPr>
      <w:r>
        <w:rPr>
          <w:rFonts w:hint="eastAsia" w:ascii="宋体" w:hAnsi="宋体" w:cs="宋体"/>
          <w:sz w:val="28"/>
          <w:szCs w:val="28"/>
        </w:rPr>
        <w:t>⑥</w:t>
      </w:r>
      <w:r>
        <w:rPr>
          <w:rFonts w:eastAsia="仿宋"/>
          <w:sz w:val="28"/>
          <w:szCs w:val="28"/>
        </w:rPr>
        <w:t>重金属及其他有毒有害物质污染：重点排查采矿及选矿的工业企业（含化工园区）、尾矿库、危险废物储存单位、危险品仓库、危化品运输车辆等，调查上述企业和单位的异常情况。</w:t>
      </w:r>
    </w:p>
    <w:p w14:paraId="6D83FE4D">
      <w:pPr>
        <w:autoSpaceDE w:val="0"/>
        <w:autoSpaceDN w:val="0"/>
        <w:adjustRightInd w:val="0"/>
        <w:ind w:firstLine="560" w:firstLineChars="200"/>
        <w:rPr>
          <w:rFonts w:eastAsia="仿宋"/>
          <w:sz w:val="28"/>
          <w:szCs w:val="28"/>
        </w:rPr>
      </w:pPr>
      <w:r>
        <w:rPr>
          <w:rFonts w:eastAsia="仿宋"/>
          <w:sz w:val="28"/>
          <w:szCs w:val="28"/>
        </w:rPr>
        <w:t>责任部门：贵阳市生态环境局花溪分局。</w:t>
      </w:r>
    </w:p>
    <w:p w14:paraId="03C1151B">
      <w:pPr>
        <w:pStyle w:val="4"/>
        <w:spacing w:before="120" w:after="120"/>
        <w:rPr>
          <w:rFonts w:eastAsia="仿宋"/>
          <w:sz w:val="28"/>
        </w:rPr>
      </w:pPr>
      <w:r>
        <w:rPr>
          <w:rFonts w:eastAsia="仿宋"/>
          <w:sz w:val="28"/>
        </w:rPr>
        <w:t>4.5.2 切断污染源</w:t>
      </w:r>
    </w:p>
    <w:p w14:paraId="43AECF8C">
      <w:pPr>
        <w:autoSpaceDE w:val="0"/>
        <w:autoSpaceDN w:val="0"/>
        <w:adjustRightInd w:val="0"/>
        <w:ind w:firstLine="560" w:firstLineChars="200"/>
        <w:rPr>
          <w:rFonts w:eastAsia="仿宋"/>
          <w:sz w:val="28"/>
          <w:szCs w:val="28"/>
        </w:rPr>
      </w:pPr>
      <w:r>
        <w:rPr>
          <w:rFonts w:eastAsia="仿宋"/>
          <w:sz w:val="28"/>
          <w:szCs w:val="28"/>
        </w:rPr>
        <w:t>（1）如果是运输过程中有毒有害化学品的泄漏、扩散所造成的饮用水水源地污染事件，公安交警部门首先要迅速处置事件车辆，并对周边道路实施临时交通管制，疏散人群，确保公众生命安全与身体健康。同时，</w:t>
      </w:r>
      <w:r>
        <w:rPr>
          <w:rFonts w:hint="eastAsia" w:eastAsia="仿宋"/>
          <w:sz w:val="28"/>
          <w:szCs w:val="28"/>
        </w:rPr>
        <w:t>贵阳市</w:t>
      </w:r>
      <w:r>
        <w:rPr>
          <w:rFonts w:eastAsia="仿宋"/>
          <w:sz w:val="28"/>
          <w:szCs w:val="28"/>
        </w:rPr>
        <w:t>公安局</w:t>
      </w:r>
      <w:r>
        <w:rPr>
          <w:rFonts w:hint="eastAsia" w:eastAsia="仿宋"/>
          <w:sz w:val="28"/>
          <w:szCs w:val="28"/>
        </w:rPr>
        <w:t>花溪分局</w:t>
      </w:r>
      <w:r>
        <w:rPr>
          <w:rFonts w:eastAsia="仿宋"/>
          <w:sz w:val="28"/>
          <w:szCs w:val="28"/>
        </w:rPr>
        <w:t>应立即向有关部门报告危险化学品泄漏情况，按照污染物的化学、物理特性要求制止泄露，并协助做好危险化学品的收储工作，防止污染进一步蔓延。此外，花溪区应急</w:t>
      </w:r>
      <w:r>
        <w:rPr>
          <w:rFonts w:hint="eastAsia" w:eastAsia="仿宋"/>
          <w:sz w:val="28"/>
          <w:szCs w:val="28"/>
        </w:rPr>
        <w:t>管理</w:t>
      </w:r>
      <w:r>
        <w:rPr>
          <w:rFonts w:eastAsia="仿宋"/>
          <w:sz w:val="28"/>
          <w:szCs w:val="28"/>
        </w:rPr>
        <w:t>局接到事故报警后，应立即调集应急物资，派专业处置有毒有害化学品的救援队伍赴现场处置残留污染物。若因危险化学品污染事件引发火灾的，消防部门应迅速赶赴现场灭火，参加有关危险化学品的处置工作。</w:t>
      </w:r>
    </w:p>
    <w:p w14:paraId="769AAB15">
      <w:pPr>
        <w:autoSpaceDE w:val="0"/>
        <w:autoSpaceDN w:val="0"/>
        <w:adjustRightInd w:val="0"/>
        <w:ind w:firstLine="560" w:firstLineChars="200"/>
        <w:rPr>
          <w:rFonts w:eastAsia="仿宋"/>
          <w:sz w:val="28"/>
          <w:szCs w:val="28"/>
        </w:rPr>
      </w:pPr>
      <w:r>
        <w:rPr>
          <w:rFonts w:eastAsia="仿宋"/>
          <w:sz w:val="28"/>
          <w:szCs w:val="28"/>
        </w:rPr>
        <w:t>（2）污染如果是由排污口排放引起的，贵阳市生态环境局花溪分局按照应急预案，采取有效措施，首先控制污染排放，要求立即封堵排污口，并责令污染企业停产、减产、限产、停止排污，防止饮用水水源地水体污染的扩大。其次对水质安全进行应急治理，除依靠水体自净能力处理外，可针对性地采取人工投药或人工治理的方法减少危害的程度和范围。</w:t>
      </w:r>
    </w:p>
    <w:p w14:paraId="52FB2214">
      <w:pPr>
        <w:autoSpaceDE w:val="0"/>
        <w:autoSpaceDN w:val="0"/>
        <w:adjustRightInd w:val="0"/>
        <w:ind w:firstLine="560" w:firstLineChars="200"/>
        <w:rPr>
          <w:rFonts w:eastAsia="仿宋"/>
          <w:sz w:val="28"/>
          <w:szCs w:val="28"/>
        </w:rPr>
      </w:pPr>
      <w:r>
        <w:rPr>
          <w:rFonts w:eastAsia="仿宋"/>
          <w:sz w:val="28"/>
          <w:szCs w:val="28"/>
        </w:rPr>
        <w:t>（3）如果已经造成饮用水水源地水体污染，但影响范围不大，且危害性不很严重时，可要求在污染水体的下游处进行拦截，然后将污染水体直接采用适当的物理、化学方法进行处理，以消除危害。如果已经造成饮用水水源地水体污染大范围影响，且危害性严重（特别是剧毒化学品污染），应立即通知水厂和水源地周围群众停止用水，同时要求在污染水体下游进行堵截，然后采用适当的物理、化学方法进行处理，以消除危害。必要时通知下游水厂停水或采取保护措施。</w:t>
      </w:r>
    </w:p>
    <w:p w14:paraId="0DA392BE">
      <w:pPr>
        <w:autoSpaceDE w:val="0"/>
        <w:autoSpaceDN w:val="0"/>
        <w:adjustRightInd w:val="0"/>
        <w:ind w:firstLine="560" w:firstLineChars="200"/>
        <w:rPr>
          <w:rFonts w:eastAsia="仿宋"/>
          <w:sz w:val="28"/>
          <w:szCs w:val="28"/>
        </w:rPr>
      </w:pPr>
      <w:r>
        <w:rPr>
          <w:rFonts w:eastAsia="仿宋"/>
          <w:sz w:val="28"/>
          <w:szCs w:val="28"/>
        </w:rPr>
        <w:t>（4）一旦饮用水水源地水体受到污染，参与饮用水水源应急的监测人员应立即对污染水域进行布控，并采样监测，及时报告测定结果，供指挥部采取措施参考。如果水源不能正常取用，出现大面积停供、减供且判定短期内无法正常恢复时，应考虑启动紧急状态下利用车辆送水和市场净水应急供应措施。</w:t>
      </w:r>
    </w:p>
    <w:p w14:paraId="34469ECD">
      <w:pPr>
        <w:autoSpaceDE w:val="0"/>
        <w:autoSpaceDN w:val="0"/>
        <w:adjustRightInd w:val="0"/>
        <w:ind w:firstLine="560" w:firstLineChars="200"/>
        <w:rPr>
          <w:rFonts w:eastAsia="仿宋"/>
          <w:sz w:val="28"/>
          <w:szCs w:val="28"/>
        </w:rPr>
      </w:pPr>
      <w:r>
        <w:rPr>
          <w:rFonts w:eastAsia="仿宋"/>
          <w:sz w:val="28"/>
          <w:szCs w:val="28"/>
        </w:rPr>
        <w:t>（5）如果已经引起周围农田土壤、作物污染或水生生物中毒死亡时，应采集土壤、作物或水生生物进行专业分析，为污染事件后期处理提供科学依据。</w:t>
      </w:r>
    </w:p>
    <w:p w14:paraId="6906EAB3">
      <w:pPr>
        <w:autoSpaceDE w:val="0"/>
        <w:autoSpaceDN w:val="0"/>
        <w:adjustRightInd w:val="0"/>
        <w:ind w:firstLine="560" w:firstLineChars="200"/>
        <w:rPr>
          <w:rFonts w:eastAsia="仿宋"/>
          <w:sz w:val="28"/>
          <w:szCs w:val="28"/>
        </w:rPr>
      </w:pPr>
      <w:r>
        <w:rPr>
          <w:rFonts w:eastAsia="仿宋"/>
          <w:sz w:val="28"/>
          <w:szCs w:val="28"/>
        </w:rPr>
        <w:t>以上措施可根据实际情况合并实施。</w:t>
      </w:r>
    </w:p>
    <w:p w14:paraId="3846A7F9">
      <w:pPr>
        <w:pStyle w:val="3"/>
        <w:rPr>
          <w:rFonts w:eastAsia="仿宋"/>
          <w:sz w:val="32"/>
        </w:rPr>
      </w:pPr>
      <w:bookmarkStart w:id="85" w:name="_Toc60930800"/>
      <w:bookmarkStart w:id="86" w:name="_Toc7249"/>
      <w:r>
        <w:rPr>
          <w:rFonts w:eastAsia="仿宋"/>
          <w:sz w:val="32"/>
        </w:rPr>
        <w:t>4.6应急处置</w:t>
      </w:r>
      <w:bookmarkEnd w:id="85"/>
      <w:bookmarkEnd w:id="86"/>
    </w:p>
    <w:p w14:paraId="55198B42">
      <w:pPr>
        <w:pStyle w:val="4"/>
        <w:spacing w:before="120" w:after="120"/>
        <w:rPr>
          <w:rFonts w:eastAsia="仿宋"/>
          <w:sz w:val="28"/>
        </w:rPr>
      </w:pPr>
      <w:r>
        <w:rPr>
          <w:rFonts w:eastAsia="仿宋"/>
          <w:sz w:val="28"/>
        </w:rPr>
        <w:t>4.6.1 制定现场处置方案</w:t>
      </w:r>
    </w:p>
    <w:p w14:paraId="1B0535B5">
      <w:pPr>
        <w:autoSpaceDE w:val="0"/>
        <w:autoSpaceDN w:val="0"/>
        <w:adjustRightInd w:val="0"/>
        <w:rPr>
          <w:rFonts w:eastAsia="仿宋"/>
          <w:b/>
          <w:sz w:val="28"/>
          <w:szCs w:val="28"/>
        </w:rPr>
      </w:pPr>
      <w:r>
        <w:rPr>
          <w:rFonts w:eastAsia="仿宋"/>
          <w:b/>
          <w:sz w:val="28"/>
          <w:szCs w:val="28"/>
        </w:rPr>
        <w:t>1、油品、危险化学品及有毒有害物质车辆发生泄露或翻车情景</w:t>
      </w:r>
    </w:p>
    <w:p w14:paraId="4186EC7B">
      <w:pPr>
        <w:autoSpaceDE w:val="0"/>
        <w:autoSpaceDN w:val="0"/>
        <w:adjustRightInd w:val="0"/>
        <w:ind w:firstLine="560" w:firstLineChars="200"/>
        <w:rPr>
          <w:rFonts w:eastAsia="仿宋"/>
          <w:sz w:val="28"/>
          <w:szCs w:val="28"/>
        </w:rPr>
      </w:pPr>
      <w:r>
        <w:rPr>
          <w:rFonts w:eastAsia="仿宋"/>
          <w:sz w:val="28"/>
          <w:szCs w:val="28"/>
        </w:rPr>
        <w:t>（1）事故风险分析</w:t>
      </w:r>
    </w:p>
    <w:p w14:paraId="1F7A7CA2">
      <w:pPr>
        <w:autoSpaceDE w:val="0"/>
        <w:autoSpaceDN w:val="0"/>
        <w:adjustRightInd w:val="0"/>
        <w:ind w:firstLine="560" w:firstLineChars="200"/>
        <w:rPr>
          <w:rFonts w:eastAsia="仿宋"/>
          <w:sz w:val="28"/>
          <w:szCs w:val="28"/>
        </w:rPr>
      </w:pPr>
      <w:r>
        <w:rPr>
          <w:rFonts w:eastAsia="仿宋"/>
          <w:sz w:val="28"/>
          <w:szCs w:val="28"/>
        </w:rPr>
        <w:t>部分饮用水水源地有道路穿越（尤其在二级保护区内），该路段可能会有运输油品、危险化学品及有毒有害物质（如农药、化肥等）车辆经过，可能会发生泄露或翻车事故，会导致泄露的危险化学品进入饮用水水源地，阻隔水体与大气的氧气交换，影响水体的正常复氧，破坏水生生物生长，从而影响饮用水用水安全，甚至造成取水中断。</w:t>
      </w:r>
    </w:p>
    <w:p w14:paraId="026ED546">
      <w:pPr>
        <w:autoSpaceDE w:val="0"/>
        <w:autoSpaceDN w:val="0"/>
        <w:adjustRightInd w:val="0"/>
        <w:ind w:firstLine="560" w:firstLineChars="200"/>
        <w:rPr>
          <w:rFonts w:eastAsia="仿宋"/>
          <w:sz w:val="28"/>
          <w:szCs w:val="28"/>
        </w:rPr>
      </w:pPr>
      <w:r>
        <w:rPr>
          <w:rFonts w:eastAsia="仿宋"/>
          <w:sz w:val="28"/>
          <w:szCs w:val="28"/>
        </w:rPr>
        <w:t>（2）应急响应分级</w:t>
      </w:r>
    </w:p>
    <w:p w14:paraId="0543159C">
      <w:pPr>
        <w:autoSpaceDE w:val="0"/>
        <w:autoSpaceDN w:val="0"/>
        <w:adjustRightInd w:val="0"/>
        <w:ind w:firstLine="560" w:firstLineChars="200"/>
        <w:rPr>
          <w:rFonts w:eastAsia="仿宋"/>
          <w:sz w:val="28"/>
          <w:szCs w:val="28"/>
        </w:rPr>
      </w:pPr>
      <w:r>
        <w:rPr>
          <w:rFonts w:eastAsia="仿宋"/>
          <w:sz w:val="28"/>
          <w:szCs w:val="28"/>
        </w:rPr>
        <w:t>饮用水水源地突发环境事件应急响应坚持属地为主的原则，发生突发性事件造成或可能造成水源地污染的责任单位，应立即启动本单位应急预案，向事件发生地乡镇和各相关部门报告。花溪区人民政府、贵阳市生态环境局花溪分局按照有关规定全面负责本</w:t>
      </w:r>
      <w:r>
        <w:rPr>
          <w:rFonts w:hint="eastAsia" w:eastAsia="仿宋"/>
          <w:sz w:val="28"/>
          <w:szCs w:val="28"/>
        </w:rPr>
        <w:t>区</w:t>
      </w:r>
      <w:r>
        <w:rPr>
          <w:rFonts w:eastAsia="仿宋"/>
          <w:sz w:val="28"/>
          <w:szCs w:val="28"/>
        </w:rPr>
        <w:t>内饮用水水源地环境事件的应急处置工作。饮用水水源地突发环境事件发生后，由应急指挥部确认，立即启动花溪区乡镇级饮用水水源地突发环境事件应急预案，对已造成的环境污染进行应急处置。发生较大以上突发事件的，按照有关规定上报贵阳市指挥部或贵阳市生态环境</w:t>
      </w:r>
      <w:r>
        <w:rPr>
          <w:rFonts w:hint="eastAsia" w:eastAsia="仿宋"/>
          <w:sz w:val="28"/>
          <w:szCs w:val="28"/>
        </w:rPr>
        <w:t>局</w:t>
      </w:r>
      <w:r>
        <w:rPr>
          <w:rFonts w:eastAsia="仿宋"/>
          <w:sz w:val="28"/>
          <w:szCs w:val="28"/>
        </w:rPr>
        <w:t>。应急响应分橙色和红色两级，分级响应的级别由花溪区千人以上集中式饮用水水源地突发环境事件应急指挥部确认。</w:t>
      </w:r>
    </w:p>
    <w:p w14:paraId="4A88E9DE">
      <w:pPr>
        <w:autoSpaceDE w:val="0"/>
        <w:autoSpaceDN w:val="0"/>
        <w:adjustRightInd w:val="0"/>
        <w:ind w:firstLine="560" w:firstLineChars="200"/>
        <w:rPr>
          <w:rFonts w:eastAsia="仿宋"/>
          <w:sz w:val="28"/>
          <w:szCs w:val="28"/>
        </w:rPr>
      </w:pPr>
      <w:r>
        <w:rPr>
          <w:rFonts w:eastAsia="仿宋"/>
          <w:sz w:val="28"/>
          <w:szCs w:val="28"/>
        </w:rPr>
        <w:t>（3）应急处置措施（油品类泄露）</w:t>
      </w:r>
    </w:p>
    <w:p w14:paraId="35AB6951">
      <w:pPr>
        <w:autoSpaceDE w:val="0"/>
        <w:autoSpaceDN w:val="0"/>
        <w:adjustRightInd w:val="0"/>
        <w:ind w:firstLine="560" w:firstLineChars="200"/>
        <w:rPr>
          <w:rFonts w:eastAsia="仿宋"/>
          <w:sz w:val="28"/>
          <w:szCs w:val="28"/>
        </w:rPr>
      </w:pPr>
      <w:r>
        <w:rPr>
          <w:rFonts w:eastAsia="仿宋"/>
          <w:sz w:val="28"/>
          <w:szCs w:val="28"/>
        </w:rPr>
        <w:t>各应急工作组具体应急处置措施见下表，下表仅用于油品类危化品泄漏时具体处置措施，其他类别危化品引发水污染事故具体应急处置措施见附件1常见化学品引发水污染事故的简要处置方法。</w:t>
      </w:r>
    </w:p>
    <w:p w14:paraId="74FF0376">
      <w:pPr>
        <w:autoSpaceDE w:val="0"/>
        <w:autoSpaceDN w:val="0"/>
        <w:adjustRightInd w:val="0"/>
        <w:jc w:val="center"/>
        <w:rPr>
          <w:rFonts w:eastAsia="仿宋"/>
          <w:sz w:val="28"/>
          <w:szCs w:val="28"/>
        </w:rPr>
      </w:pPr>
      <w:r>
        <w:rPr>
          <w:rFonts w:hint="eastAsia" w:eastAsia="仿宋"/>
          <w:sz w:val="28"/>
          <w:szCs w:val="28"/>
        </w:rPr>
        <w:t>表4-</w:t>
      </w:r>
      <w:r>
        <w:rPr>
          <w:rFonts w:eastAsia="仿宋"/>
          <w:sz w:val="28"/>
          <w:szCs w:val="28"/>
        </w:rPr>
        <w:t>1 油品类泄露应急处置措施</w:t>
      </w:r>
    </w:p>
    <w:tbl>
      <w:tblPr>
        <w:tblStyle w:val="15"/>
        <w:tblW w:w="814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58"/>
        <w:gridCol w:w="6487"/>
      </w:tblGrid>
      <w:tr w14:paraId="172583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58" w:type="dxa"/>
            <w:vAlign w:val="center"/>
          </w:tcPr>
          <w:p w14:paraId="220ADC76">
            <w:pPr>
              <w:rPr>
                <w:rFonts w:eastAsia="仿宋"/>
                <w:kern w:val="0"/>
                <w:szCs w:val="20"/>
              </w:rPr>
            </w:pPr>
            <w:r>
              <w:rPr>
                <w:rFonts w:eastAsia="仿宋"/>
                <w:kern w:val="0"/>
                <w:szCs w:val="20"/>
              </w:rPr>
              <w:t>应急工作组</w:t>
            </w:r>
          </w:p>
        </w:tc>
        <w:tc>
          <w:tcPr>
            <w:tcW w:w="6487" w:type="dxa"/>
            <w:vAlign w:val="center"/>
          </w:tcPr>
          <w:p w14:paraId="7244525C">
            <w:pPr>
              <w:rPr>
                <w:rFonts w:eastAsia="仿宋"/>
                <w:kern w:val="0"/>
                <w:szCs w:val="20"/>
              </w:rPr>
            </w:pPr>
            <w:r>
              <w:rPr>
                <w:rFonts w:eastAsia="仿宋"/>
                <w:kern w:val="0"/>
                <w:szCs w:val="20"/>
              </w:rPr>
              <w:t>应急处置措施</w:t>
            </w:r>
          </w:p>
        </w:tc>
      </w:tr>
      <w:tr w14:paraId="2140DE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58" w:type="dxa"/>
            <w:vAlign w:val="center"/>
          </w:tcPr>
          <w:p w14:paraId="2A84C277">
            <w:pPr>
              <w:rPr>
                <w:rFonts w:eastAsia="仿宋"/>
                <w:kern w:val="0"/>
                <w:szCs w:val="20"/>
              </w:rPr>
            </w:pPr>
            <w:r>
              <w:rPr>
                <w:rFonts w:eastAsia="仿宋"/>
                <w:kern w:val="0"/>
                <w:szCs w:val="20"/>
              </w:rPr>
              <w:t>应急处置组</w:t>
            </w:r>
          </w:p>
        </w:tc>
        <w:tc>
          <w:tcPr>
            <w:tcW w:w="6487" w:type="dxa"/>
            <w:vAlign w:val="center"/>
          </w:tcPr>
          <w:p w14:paraId="1F6A6523">
            <w:pPr>
              <w:rPr>
                <w:rFonts w:eastAsia="仿宋"/>
                <w:kern w:val="0"/>
                <w:szCs w:val="20"/>
              </w:rPr>
            </w:pPr>
            <w:r>
              <w:rPr>
                <w:rFonts w:eastAsia="仿宋"/>
                <w:kern w:val="0"/>
                <w:szCs w:val="20"/>
              </w:rPr>
              <w:t>1、设立隔离警戒区域，禁止无关人员车辆靠近，禁止烟火，禁止能产生火星的设备和工具，所有参与现场应急处置人员必须穿戴好防护器具才能进入现场。</w:t>
            </w:r>
          </w:p>
          <w:p w14:paraId="50F4D3A3">
            <w:pPr>
              <w:rPr>
                <w:rFonts w:eastAsia="仿宋"/>
                <w:kern w:val="0"/>
                <w:szCs w:val="20"/>
              </w:rPr>
            </w:pPr>
            <w:r>
              <w:rPr>
                <w:rFonts w:eastAsia="仿宋"/>
                <w:kern w:val="0"/>
                <w:szCs w:val="20"/>
              </w:rPr>
              <w:t>2、关闭取水阀门，防止污染水源进入下游，对下游水厂可能受到污染的水体进行检测，根据监测结果，是否需要对外停止供水。</w:t>
            </w:r>
          </w:p>
          <w:p w14:paraId="4D702812">
            <w:pPr>
              <w:rPr>
                <w:rFonts w:eastAsia="仿宋"/>
                <w:kern w:val="0"/>
                <w:szCs w:val="20"/>
              </w:rPr>
            </w:pPr>
            <w:r>
              <w:rPr>
                <w:rFonts w:eastAsia="仿宋"/>
                <w:kern w:val="0"/>
                <w:szCs w:val="20"/>
              </w:rPr>
              <w:t>3、对于陆域泄漏的危化品，如果能够堵漏，应先进行堵漏处理，堵漏后再安排转移到远离水源保护区的安全地带；如果泄漏口较大，不能做堵漏处理，则可就地取材，先用泥土对溢流出来的油品进行围堵，使限制在较小区域内，避免流入水体，然后用容器收集后进行处理。</w:t>
            </w:r>
          </w:p>
          <w:p w14:paraId="350EA053">
            <w:pPr>
              <w:rPr>
                <w:rFonts w:eastAsia="仿宋"/>
                <w:kern w:val="0"/>
                <w:szCs w:val="20"/>
              </w:rPr>
            </w:pPr>
            <w:r>
              <w:rPr>
                <w:rFonts w:eastAsia="仿宋"/>
                <w:kern w:val="0"/>
                <w:szCs w:val="20"/>
              </w:rPr>
              <w:t>4、对于进入水体的油品，立即用油围栏把油层围在局部区域内（围油栏地点和围油栏设置方式根据取水口位置及当地地形实施），并利用吸油毡、稻草进行吸附收集处理；如油品已经进入流水体，可利用袋装</w:t>
            </w:r>
            <w:r>
              <w:rPr>
                <w:rFonts w:hint="eastAsia" w:eastAsia="仿宋"/>
                <w:kern w:val="0"/>
                <w:szCs w:val="20"/>
                <w:lang w:eastAsia="zh-CN"/>
              </w:rPr>
              <w:t>活性炭</w:t>
            </w:r>
            <w:r>
              <w:rPr>
                <w:rFonts w:eastAsia="仿宋"/>
                <w:kern w:val="0"/>
                <w:szCs w:val="20"/>
              </w:rPr>
              <w:t>进行多处筑坝吸附过滤处理；可行条件下也可拦截、抽吸污水，如专门</w:t>
            </w:r>
            <w:r>
              <w:rPr>
                <w:rFonts w:hint="eastAsia" w:eastAsia="仿宋"/>
                <w:kern w:val="0"/>
                <w:szCs w:val="20"/>
                <w:lang w:eastAsia="zh-CN"/>
              </w:rPr>
              <w:t>活性炭</w:t>
            </w:r>
            <w:r>
              <w:rPr>
                <w:rFonts w:eastAsia="仿宋"/>
                <w:kern w:val="0"/>
                <w:szCs w:val="20"/>
              </w:rPr>
              <w:t>处理槽罐车进行净化处理后运至危险废物综合处置场进行最终处理；当现有应急物资或工具未配备或不足情况下，又无法在较短时间内从外面调运来时，可采用燃烧处理，但必须注意现场人员的安全，防止引起烧伤或爆炸伤害。</w:t>
            </w:r>
          </w:p>
          <w:p w14:paraId="6EB29C4D">
            <w:pPr>
              <w:rPr>
                <w:rFonts w:eastAsia="仿宋"/>
                <w:kern w:val="0"/>
                <w:szCs w:val="20"/>
              </w:rPr>
            </w:pPr>
            <w:r>
              <w:rPr>
                <w:rFonts w:eastAsia="仿宋"/>
                <w:kern w:val="0"/>
                <w:szCs w:val="20"/>
              </w:rPr>
              <w:t>5、根据指挥部发布的指令及应急监测组反馈的信息，随时准备执行开/放闸作业，控制污染水外流，及时切断各出水孔洞（如取水口），当污染物靠近该区域时，调节各出水口特别是取水口的排水速度，以减缓污染物向坝体区域扩散速度和控制扩散方向。如取水口水质受到污染，立即采取应急措施，采用吸附、消毒、过滤等深度处理方法净化水质；必要时采取停水、减压供水、改路供水，启用备用水源等应急处置措施，保障下游居民饮用水的安全。</w:t>
            </w:r>
          </w:p>
        </w:tc>
      </w:tr>
      <w:tr w14:paraId="16B3F0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58" w:type="dxa"/>
            <w:vAlign w:val="center"/>
          </w:tcPr>
          <w:p w14:paraId="3CA0C9C5">
            <w:pPr>
              <w:rPr>
                <w:rFonts w:eastAsia="仿宋"/>
                <w:kern w:val="0"/>
                <w:szCs w:val="20"/>
              </w:rPr>
            </w:pPr>
            <w:r>
              <w:rPr>
                <w:rFonts w:eastAsia="仿宋"/>
                <w:kern w:val="0"/>
                <w:szCs w:val="20"/>
              </w:rPr>
              <w:t>应急监测组</w:t>
            </w:r>
          </w:p>
        </w:tc>
        <w:tc>
          <w:tcPr>
            <w:tcW w:w="6487" w:type="dxa"/>
            <w:vAlign w:val="center"/>
          </w:tcPr>
          <w:p w14:paraId="13C3CDFD">
            <w:pPr>
              <w:rPr>
                <w:rFonts w:eastAsia="仿宋"/>
                <w:kern w:val="0"/>
                <w:szCs w:val="20"/>
              </w:rPr>
            </w:pPr>
            <w:r>
              <w:rPr>
                <w:rFonts w:eastAsia="仿宋"/>
                <w:kern w:val="0"/>
                <w:szCs w:val="20"/>
              </w:rPr>
              <w:t>制定应急监测方案，确定应急监测布点、监测频次、监测项目以及监测分析等，监测布点时特别关注取水口，及时上报监测结。</w:t>
            </w:r>
          </w:p>
        </w:tc>
      </w:tr>
      <w:tr w14:paraId="3FA8D5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58" w:type="dxa"/>
            <w:vAlign w:val="center"/>
          </w:tcPr>
          <w:p w14:paraId="6B485AEF">
            <w:pPr>
              <w:rPr>
                <w:rFonts w:eastAsia="仿宋"/>
                <w:kern w:val="0"/>
                <w:szCs w:val="20"/>
              </w:rPr>
            </w:pPr>
            <w:r>
              <w:rPr>
                <w:rFonts w:eastAsia="仿宋"/>
                <w:kern w:val="0"/>
                <w:szCs w:val="20"/>
              </w:rPr>
              <w:t>应急保障组</w:t>
            </w:r>
          </w:p>
        </w:tc>
        <w:tc>
          <w:tcPr>
            <w:tcW w:w="6487" w:type="dxa"/>
            <w:vAlign w:val="center"/>
          </w:tcPr>
          <w:p w14:paraId="27B68914">
            <w:pPr>
              <w:rPr>
                <w:rFonts w:eastAsia="仿宋"/>
                <w:kern w:val="0"/>
                <w:szCs w:val="20"/>
              </w:rPr>
            </w:pPr>
            <w:r>
              <w:rPr>
                <w:rFonts w:eastAsia="仿宋"/>
                <w:kern w:val="0"/>
                <w:szCs w:val="20"/>
              </w:rPr>
              <w:t>提供应急抢险所需物资、防护用品，并输送到现场，若物资供应缺乏，应立即向附近单位打电话要求进行应急物资支援；同时保障应急处置过程中电力、通讯及车辆畅通。</w:t>
            </w:r>
          </w:p>
        </w:tc>
      </w:tr>
      <w:tr w14:paraId="58CA85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58" w:type="dxa"/>
            <w:vAlign w:val="center"/>
          </w:tcPr>
          <w:p w14:paraId="428B5E11">
            <w:pPr>
              <w:rPr>
                <w:rFonts w:eastAsia="仿宋"/>
                <w:kern w:val="0"/>
                <w:szCs w:val="20"/>
              </w:rPr>
            </w:pPr>
            <w:r>
              <w:rPr>
                <w:rFonts w:eastAsia="仿宋"/>
                <w:kern w:val="0"/>
                <w:szCs w:val="20"/>
              </w:rPr>
              <w:t>专家咨询组</w:t>
            </w:r>
          </w:p>
        </w:tc>
        <w:tc>
          <w:tcPr>
            <w:tcW w:w="6487" w:type="dxa"/>
            <w:vAlign w:val="center"/>
          </w:tcPr>
          <w:p w14:paraId="5A2B3C1B">
            <w:pPr>
              <w:rPr>
                <w:rFonts w:eastAsia="仿宋"/>
                <w:kern w:val="0"/>
                <w:szCs w:val="20"/>
              </w:rPr>
            </w:pPr>
            <w:r>
              <w:rPr>
                <w:rFonts w:eastAsia="仿宋"/>
                <w:kern w:val="0"/>
                <w:szCs w:val="20"/>
              </w:rPr>
              <w:t>根据发生的环境污染事故，预测突发环境事故可能带来的环境影响，提出应急救援响应、现场防护和处置措施、突发事件终止及善后处置等的技术咨询意见、建议。</w:t>
            </w:r>
          </w:p>
        </w:tc>
      </w:tr>
      <w:tr w14:paraId="667DDB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58" w:type="dxa"/>
            <w:vAlign w:val="center"/>
          </w:tcPr>
          <w:p w14:paraId="3DC8E9BE">
            <w:pPr>
              <w:rPr>
                <w:rFonts w:eastAsia="仿宋"/>
                <w:kern w:val="0"/>
                <w:szCs w:val="20"/>
              </w:rPr>
            </w:pPr>
            <w:r>
              <w:rPr>
                <w:rFonts w:eastAsia="仿宋"/>
                <w:kern w:val="0"/>
                <w:szCs w:val="20"/>
              </w:rPr>
              <w:t>应急综合办公室</w:t>
            </w:r>
          </w:p>
        </w:tc>
        <w:tc>
          <w:tcPr>
            <w:tcW w:w="6487" w:type="dxa"/>
            <w:vAlign w:val="center"/>
          </w:tcPr>
          <w:p w14:paraId="5A1A817A">
            <w:pPr>
              <w:rPr>
                <w:rFonts w:eastAsia="仿宋"/>
                <w:kern w:val="0"/>
                <w:szCs w:val="20"/>
              </w:rPr>
            </w:pPr>
            <w:r>
              <w:rPr>
                <w:rFonts w:eastAsia="仿宋"/>
                <w:kern w:val="0"/>
                <w:szCs w:val="20"/>
              </w:rPr>
              <w:t>负责对内外进行信息报告、发布工作，随时向上级部门上报事故信息，随时保持与各应急小组之间通讯联络，同时联络媒体并进行事故发布，与医疗救护单位、事故善后处理单位保持好联系。</w:t>
            </w:r>
          </w:p>
        </w:tc>
      </w:tr>
    </w:tbl>
    <w:p w14:paraId="15539516">
      <w:pPr>
        <w:autoSpaceDE w:val="0"/>
        <w:autoSpaceDN w:val="0"/>
        <w:adjustRightInd w:val="0"/>
        <w:ind w:firstLine="560" w:firstLineChars="200"/>
        <w:rPr>
          <w:rFonts w:eastAsia="仿宋"/>
          <w:sz w:val="28"/>
          <w:szCs w:val="28"/>
        </w:rPr>
      </w:pPr>
    </w:p>
    <w:p w14:paraId="5EF0FB31">
      <w:pPr>
        <w:autoSpaceDE w:val="0"/>
        <w:autoSpaceDN w:val="0"/>
        <w:adjustRightInd w:val="0"/>
        <w:ind w:firstLine="562" w:firstLineChars="200"/>
        <w:rPr>
          <w:rFonts w:eastAsia="仿宋"/>
          <w:b/>
          <w:sz w:val="28"/>
          <w:szCs w:val="28"/>
        </w:rPr>
      </w:pPr>
      <w:r>
        <w:rPr>
          <w:rFonts w:eastAsia="仿宋"/>
          <w:b/>
          <w:sz w:val="28"/>
          <w:szCs w:val="28"/>
        </w:rPr>
        <w:t>2、生活及农业废水发生泄漏事故</w:t>
      </w:r>
    </w:p>
    <w:p w14:paraId="301C37E0">
      <w:pPr>
        <w:autoSpaceDE w:val="0"/>
        <w:autoSpaceDN w:val="0"/>
        <w:adjustRightInd w:val="0"/>
        <w:ind w:firstLine="560" w:firstLineChars="200"/>
        <w:rPr>
          <w:rFonts w:eastAsia="仿宋"/>
          <w:sz w:val="28"/>
          <w:szCs w:val="28"/>
        </w:rPr>
      </w:pPr>
      <w:r>
        <w:rPr>
          <w:rFonts w:eastAsia="仿宋"/>
          <w:sz w:val="28"/>
          <w:szCs w:val="28"/>
        </w:rPr>
        <w:t>（1）事故风险分析</w:t>
      </w:r>
    </w:p>
    <w:p w14:paraId="4322418D">
      <w:pPr>
        <w:autoSpaceDE w:val="0"/>
        <w:autoSpaceDN w:val="0"/>
        <w:adjustRightInd w:val="0"/>
        <w:ind w:firstLine="560" w:firstLineChars="200"/>
        <w:rPr>
          <w:rFonts w:eastAsia="仿宋"/>
          <w:sz w:val="28"/>
          <w:szCs w:val="28"/>
        </w:rPr>
      </w:pPr>
      <w:r>
        <w:rPr>
          <w:rFonts w:eastAsia="仿宋"/>
          <w:sz w:val="28"/>
          <w:szCs w:val="28"/>
        </w:rPr>
        <w:t>部分千人以上集中式饮用水水源地保护区存在居民居住，居民生活污水未纳管</w:t>
      </w:r>
      <w:r>
        <w:rPr>
          <w:rFonts w:hint="eastAsia" w:eastAsia="仿宋"/>
          <w:sz w:val="28"/>
          <w:szCs w:val="28"/>
        </w:rPr>
        <w:t>，</w:t>
      </w:r>
      <w:r>
        <w:rPr>
          <w:rFonts w:eastAsia="仿宋"/>
          <w:sz w:val="28"/>
          <w:szCs w:val="28"/>
        </w:rPr>
        <w:t>产生的生活污水和农业废水会对水源地水体产生污染，对水体生态系统造成影响，从而影响饮用水安全。</w:t>
      </w:r>
    </w:p>
    <w:p w14:paraId="35FAF937">
      <w:pPr>
        <w:autoSpaceDE w:val="0"/>
        <w:autoSpaceDN w:val="0"/>
        <w:adjustRightInd w:val="0"/>
        <w:ind w:firstLine="560" w:firstLineChars="200"/>
        <w:rPr>
          <w:rFonts w:eastAsia="仿宋"/>
          <w:sz w:val="28"/>
          <w:szCs w:val="28"/>
        </w:rPr>
      </w:pPr>
      <w:r>
        <w:rPr>
          <w:rFonts w:eastAsia="仿宋"/>
          <w:sz w:val="28"/>
          <w:szCs w:val="28"/>
        </w:rPr>
        <w:t>（2）应急响应分级</w:t>
      </w:r>
    </w:p>
    <w:p w14:paraId="42250C41">
      <w:pPr>
        <w:autoSpaceDE w:val="0"/>
        <w:autoSpaceDN w:val="0"/>
        <w:adjustRightInd w:val="0"/>
        <w:ind w:firstLine="560" w:firstLineChars="200"/>
        <w:rPr>
          <w:rFonts w:eastAsia="仿宋"/>
          <w:sz w:val="28"/>
          <w:szCs w:val="28"/>
        </w:rPr>
      </w:pPr>
      <w:r>
        <w:rPr>
          <w:rFonts w:eastAsia="仿宋"/>
          <w:sz w:val="28"/>
          <w:szCs w:val="28"/>
        </w:rPr>
        <w:t>饮用水水源地突发环境事件应急响应坚持属地为主的原则，发生突发性事件造成或可能造成水源地污染的责任单位，应立即启动本单位应急预案，向事件发生地乡镇和各相关部门报告。花溪区人民政府、贵阳市生态环境局花溪分局按照有关规定全面负责本区内饮用水水源地环境事件的应急处置工作。饮用水水源地突发环境事件发生后，由应急指挥部确认，立即启动《花溪区千人以上集中式饮用水水源地突发环境事件应急预案》，对已造成的环境污染进行应急处置。发生较大以上突发事件的，按照有关规定上报贵阳市指挥部或贵阳市生态环境局。应急响应分橙色和红色两级，分级响应的级别由花溪区千人以上集中式饮用水水源地突发环境事件应急指挥部确认。</w:t>
      </w:r>
    </w:p>
    <w:p w14:paraId="4377C8D1">
      <w:pPr>
        <w:autoSpaceDE w:val="0"/>
        <w:autoSpaceDN w:val="0"/>
        <w:adjustRightInd w:val="0"/>
        <w:ind w:firstLine="560" w:firstLineChars="200"/>
        <w:rPr>
          <w:rFonts w:eastAsia="仿宋"/>
          <w:sz w:val="28"/>
          <w:szCs w:val="28"/>
        </w:rPr>
      </w:pPr>
      <w:r>
        <w:rPr>
          <w:rFonts w:eastAsia="仿宋"/>
          <w:sz w:val="28"/>
          <w:szCs w:val="28"/>
        </w:rPr>
        <w:t>（3）应急处置措施</w:t>
      </w:r>
    </w:p>
    <w:p w14:paraId="4C6CD159">
      <w:pPr>
        <w:autoSpaceDE w:val="0"/>
        <w:autoSpaceDN w:val="0"/>
        <w:adjustRightInd w:val="0"/>
        <w:ind w:firstLine="560" w:firstLineChars="200"/>
        <w:rPr>
          <w:rFonts w:eastAsia="仿宋"/>
          <w:sz w:val="28"/>
          <w:szCs w:val="28"/>
        </w:rPr>
      </w:pPr>
      <w:r>
        <w:rPr>
          <w:rFonts w:eastAsia="仿宋"/>
          <w:sz w:val="28"/>
          <w:szCs w:val="28"/>
        </w:rPr>
        <w:t>各应急工作组具体应急处置措施见下表。</w:t>
      </w:r>
    </w:p>
    <w:p w14:paraId="26BF1687">
      <w:pPr>
        <w:autoSpaceDE w:val="0"/>
        <w:autoSpaceDN w:val="0"/>
        <w:adjustRightInd w:val="0"/>
        <w:jc w:val="center"/>
        <w:rPr>
          <w:rFonts w:eastAsia="仿宋"/>
          <w:sz w:val="28"/>
          <w:szCs w:val="28"/>
        </w:rPr>
      </w:pPr>
      <w:r>
        <w:rPr>
          <w:rFonts w:hint="eastAsia" w:eastAsia="仿宋"/>
          <w:sz w:val="28"/>
          <w:szCs w:val="28"/>
        </w:rPr>
        <w:t>表4-</w:t>
      </w:r>
      <w:r>
        <w:rPr>
          <w:rFonts w:eastAsia="仿宋"/>
          <w:sz w:val="28"/>
          <w:szCs w:val="28"/>
        </w:rPr>
        <w:t>2 生活及农业废水发生泄漏应急处置措施</w:t>
      </w:r>
    </w:p>
    <w:tbl>
      <w:tblPr>
        <w:tblStyle w:val="15"/>
        <w:tblW w:w="80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16"/>
        <w:gridCol w:w="6488"/>
      </w:tblGrid>
      <w:tr w14:paraId="1A0F2E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16" w:type="dxa"/>
            <w:vAlign w:val="center"/>
          </w:tcPr>
          <w:p w14:paraId="087D974D">
            <w:pPr>
              <w:rPr>
                <w:rFonts w:eastAsia="仿宋"/>
                <w:kern w:val="0"/>
                <w:szCs w:val="20"/>
              </w:rPr>
            </w:pPr>
            <w:r>
              <w:rPr>
                <w:rFonts w:eastAsia="仿宋"/>
                <w:kern w:val="0"/>
                <w:szCs w:val="20"/>
              </w:rPr>
              <w:t>应急工作组</w:t>
            </w:r>
          </w:p>
        </w:tc>
        <w:tc>
          <w:tcPr>
            <w:tcW w:w="6488" w:type="dxa"/>
            <w:vAlign w:val="center"/>
          </w:tcPr>
          <w:p w14:paraId="08340B5F">
            <w:pPr>
              <w:rPr>
                <w:rFonts w:eastAsia="仿宋"/>
                <w:kern w:val="0"/>
                <w:szCs w:val="20"/>
              </w:rPr>
            </w:pPr>
            <w:r>
              <w:rPr>
                <w:rFonts w:eastAsia="仿宋"/>
                <w:kern w:val="0"/>
                <w:szCs w:val="20"/>
              </w:rPr>
              <w:t>应急处置措施</w:t>
            </w:r>
          </w:p>
        </w:tc>
      </w:tr>
      <w:tr w14:paraId="5A50A4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16" w:type="dxa"/>
            <w:vAlign w:val="center"/>
          </w:tcPr>
          <w:p w14:paraId="412513C5">
            <w:pPr>
              <w:rPr>
                <w:rFonts w:eastAsia="仿宋"/>
                <w:kern w:val="0"/>
                <w:szCs w:val="20"/>
              </w:rPr>
            </w:pPr>
            <w:r>
              <w:rPr>
                <w:rFonts w:eastAsia="仿宋"/>
                <w:kern w:val="0"/>
                <w:szCs w:val="20"/>
              </w:rPr>
              <w:t>应急处置组</w:t>
            </w:r>
          </w:p>
        </w:tc>
        <w:tc>
          <w:tcPr>
            <w:tcW w:w="6488" w:type="dxa"/>
            <w:vAlign w:val="center"/>
          </w:tcPr>
          <w:p w14:paraId="62D69680">
            <w:pPr>
              <w:rPr>
                <w:rFonts w:eastAsia="仿宋"/>
                <w:kern w:val="0"/>
                <w:szCs w:val="20"/>
              </w:rPr>
            </w:pPr>
            <w:r>
              <w:rPr>
                <w:rFonts w:eastAsia="仿宋"/>
                <w:kern w:val="0"/>
                <w:szCs w:val="20"/>
              </w:rPr>
              <w:t>1、立即关闭取水阀门，防止污染水源进入下游，对下游水厂可能受到污染的水体进行检测，根据监测结果，是否需要对外停止供水。2、发现生活污水或农业废水泄漏时，首先切断泄漏源，可采取关闭阀门、打卡子堵漏、堵漏剂堵漏，打塞堵漏等办法。如泄漏点无法封堵时，要及时将发生事故的设备、管道中的危险物质，强制导入同类设备、容器中，以减少泄漏量。同时向泄漏点喷水雾或可中和吸收废水的溶液，阻止废水扩散。当有大量废水泄漏时，以砂土、砂袋等筑堰围堵，防止流散，使污染扩大。如泄漏物进入的是溪流，可围堵水域应立即调运活性炭、石灰、锯末、砂土等袋装物资进行筑坝，并根据泄漏量大小，泄漏点与水源距离决定筑建几道坝体可有效吸附去除污染物。</w:t>
            </w:r>
          </w:p>
          <w:p w14:paraId="460FFEBC">
            <w:pPr>
              <w:rPr>
                <w:rFonts w:eastAsia="仿宋"/>
                <w:kern w:val="0"/>
                <w:szCs w:val="20"/>
              </w:rPr>
            </w:pPr>
            <w:r>
              <w:rPr>
                <w:rFonts w:eastAsia="仿宋"/>
                <w:kern w:val="0"/>
                <w:szCs w:val="20"/>
              </w:rPr>
              <w:t>3、根据指挥部发布的指令及应急监测组反馈的信息，随时准备执行开/放闸作业，控制污染水外流，及时切断各出水孔洞（如取水口），当污染物靠近该区域时，调节各出水口特别是取水口的排水速度，以减缓污染物向坝体区域扩散速度和控制扩散方向。如取水口水质受到污染，立即采取应急措施，采用吸附、消毒、过滤等深度处理方法净化水质；必要时采取停水、减压供水、改路供水，启用备用水源等应急处置措施，保障下游居民饮用水的安全。</w:t>
            </w:r>
          </w:p>
        </w:tc>
      </w:tr>
      <w:tr w14:paraId="59772B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16" w:type="dxa"/>
            <w:vAlign w:val="center"/>
          </w:tcPr>
          <w:p w14:paraId="088970A5">
            <w:pPr>
              <w:rPr>
                <w:rFonts w:eastAsia="仿宋"/>
                <w:kern w:val="0"/>
                <w:szCs w:val="20"/>
              </w:rPr>
            </w:pPr>
            <w:r>
              <w:rPr>
                <w:rFonts w:eastAsia="仿宋"/>
                <w:kern w:val="0"/>
                <w:szCs w:val="20"/>
              </w:rPr>
              <w:t>应急监测组</w:t>
            </w:r>
          </w:p>
        </w:tc>
        <w:tc>
          <w:tcPr>
            <w:tcW w:w="6488" w:type="dxa"/>
            <w:vAlign w:val="center"/>
          </w:tcPr>
          <w:p w14:paraId="3DFCC5B0">
            <w:pPr>
              <w:rPr>
                <w:rFonts w:eastAsia="仿宋"/>
                <w:kern w:val="0"/>
                <w:szCs w:val="20"/>
              </w:rPr>
            </w:pPr>
            <w:r>
              <w:rPr>
                <w:rFonts w:eastAsia="仿宋"/>
                <w:kern w:val="0"/>
                <w:szCs w:val="20"/>
              </w:rPr>
              <w:t>制定应急监测方案，确定应急监测布点、监测频次、监测项目以及监测分析等，监测布点时特别关注取水口，及时上报监测结。</w:t>
            </w:r>
          </w:p>
        </w:tc>
      </w:tr>
      <w:tr w14:paraId="1BEAE9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16" w:type="dxa"/>
            <w:vAlign w:val="center"/>
          </w:tcPr>
          <w:p w14:paraId="360028C5">
            <w:pPr>
              <w:rPr>
                <w:rFonts w:eastAsia="仿宋"/>
                <w:kern w:val="0"/>
                <w:szCs w:val="20"/>
              </w:rPr>
            </w:pPr>
            <w:r>
              <w:rPr>
                <w:rFonts w:eastAsia="仿宋"/>
                <w:kern w:val="0"/>
                <w:szCs w:val="20"/>
              </w:rPr>
              <w:t>应急保障组</w:t>
            </w:r>
          </w:p>
        </w:tc>
        <w:tc>
          <w:tcPr>
            <w:tcW w:w="6488" w:type="dxa"/>
            <w:vAlign w:val="center"/>
          </w:tcPr>
          <w:p w14:paraId="5807D079">
            <w:pPr>
              <w:rPr>
                <w:rFonts w:eastAsia="仿宋"/>
                <w:kern w:val="0"/>
                <w:szCs w:val="20"/>
              </w:rPr>
            </w:pPr>
            <w:r>
              <w:rPr>
                <w:rFonts w:eastAsia="仿宋"/>
                <w:kern w:val="0"/>
                <w:szCs w:val="20"/>
              </w:rPr>
              <w:t>提供应急抢险所需物资、防护用品，并输送到现场，若物资供应缺乏，应立即向附近单位打电话要求进行应急物资支援；同时保障应急处置过程中电力、通讯及车辆畅通。</w:t>
            </w:r>
          </w:p>
        </w:tc>
      </w:tr>
      <w:tr w14:paraId="5D24F8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16" w:type="dxa"/>
            <w:vAlign w:val="center"/>
          </w:tcPr>
          <w:p w14:paraId="2F1C51A8">
            <w:pPr>
              <w:rPr>
                <w:rFonts w:eastAsia="仿宋"/>
                <w:kern w:val="0"/>
                <w:szCs w:val="20"/>
              </w:rPr>
            </w:pPr>
            <w:r>
              <w:rPr>
                <w:rFonts w:eastAsia="仿宋"/>
                <w:kern w:val="0"/>
                <w:szCs w:val="20"/>
              </w:rPr>
              <w:t>专家咨询组</w:t>
            </w:r>
          </w:p>
        </w:tc>
        <w:tc>
          <w:tcPr>
            <w:tcW w:w="6488" w:type="dxa"/>
            <w:vAlign w:val="center"/>
          </w:tcPr>
          <w:p w14:paraId="20AEC8F0">
            <w:pPr>
              <w:rPr>
                <w:rFonts w:eastAsia="仿宋"/>
                <w:kern w:val="0"/>
                <w:szCs w:val="20"/>
              </w:rPr>
            </w:pPr>
            <w:r>
              <w:rPr>
                <w:rFonts w:eastAsia="仿宋"/>
                <w:kern w:val="0"/>
                <w:szCs w:val="20"/>
              </w:rPr>
              <w:t>根据发生的环境污染事故，预测突发环境事故可能带来的环境影响，提出应急救援响应、现场防护和处置措施、突发事件终止及善后处置等的技术咨询意见、建议。</w:t>
            </w:r>
          </w:p>
        </w:tc>
      </w:tr>
      <w:tr w14:paraId="371F1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16" w:type="dxa"/>
            <w:vAlign w:val="center"/>
          </w:tcPr>
          <w:p w14:paraId="4312F739">
            <w:pPr>
              <w:rPr>
                <w:rFonts w:eastAsia="仿宋"/>
                <w:kern w:val="0"/>
                <w:szCs w:val="20"/>
              </w:rPr>
            </w:pPr>
            <w:r>
              <w:rPr>
                <w:rFonts w:eastAsia="仿宋"/>
                <w:kern w:val="0"/>
                <w:szCs w:val="20"/>
              </w:rPr>
              <w:t>应急综合办公室</w:t>
            </w:r>
          </w:p>
        </w:tc>
        <w:tc>
          <w:tcPr>
            <w:tcW w:w="6488" w:type="dxa"/>
            <w:vAlign w:val="center"/>
          </w:tcPr>
          <w:p w14:paraId="49164C2B">
            <w:pPr>
              <w:rPr>
                <w:rFonts w:eastAsia="仿宋"/>
                <w:kern w:val="0"/>
                <w:szCs w:val="20"/>
              </w:rPr>
            </w:pPr>
            <w:r>
              <w:rPr>
                <w:rFonts w:eastAsia="仿宋"/>
                <w:kern w:val="0"/>
                <w:szCs w:val="20"/>
              </w:rPr>
              <w:t>负责对内外进行信息报告、发布工作，随时向上级部门上报事故信息，随时保持与各应急小组之间通讯联络，同时联络媒体并进行事故发布，与医疗救护单位、事故善后处理单位保持好联系。</w:t>
            </w:r>
          </w:p>
        </w:tc>
      </w:tr>
    </w:tbl>
    <w:p w14:paraId="049438EA">
      <w:pPr>
        <w:autoSpaceDE w:val="0"/>
        <w:autoSpaceDN w:val="0"/>
        <w:adjustRightInd w:val="0"/>
        <w:ind w:firstLine="562" w:firstLineChars="200"/>
        <w:rPr>
          <w:rFonts w:eastAsia="仿宋"/>
          <w:b/>
          <w:sz w:val="28"/>
          <w:szCs w:val="28"/>
        </w:rPr>
      </w:pPr>
      <w:r>
        <w:rPr>
          <w:rFonts w:eastAsia="仿宋"/>
          <w:b/>
          <w:sz w:val="28"/>
          <w:szCs w:val="28"/>
        </w:rPr>
        <w:t>3、人为投毒造成水源水污染事故</w:t>
      </w:r>
    </w:p>
    <w:p w14:paraId="0DCEAFEF">
      <w:pPr>
        <w:autoSpaceDE w:val="0"/>
        <w:autoSpaceDN w:val="0"/>
        <w:adjustRightInd w:val="0"/>
        <w:ind w:firstLine="560" w:firstLineChars="200"/>
        <w:rPr>
          <w:rFonts w:eastAsia="仿宋"/>
          <w:sz w:val="28"/>
          <w:szCs w:val="28"/>
        </w:rPr>
      </w:pPr>
      <w:r>
        <w:rPr>
          <w:rFonts w:eastAsia="仿宋"/>
          <w:sz w:val="28"/>
          <w:szCs w:val="28"/>
        </w:rPr>
        <w:t>（1）事故风险分析</w:t>
      </w:r>
    </w:p>
    <w:p w14:paraId="41459ABF">
      <w:pPr>
        <w:autoSpaceDE w:val="0"/>
        <w:autoSpaceDN w:val="0"/>
        <w:adjustRightInd w:val="0"/>
        <w:ind w:firstLine="560" w:firstLineChars="200"/>
        <w:rPr>
          <w:rFonts w:eastAsia="仿宋"/>
          <w:sz w:val="28"/>
          <w:szCs w:val="28"/>
        </w:rPr>
      </w:pPr>
      <w:r>
        <w:rPr>
          <w:rFonts w:eastAsia="仿宋"/>
          <w:sz w:val="28"/>
          <w:szCs w:val="28"/>
        </w:rPr>
        <w:t>人为恶意投放</w:t>
      </w:r>
      <w:r>
        <w:rPr>
          <w:rFonts w:hint="eastAsia" w:eastAsia="仿宋"/>
          <w:sz w:val="28"/>
          <w:szCs w:val="28"/>
          <w:lang w:eastAsia="zh-CN"/>
        </w:rPr>
        <w:t>有毒物质</w:t>
      </w:r>
      <w:r>
        <w:rPr>
          <w:rFonts w:eastAsia="仿宋"/>
          <w:sz w:val="28"/>
          <w:szCs w:val="28"/>
        </w:rPr>
        <w:t>进入水源，对水源水体造成巨大危害，破坏水体生态系统，从而对取水安全造成影响。</w:t>
      </w:r>
    </w:p>
    <w:p w14:paraId="19C07636">
      <w:pPr>
        <w:autoSpaceDE w:val="0"/>
        <w:autoSpaceDN w:val="0"/>
        <w:adjustRightInd w:val="0"/>
        <w:ind w:firstLine="560" w:firstLineChars="200"/>
        <w:rPr>
          <w:rFonts w:eastAsia="仿宋"/>
          <w:sz w:val="28"/>
          <w:szCs w:val="28"/>
        </w:rPr>
      </w:pPr>
      <w:r>
        <w:rPr>
          <w:rFonts w:eastAsia="仿宋"/>
          <w:sz w:val="28"/>
          <w:szCs w:val="28"/>
        </w:rPr>
        <w:t>（2）应急响应分级</w:t>
      </w:r>
    </w:p>
    <w:p w14:paraId="4A7CDE20">
      <w:pPr>
        <w:autoSpaceDE w:val="0"/>
        <w:autoSpaceDN w:val="0"/>
        <w:adjustRightInd w:val="0"/>
        <w:ind w:firstLine="560" w:firstLineChars="200"/>
        <w:rPr>
          <w:rFonts w:eastAsia="仿宋"/>
          <w:sz w:val="28"/>
          <w:szCs w:val="28"/>
        </w:rPr>
      </w:pPr>
      <w:r>
        <w:rPr>
          <w:rFonts w:eastAsia="仿宋"/>
          <w:sz w:val="28"/>
          <w:szCs w:val="28"/>
        </w:rPr>
        <w:t>饮用水水源地突发环境事件应急响应坚持属地为主的原则，发生突发性事件造成或可能造成水源地污染的责任单位，应立即启动本单位应急预案，向事件发生地乡镇和各相关部门报告。花溪区人民政府、贵阳市生态环境局花溪分局按照</w:t>
      </w:r>
      <w:r>
        <w:rPr>
          <w:rFonts w:hint="eastAsia" w:eastAsia="仿宋"/>
          <w:sz w:val="28"/>
          <w:szCs w:val="28"/>
          <w:lang w:eastAsia="zh-CN"/>
        </w:rPr>
        <w:t>有关规定</w:t>
      </w:r>
      <w:r>
        <w:rPr>
          <w:rFonts w:eastAsia="仿宋"/>
          <w:sz w:val="28"/>
          <w:szCs w:val="28"/>
        </w:rPr>
        <w:t>全面负责本区内饮用水水源地环境事件的应急处置工作。饮用水水源地突发环境事件发生后，由应急指挥部确认，立即启动花溪区乡镇级饮用水水源地突发环境事件应急预案，对已造成的环境污染进行应急处置。发生较大以上突发事件的，按照有关规定上报贵阳市指挥部或贵阳市生态环境</w:t>
      </w:r>
      <w:r>
        <w:rPr>
          <w:rFonts w:hint="eastAsia" w:eastAsia="仿宋"/>
          <w:sz w:val="28"/>
          <w:szCs w:val="28"/>
        </w:rPr>
        <w:t>局</w:t>
      </w:r>
      <w:r>
        <w:rPr>
          <w:rFonts w:eastAsia="仿宋"/>
          <w:sz w:val="28"/>
          <w:szCs w:val="28"/>
        </w:rPr>
        <w:t>。应急响应分橙色和红色两级，分级响应的级别由花溪区千人以上集中式饮用水水源地突发环境事件应急指挥部确认。</w:t>
      </w:r>
    </w:p>
    <w:p w14:paraId="2E9A715A">
      <w:pPr>
        <w:autoSpaceDE w:val="0"/>
        <w:autoSpaceDN w:val="0"/>
        <w:adjustRightInd w:val="0"/>
        <w:ind w:firstLine="560" w:firstLineChars="200"/>
        <w:rPr>
          <w:rFonts w:eastAsia="仿宋"/>
          <w:sz w:val="28"/>
          <w:szCs w:val="28"/>
        </w:rPr>
      </w:pPr>
      <w:r>
        <w:rPr>
          <w:rFonts w:eastAsia="仿宋"/>
          <w:sz w:val="28"/>
          <w:szCs w:val="28"/>
        </w:rPr>
        <w:t>（3）应急处置措施</w:t>
      </w:r>
    </w:p>
    <w:p w14:paraId="5F17AD69">
      <w:pPr>
        <w:autoSpaceDE w:val="0"/>
        <w:autoSpaceDN w:val="0"/>
        <w:adjustRightInd w:val="0"/>
        <w:ind w:firstLine="560" w:firstLineChars="200"/>
        <w:rPr>
          <w:rFonts w:eastAsia="仿宋"/>
          <w:sz w:val="28"/>
          <w:szCs w:val="28"/>
        </w:rPr>
      </w:pPr>
      <w:r>
        <w:rPr>
          <w:rFonts w:eastAsia="仿宋"/>
          <w:sz w:val="28"/>
          <w:szCs w:val="28"/>
        </w:rPr>
        <w:t>各应急工作组具体应急处置措施详见下表。</w:t>
      </w:r>
    </w:p>
    <w:p w14:paraId="05CBFC2D">
      <w:pPr>
        <w:autoSpaceDE w:val="0"/>
        <w:autoSpaceDN w:val="0"/>
        <w:adjustRightInd w:val="0"/>
        <w:jc w:val="center"/>
        <w:rPr>
          <w:rFonts w:eastAsia="仿宋"/>
          <w:sz w:val="28"/>
          <w:szCs w:val="28"/>
        </w:rPr>
      </w:pPr>
      <w:r>
        <w:rPr>
          <w:rFonts w:hint="eastAsia" w:eastAsia="仿宋"/>
          <w:sz w:val="28"/>
          <w:szCs w:val="28"/>
        </w:rPr>
        <w:t>表5-</w:t>
      </w:r>
      <w:r>
        <w:rPr>
          <w:rFonts w:eastAsia="仿宋"/>
          <w:sz w:val="28"/>
          <w:szCs w:val="28"/>
        </w:rPr>
        <w:t>3 人为投毒造成水源水污染事故应急处置措施</w:t>
      </w:r>
    </w:p>
    <w:tbl>
      <w:tblPr>
        <w:tblStyle w:val="15"/>
        <w:tblW w:w="79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99"/>
        <w:gridCol w:w="6490"/>
      </w:tblGrid>
      <w:tr w14:paraId="4BF405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99" w:type="dxa"/>
            <w:vAlign w:val="center"/>
          </w:tcPr>
          <w:p w14:paraId="254E2532">
            <w:pPr>
              <w:jc w:val="center"/>
              <w:rPr>
                <w:rFonts w:eastAsia="仿宋"/>
                <w:b/>
                <w:kern w:val="0"/>
                <w:szCs w:val="20"/>
              </w:rPr>
            </w:pPr>
            <w:r>
              <w:rPr>
                <w:rFonts w:eastAsia="仿宋"/>
                <w:b/>
                <w:kern w:val="0"/>
                <w:szCs w:val="20"/>
              </w:rPr>
              <w:t>应急工作组</w:t>
            </w:r>
          </w:p>
        </w:tc>
        <w:tc>
          <w:tcPr>
            <w:tcW w:w="6490" w:type="dxa"/>
            <w:vAlign w:val="center"/>
          </w:tcPr>
          <w:p w14:paraId="34CF8718">
            <w:pPr>
              <w:jc w:val="center"/>
              <w:rPr>
                <w:rFonts w:eastAsia="仿宋"/>
                <w:b/>
                <w:kern w:val="0"/>
                <w:szCs w:val="20"/>
              </w:rPr>
            </w:pPr>
            <w:r>
              <w:rPr>
                <w:rFonts w:eastAsia="仿宋"/>
                <w:b/>
                <w:kern w:val="0"/>
                <w:szCs w:val="20"/>
              </w:rPr>
              <w:t>应急处置措施</w:t>
            </w:r>
          </w:p>
        </w:tc>
      </w:tr>
      <w:tr w14:paraId="76A0A2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99" w:type="dxa"/>
            <w:vAlign w:val="center"/>
          </w:tcPr>
          <w:p w14:paraId="10356576">
            <w:pPr>
              <w:rPr>
                <w:rFonts w:eastAsia="仿宋"/>
                <w:kern w:val="0"/>
                <w:szCs w:val="20"/>
              </w:rPr>
            </w:pPr>
            <w:r>
              <w:rPr>
                <w:rFonts w:eastAsia="仿宋"/>
                <w:kern w:val="0"/>
                <w:szCs w:val="20"/>
              </w:rPr>
              <w:t>应急处置组</w:t>
            </w:r>
          </w:p>
        </w:tc>
        <w:tc>
          <w:tcPr>
            <w:tcW w:w="6490" w:type="dxa"/>
            <w:vAlign w:val="center"/>
          </w:tcPr>
          <w:p w14:paraId="17502D18">
            <w:pPr>
              <w:rPr>
                <w:rFonts w:eastAsia="仿宋"/>
                <w:kern w:val="0"/>
                <w:szCs w:val="20"/>
              </w:rPr>
            </w:pPr>
            <w:r>
              <w:rPr>
                <w:rFonts w:eastAsia="仿宋"/>
                <w:kern w:val="0"/>
                <w:szCs w:val="20"/>
              </w:rPr>
              <w:t>1、设立隔离警戒区域，对污染水域旁边的村镇、社区设置警戒线或标识，并做提醒和宣传</w:t>
            </w:r>
            <w:r>
              <w:rPr>
                <w:rFonts w:hint="eastAsia" w:eastAsia="仿宋"/>
                <w:kern w:val="0"/>
                <w:szCs w:val="20"/>
              </w:rPr>
              <w:t>停止供水，</w:t>
            </w:r>
            <w:r>
              <w:rPr>
                <w:rFonts w:eastAsia="仿宋"/>
                <w:kern w:val="0"/>
                <w:szCs w:val="20"/>
              </w:rPr>
              <w:t>避免出现人员误饮。</w:t>
            </w:r>
          </w:p>
          <w:p w14:paraId="5332A1B6">
            <w:pPr>
              <w:rPr>
                <w:rFonts w:eastAsia="仿宋"/>
                <w:kern w:val="0"/>
                <w:szCs w:val="20"/>
              </w:rPr>
            </w:pPr>
            <w:r>
              <w:rPr>
                <w:rFonts w:eastAsia="仿宋"/>
                <w:kern w:val="0"/>
                <w:szCs w:val="20"/>
              </w:rPr>
              <w:t>2、立即关闭取水阀门，防止污染水源进入下游水厂，对下游水厂可能受到污染的水体进行检测，根据监测结果，是否需要对外停止供水。</w:t>
            </w:r>
          </w:p>
          <w:p w14:paraId="6CB5A4E3">
            <w:pPr>
              <w:rPr>
                <w:rFonts w:eastAsia="仿宋"/>
                <w:kern w:val="0"/>
                <w:szCs w:val="20"/>
              </w:rPr>
            </w:pPr>
            <w:r>
              <w:rPr>
                <w:rFonts w:eastAsia="仿宋"/>
                <w:kern w:val="0"/>
                <w:szCs w:val="20"/>
              </w:rPr>
              <w:t>3、调查事件发生的地点、时间、原因、过程；污染物的来源、品名、种类、性状、数量、污染途径、范围及程度，以及污染的扩散趋势；对出厂水进行水质检测，结合现场调查的相关情况，以确定主要污染物；对可能受影响区域和人群进行水样采集和病学调查，以确定事件对人体健康产生的危害程度；对水源地所使用的相关设备、设施进行清洗消毒，经检测合格后方可重新投入运行。</w:t>
            </w:r>
          </w:p>
          <w:p w14:paraId="1994CD2B">
            <w:pPr>
              <w:rPr>
                <w:rFonts w:eastAsia="仿宋"/>
                <w:kern w:val="0"/>
                <w:szCs w:val="20"/>
              </w:rPr>
            </w:pPr>
            <w:r>
              <w:rPr>
                <w:rFonts w:eastAsia="仿宋"/>
                <w:kern w:val="0"/>
                <w:szCs w:val="20"/>
              </w:rPr>
              <w:t>4、根据指挥部发布的指令及应急监测组反馈的信息，随时准备执行开/放闸作业，控制污染水外流，及时切断各出水孔洞（如取水口），当污染物靠近该区域时，调节各出水口特别是取水口的排水速度，以减缓污染物向坝体区域扩散速度和控制扩散方向。如取水口水质受到污染，立即采取应急措施，采用吸附、消毒、过滤等深度处理方法净化水质；必要时采取停水、减压供水、改路供水，启用备用水源等应急处置措施，保障下游居民饮用水的安全。</w:t>
            </w:r>
          </w:p>
        </w:tc>
      </w:tr>
      <w:tr w14:paraId="1B1B79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99" w:type="dxa"/>
            <w:vAlign w:val="center"/>
          </w:tcPr>
          <w:p w14:paraId="5A0CA8D8">
            <w:pPr>
              <w:rPr>
                <w:rFonts w:eastAsia="仿宋"/>
                <w:kern w:val="0"/>
                <w:szCs w:val="20"/>
              </w:rPr>
            </w:pPr>
            <w:r>
              <w:rPr>
                <w:rFonts w:eastAsia="仿宋"/>
                <w:kern w:val="0"/>
                <w:szCs w:val="20"/>
              </w:rPr>
              <w:t>应急监测组</w:t>
            </w:r>
          </w:p>
        </w:tc>
        <w:tc>
          <w:tcPr>
            <w:tcW w:w="6490" w:type="dxa"/>
            <w:vAlign w:val="center"/>
          </w:tcPr>
          <w:p w14:paraId="33DEE785">
            <w:pPr>
              <w:rPr>
                <w:rFonts w:eastAsia="仿宋"/>
                <w:kern w:val="0"/>
                <w:szCs w:val="20"/>
              </w:rPr>
            </w:pPr>
            <w:r>
              <w:rPr>
                <w:rFonts w:eastAsia="仿宋"/>
                <w:kern w:val="0"/>
                <w:szCs w:val="20"/>
              </w:rPr>
              <w:t>制定应急监测方案，确定应急监测布点、监测频次、监测项目以及监测分析等，监测布点时特别关注取水口，及时上报监测结。</w:t>
            </w:r>
          </w:p>
        </w:tc>
      </w:tr>
      <w:tr w14:paraId="4A0C2C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99" w:type="dxa"/>
            <w:vAlign w:val="center"/>
          </w:tcPr>
          <w:p w14:paraId="1CADAB7C">
            <w:pPr>
              <w:rPr>
                <w:rFonts w:eastAsia="仿宋"/>
                <w:kern w:val="0"/>
                <w:szCs w:val="20"/>
              </w:rPr>
            </w:pPr>
            <w:r>
              <w:rPr>
                <w:rFonts w:eastAsia="仿宋"/>
                <w:kern w:val="0"/>
                <w:szCs w:val="20"/>
              </w:rPr>
              <w:t>应急保障组</w:t>
            </w:r>
          </w:p>
        </w:tc>
        <w:tc>
          <w:tcPr>
            <w:tcW w:w="6490" w:type="dxa"/>
            <w:vAlign w:val="center"/>
          </w:tcPr>
          <w:p w14:paraId="3520E1F4">
            <w:pPr>
              <w:rPr>
                <w:rFonts w:eastAsia="仿宋"/>
                <w:kern w:val="0"/>
                <w:szCs w:val="20"/>
              </w:rPr>
            </w:pPr>
            <w:r>
              <w:rPr>
                <w:rFonts w:eastAsia="仿宋"/>
                <w:kern w:val="0"/>
                <w:szCs w:val="20"/>
              </w:rPr>
              <w:t>提供应急抢险所需物资、防护用品，并输送到现场，若物资供应缺乏，应立即向附近单位打电话要求进行应急物资支援；同时保障应急处置过程中电力、通讯及车辆畅通。</w:t>
            </w:r>
          </w:p>
        </w:tc>
      </w:tr>
      <w:tr w14:paraId="5C6A22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99" w:type="dxa"/>
            <w:vAlign w:val="center"/>
          </w:tcPr>
          <w:p w14:paraId="676A5B45">
            <w:pPr>
              <w:rPr>
                <w:rFonts w:eastAsia="仿宋"/>
                <w:kern w:val="0"/>
                <w:szCs w:val="20"/>
              </w:rPr>
            </w:pPr>
            <w:r>
              <w:rPr>
                <w:rFonts w:eastAsia="仿宋"/>
                <w:kern w:val="0"/>
                <w:szCs w:val="20"/>
              </w:rPr>
              <w:t>专家咨询组</w:t>
            </w:r>
          </w:p>
        </w:tc>
        <w:tc>
          <w:tcPr>
            <w:tcW w:w="6490" w:type="dxa"/>
            <w:vAlign w:val="center"/>
          </w:tcPr>
          <w:p w14:paraId="6B9412A9">
            <w:pPr>
              <w:rPr>
                <w:rFonts w:eastAsia="仿宋"/>
                <w:kern w:val="0"/>
                <w:szCs w:val="20"/>
              </w:rPr>
            </w:pPr>
            <w:r>
              <w:rPr>
                <w:rFonts w:eastAsia="仿宋"/>
                <w:kern w:val="0"/>
                <w:szCs w:val="20"/>
              </w:rPr>
              <w:t>根据发生的环境污染事故，预测突发环境事故可能带来的环境影响，提出应急救援响应、现场防护和处置措施、突发事件终止及善后处置等的技术咨询意见、建议。</w:t>
            </w:r>
          </w:p>
        </w:tc>
      </w:tr>
      <w:tr w14:paraId="0DBC74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99" w:type="dxa"/>
            <w:vAlign w:val="center"/>
          </w:tcPr>
          <w:p w14:paraId="48AFFF5C">
            <w:pPr>
              <w:rPr>
                <w:rFonts w:eastAsia="仿宋"/>
                <w:kern w:val="0"/>
                <w:szCs w:val="20"/>
              </w:rPr>
            </w:pPr>
            <w:r>
              <w:rPr>
                <w:rFonts w:eastAsia="仿宋"/>
                <w:kern w:val="0"/>
                <w:szCs w:val="20"/>
              </w:rPr>
              <w:t>应急综合办公室</w:t>
            </w:r>
          </w:p>
        </w:tc>
        <w:tc>
          <w:tcPr>
            <w:tcW w:w="6490" w:type="dxa"/>
            <w:vAlign w:val="center"/>
          </w:tcPr>
          <w:p w14:paraId="3DF55884">
            <w:pPr>
              <w:rPr>
                <w:rFonts w:eastAsia="仿宋"/>
                <w:kern w:val="0"/>
                <w:szCs w:val="20"/>
              </w:rPr>
            </w:pPr>
            <w:r>
              <w:rPr>
                <w:rFonts w:eastAsia="仿宋"/>
                <w:kern w:val="0"/>
                <w:szCs w:val="20"/>
              </w:rPr>
              <w:t>负责对内外进行信息报告、发布工作，随时向上级部门上报事故信息，随时保持与各应急小组之间通讯联络，同时联络媒体并进行事故发布，与医疗救护单位、事故善后处理单位保持好联系。</w:t>
            </w:r>
          </w:p>
        </w:tc>
      </w:tr>
    </w:tbl>
    <w:p w14:paraId="15221B54">
      <w:pPr>
        <w:pStyle w:val="4"/>
        <w:spacing w:before="120" w:after="120"/>
        <w:rPr>
          <w:rFonts w:eastAsia="仿宋"/>
          <w:sz w:val="28"/>
        </w:rPr>
      </w:pPr>
      <w:r>
        <w:rPr>
          <w:rFonts w:eastAsia="仿宋"/>
          <w:sz w:val="28"/>
        </w:rPr>
        <w:t>4.6.2 供水安全保障</w:t>
      </w:r>
    </w:p>
    <w:p w14:paraId="4F650641">
      <w:pPr>
        <w:autoSpaceDE w:val="0"/>
        <w:autoSpaceDN w:val="0"/>
        <w:adjustRightInd w:val="0"/>
        <w:ind w:firstLine="560" w:firstLineChars="200"/>
        <w:rPr>
          <w:rFonts w:eastAsia="仿宋"/>
          <w:sz w:val="28"/>
          <w:szCs w:val="28"/>
        </w:rPr>
      </w:pPr>
      <w:r>
        <w:rPr>
          <w:rFonts w:eastAsia="仿宋"/>
          <w:sz w:val="28"/>
          <w:szCs w:val="28"/>
        </w:rPr>
        <w:t>（l）相关水务单位、事件所在乡镇、</w:t>
      </w:r>
      <w:r>
        <w:rPr>
          <w:rFonts w:hint="eastAsia" w:eastAsia="仿宋"/>
          <w:sz w:val="28"/>
          <w:szCs w:val="28"/>
        </w:rPr>
        <w:t>花溪区</w:t>
      </w:r>
      <w:r>
        <w:rPr>
          <w:rFonts w:eastAsia="仿宋"/>
          <w:sz w:val="28"/>
          <w:szCs w:val="28"/>
        </w:rPr>
        <w:t>水务局根据应急指挥</w:t>
      </w:r>
      <w:r>
        <w:rPr>
          <w:rFonts w:hint="eastAsia" w:eastAsia="仿宋"/>
          <w:sz w:val="28"/>
          <w:szCs w:val="28"/>
        </w:rPr>
        <w:t>部</w:t>
      </w:r>
      <w:r>
        <w:rPr>
          <w:rFonts w:eastAsia="仿宋"/>
          <w:sz w:val="28"/>
          <w:szCs w:val="28"/>
        </w:rPr>
        <w:t>指挥，按照应急预案，做好水源和清水储备工作；采取停水、减压供水、改路供水，启用备用水源等应急措施，保障供水辖区内居民饮用水的安全，发动群众储备饮用水。</w:t>
      </w:r>
    </w:p>
    <w:p w14:paraId="209203B3">
      <w:pPr>
        <w:autoSpaceDE w:val="0"/>
        <w:autoSpaceDN w:val="0"/>
        <w:adjustRightInd w:val="0"/>
        <w:ind w:firstLine="560" w:firstLineChars="200"/>
        <w:rPr>
          <w:rFonts w:eastAsia="仿宋"/>
          <w:sz w:val="28"/>
          <w:szCs w:val="28"/>
        </w:rPr>
      </w:pPr>
      <w:r>
        <w:rPr>
          <w:rFonts w:eastAsia="仿宋"/>
          <w:sz w:val="28"/>
          <w:szCs w:val="28"/>
        </w:rPr>
        <w:t>（2）供水系统按照应急预案，采取有效措施，降低污染物浓度和影响程度，将受污染水体疏导排放至安全区域；对技术可控制的水体污染实行二级或三级强化处理手段：对供水管网进行消毒处理；从上游或备用水源地紧急调用水源，改路供水；用水量大的生产、服务企业，采取轮产、限产、停产等手段，减少自来水的消耗，优先满足居民用水要求：必要时通知下游水厂停水或采取保护措施。</w:t>
      </w:r>
    </w:p>
    <w:p w14:paraId="485C5F8A">
      <w:pPr>
        <w:autoSpaceDE w:val="0"/>
        <w:autoSpaceDN w:val="0"/>
        <w:adjustRightInd w:val="0"/>
        <w:ind w:firstLine="560" w:firstLineChars="200"/>
        <w:rPr>
          <w:rFonts w:eastAsia="仿宋"/>
          <w:sz w:val="28"/>
          <w:szCs w:val="28"/>
        </w:rPr>
      </w:pPr>
      <w:r>
        <w:rPr>
          <w:rFonts w:eastAsia="仿宋"/>
          <w:sz w:val="28"/>
          <w:szCs w:val="28"/>
        </w:rPr>
        <w:t>（3）消防部门在灭火过程中要做好消防废水的收集、围堵等工作，避免造成因消防废水引发的次生饮用水突发事件。</w:t>
      </w:r>
    </w:p>
    <w:p w14:paraId="280D6A3F">
      <w:pPr>
        <w:autoSpaceDE w:val="0"/>
        <w:autoSpaceDN w:val="0"/>
        <w:adjustRightInd w:val="0"/>
        <w:ind w:firstLine="560" w:firstLineChars="200"/>
        <w:rPr>
          <w:rFonts w:eastAsia="仿宋"/>
          <w:sz w:val="28"/>
          <w:szCs w:val="28"/>
        </w:rPr>
      </w:pPr>
      <w:r>
        <w:rPr>
          <w:rFonts w:eastAsia="仿宋"/>
          <w:sz w:val="28"/>
          <w:szCs w:val="28"/>
        </w:rPr>
        <w:t>责任单位：花溪区人民政府、贵阳市生态环境局花溪分局、花溪区水务局。</w:t>
      </w:r>
    </w:p>
    <w:p w14:paraId="30930186">
      <w:pPr>
        <w:pStyle w:val="3"/>
        <w:rPr>
          <w:rFonts w:eastAsia="仿宋"/>
          <w:sz w:val="32"/>
        </w:rPr>
      </w:pPr>
      <w:bookmarkStart w:id="87" w:name="_Toc4027"/>
      <w:bookmarkStart w:id="88" w:name="_Toc60930801"/>
      <w:r>
        <w:rPr>
          <w:rFonts w:eastAsia="仿宋"/>
          <w:sz w:val="32"/>
        </w:rPr>
        <w:t>4.7物资调集及应急设施启用</w:t>
      </w:r>
      <w:bookmarkEnd w:id="87"/>
      <w:bookmarkEnd w:id="88"/>
    </w:p>
    <w:p w14:paraId="701273D4">
      <w:pPr>
        <w:autoSpaceDE w:val="0"/>
        <w:autoSpaceDN w:val="0"/>
        <w:adjustRightInd w:val="0"/>
        <w:ind w:firstLine="560" w:firstLineChars="200"/>
        <w:rPr>
          <w:rFonts w:eastAsia="仿宋"/>
          <w:sz w:val="28"/>
          <w:szCs w:val="28"/>
        </w:rPr>
      </w:pPr>
      <w:r>
        <w:rPr>
          <w:rFonts w:eastAsia="仿宋"/>
          <w:sz w:val="28"/>
          <w:szCs w:val="28"/>
        </w:rPr>
        <w:t>应急物资、装备和设施包括但不限于以下内容：</w:t>
      </w:r>
    </w:p>
    <w:p w14:paraId="57EC50C8">
      <w:pPr>
        <w:autoSpaceDE w:val="0"/>
        <w:autoSpaceDN w:val="0"/>
        <w:adjustRightInd w:val="0"/>
        <w:ind w:firstLine="560" w:firstLineChars="200"/>
        <w:rPr>
          <w:rFonts w:eastAsia="仿宋"/>
          <w:sz w:val="28"/>
          <w:szCs w:val="28"/>
        </w:rPr>
      </w:pPr>
      <w:r>
        <w:rPr>
          <w:rFonts w:eastAsia="仿宋"/>
          <w:sz w:val="28"/>
          <w:szCs w:val="28"/>
        </w:rPr>
        <w:t>（1）对水体内污染物进行打捞和拦截的物资、装备和设施，如救援打捞设备、油毡、围油栏、筑坝材料、溢出控制装备等。</w:t>
      </w:r>
    </w:p>
    <w:p w14:paraId="1A378BAB">
      <w:pPr>
        <w:autoSpaceDE w:val="0"/>
        <w:autoSpaceDN w:val="0"/>
        <w:adjustRightInd w:val="0"/>
        <w:ind w:firstLine="560" w:firstLineChars="200"/>
        <w:rPr>
          <w:rFonts w:eastAsia="仿宋"/>
          <w:sz w:val="28"/>
          <w:szCs w:val="28"/>
        </w:rPr>
      </w:pPr>
      <w:r>
        <w:rPr>
          <w:rFonts w:eastAsia="仿宋"/>
          <w:sz w:val="28"/>
          <w:szCs w:val="28"/>
        </w:rPr>
        <w:t>（2）控制和消除污染物的物资、装备和设施，如中和剂、灭火剂、解毒剂、吸收剂等。</w:t>
      </w:r>
    </w:p>
    <w:p w14:paraId="2FEF9E8F">
      <w:pPr>
        <w:autoSpaceDE w:val="0"/>
        <w:autoSpaceDN w:val="0"/>
        <w:adjustRightInd w:val="0"/>
        <w:ind w:firstLine="560" w:firstLineChars="200"/>
        <w:rPr>
          <w:rFonts w:eastAsia="仿宋"/>
          <w:sz w:val="28"/>
          <w:szCs w:val="28"/>
        </w:rPr>
      </w:pPr>
      <w:r>
        <w:rPr>
          <w:rFonts w:eastAsia="仿宋"/>
          <w:sz w:val="28"/>
          <w:szCs w:val="28"/>
        </w:rPr>
        <w:t>（3）移除和拦截移动源的装备和设施，如吊车、临时围堰、导流槽、应急池等。</w:t>
      </w:r>
    </w:p>
    <w:p w14:paraId="364171D2">
      <w:pPr>
        <w:autoSpaceDE w:val="0"/>
        <w:autoSpaceDN w:val="0"/>
        <w:adjustRightInd w:val="0"/>
        <w:ind w:firstLine="560" w:firstLineChars="200"/>
        <w:rPr>
          <w:rFonts w:eastAsia="仿宋"/>
          <w:sz w:val="28"/>
          <w:szCs w:val="28"/>
        </w:rPr>
      </w:pPr>
      <w:r>
        <w:rPr>
          <w:rFonts w:eastAsia="仿宋"/>
          <w:sz w:val="28"/>
          <w:szCs w:val="28"/>
        </w:rPr>
        <w:t>（4）雨水口垃圾清运和拦截的装备和设施，如格栅、清运车、临时设置的导流槽等。</w:t>
      </w:r>
    </w:p>
    <w:p w14:paraId="539C5F75">
      <w:pPr>
        <w:autoSpaceDE w:val="0"/>
        <w:autoSpaceDN w:val="0"/>
        <w:adjustRightInd w:val="0"/>
        <w:ind w:firstLine="560" w:firstLineChars="200"/>
        <w:rPr>
          <w:rFonts w:eastAsia="仿宋"/>
          <w:sz w:val="28"/>
          <w:szCs w:val="28"/>
        </w:rPr>
      </w:pPr>
      <w:r>
        <w:rPr>
          <w:rFonts w:eastAsia="仿宋"/>
          <w:sz w:val="28"/>
          <w:szCs w:val="28"/>
        </w:rPr>
        <w:t>（5）针对水华灾害，消除有毒有害物质产生条件、清除藻类的物资、装备和设施，如增氧机、除草船等。</w:t>
      </w:r>
    </w:p>
    <w:p w14:paraId="29CE0635">
      <w:pPr>
        <w:autoSpaceDE w:val="0"/>
        <w:autoSpaceDN w:val="0"/>
        <w:adjustRightInd w:val="0"/>
        <w:ind w:firstLine="560" w:firstLineChars="200"/>
        <w:rPr>
          <w:rFonts w:eastAsia="仿宋"/>
          <w:sz w:val="28"/>
          <w:szCs w:val="28"/>
        </w:rPr>
      </w:pPr>
      <w:r>
        <w:rPr>
          <w:rFonts w:eastAsia="仿宋"/>
          <w:sz w:val="28"/>
          <w:szCs w:val="28"/>
        </w:rPr>
        <w:t>（6）对污染物进行拦截、导流、分流及降解的应急工程设施，如拦截坝、节制闸、导流渠、分流沟、前置库等。</w:t>
      </w:r>
    </w:p>
    <w:p w14:paraId="1DD745C2">
      <w:pPr>
        <w:autoSpaceDE w:val="0"/>
        <w:autoSpaceDN w:val="0"/>
        <w:adjustRightInd w:val="0"/>
        <w:ind w:firstLine="560" w:firstLineChars="200"/>
        <w:rPr>
          <w:rFonts w:eastAsia="仿宋"/>
          <w:sz w:val="28"/>
          <w:szCs w:val="28"/>
        </w:rPr>
      </w:pPr>
      <w:r>
        <w:rPr>
          <w:rFonts w:eastAsia="仿宋"/>
          <w:sz w:val="28"/>
          <w:szCs w:val="28"/>
        </w:rPr>
        <w:t>上述应急物资、装备和设施由贵阳市生态环境局花溪分局牵头负责，并协调</w:t>
      </w:r>
      <w:r>
        <w:rPr>
          <w:rFonts w:hint="eastAsia" w:eastAsia="仿宋"/>
          <w:sz w:val="28"/>
          <w:szCs w:val="28"/>
        </w:rPr>
        <w:t>花溪区</w:t>
      </w:r>
      <w:r>
        <w:rPr>
          <w:rFonts w:eastAsia="仿宋"/>
          <w:sz w:val="28"/>
          <w:szCs w:val="28"/>
        </w:rPr>
        <w:t>交通</w:t>
      </w:r>
      <w:r>
        <w:rPr>
          <w:rFonts w:hint="eastAsia" w:eastAsia="仿宋"/>
          <w:sz w:val="28"/>
          <w:szCs w:val="28"/>
        </w:rPr>
        <w:t>运输</w:t>
      </w:r>
      <w:r>
        <w:rPr>
          <w:rFonts w:eastAsia="仿宋"/>
          <w:sz w:val="28"/>
          <w:szCs w:val="28"/>
        </w:rPr>
        <w:t>局应急施工装备和设施调用，先水利部门应急工程设施启用等。</w:t>
      </w:r>
    </w:p>
    <w:p w14:paraId="48FF5E9B">
      <w:pPr>
        <w:autoSpaceDE w:val="0"/>
        <w:autoSpaceDN w:val="0"/>
        <w:adjustRightInd w:val="0"/>
        <w:ind w:firstLine="560" w:firstLineChars="200"/>
        <w:rPr>
          <w:rFonts w:eastAsia="仿宋"/>
          <w:sz w:val="28"/>
          <w:szCs w:val="28"/>
        </w:rPr>
      </w:pPr>
      <w:r>
        <w:rPr>
          <w:rFonts w:eastAsia="仿宋"/>
          <w:sz w:val="28"/>
          <w:szCs w:val="28"/>
        </w:rPr>
        <w:t>责任单位：贵阳市生态环境局花溪分局、花溪区水务局。</w:t>
      </w:r>
    </w:p>
    <w:p w14:paraId="7CD9BB08">
      <w:pPr>
        <w:pStyle w:val="3"/>
        <w:rPr>
          <w:rFonts w:eastAsia="仿宋"/>
          <w:sz w:val="32"/>
        </w:rPr>
      </w:pPr>
      <w:bookmarkStart w:id="89" w:name="_Toc60930802"/>
      <w:bookmarkStart w:id="90" w:name="_Toc2319"/>
      <w:r>
        <w:rPr>
          <w:rFonts w:eastAsia="仿宋"/>
          <w:sz w:val="32"/>
        </w:rPr>
        <w:t>4.8舆情监测与信息发布</w:t>
      </w:r>
      <w:bookmarkEnd w:id="89"/>
      <w:bookmarkEnd w:id="90"/>
    </w:p>
    <w:p w14:paraId="0A40C89D">
      <w:pPr>
        <w:autoSpaceDE w:val="0"/>
        <w:autoSpaceDN w:val="0"/>
        <w:adjustRightInd w:val="0"/>
        <w:ind w:firstLine="560" w:firstLineChars="200"/>
        <w:rPr>
          <w:rFonts w:eastAsia="仿宋"/>
          <w:sz w:val="28"/>
          <w:szCs w:val="28"/>
        </w:rPr>
      </w:pPr>
      <w:r>
        <w:rPr>
          <w:rFonts w:eastAsia="仿宋"/>
          <w:sz w:val="28"/>
          <w:szCs w:val="28"/>
        </w:rPr>
        <w:t>（1）饮用水水源地突发环境事件的信息发布应当及时、准确、客观、全面，参与事件处置的应急组织成员单位要指定专人负责突发环境事件有关新闻发布事项的工作，并由指挥部统一对外发布，以保障群众的知情权。在事件发生的第一时间向社会发布简要信息，随后发布初步核实情况和政府应对措施，并根据事件处置情况，做好后续发布工作。</w:t>
      </w:r>
    </w:p>
    <w:p w14:paraId="5B7BB19C">
      <w:pPr>
        <w:autoSpaceDE w:val="0"/>
        <w:autoSpaceDN w:val="0"/>
        <w:adjustRightInd w:val="0"/>
        <w:ind w:firstLine="560" w:firstLineChars="200"/>
        <w:rPr>
          <w:rFonts w:eastAsia="仿宋"/>
          <w:sz w:val="28"/>
          <w:szCs w:val="28"/>
        </w:rPr>
      </w:pPr>
      <w:r>
        <w:rPr>
          <w:rFonts w:eastAsia="仿宋"/>
          <w:sz w:val="28"/>
          <w:szCs w:val="28"/>
        </w:rPr>
        <w:t>（2）密切关注国内外关于饮用水水源地污染事件的新闻报道，及时消除媒体中出现的有关不正确信息造成的影响，解除群众的思想疑虑，防止各种谣言的传播。</w:t>
      </w:r>
    </w:p>
    <w:p w14:paraId="085D52C3">
      <w:pPr>
        <w:autoSpaceDE w:val="0"/>
        <w:autoSpaceDN w:val="0"/>
        <w:adjustRightInd w:val="0"/>
        <w:ind w:firstLine="560" w:firstLineChars="200"/>
        <w:rPr>
          <w:rFonts w:eastAsia="仿宋"/>
          <w:sz w:val="28"/>
          <w:szCs w:val="28"/>
        </w:rPr>
      </w:pPr>
      <w:r>
        <w:rPr>
          <w:rFonts w:eastAsia="仿宋"/>
          <w:sz w:val="28"/>
          <w:szCs w:val="28"/>
        </w:rPr>
        <w:t>（3）花溪区人民政府的新闻信息发布按照花溪区人民政府的信息发布办法执行，除</w:t>
      </w:r>
      <w:r>
        <w:rPr>
          <w:rFonts w:hint="eastAsia" w:eastAsia="仿宋"/>
          <w:sz w:val="28"/>
          <w:szCs w:val="28"/>
        </w:rPr>
        <w:t>应急</w:t>
      </w:r>
      <w:r>
        <w:rPr>
          <w:rFonts w:eastAsia="仿宋"/>
          <w:sz w:val="28"/>
          <w:szCs w:val="28"/>
        </w:rPr>
        <w:t>指挥部指定的新闻发言人外，其他各成员单位及各救援力量均不得以任何名义通过任何方式对外提供、发布有关饮用水水源地突发环境事件的信息。同时新闻宣传组应做好突发环境事件的舆论引导和舆情分析工作，及时准确、主动引导。</w:t>
      </w:r>
    </w:p>
    <w:p w14:paraId="61359883">
      <w:pPr>
        <w:autoSpaceDE w:val="0"/>
        <w:autoSpaceDN w:val="0"/>
        <w:adjustRightInd w:val="0"/>
        <w:ind w:firstLine="560" w:firstLineChars="200"/>
        <w:rPr>
          <w:rFonts w:eastAsia="仿宋"/>
          <w:sz w:val="28"/>
          <w:szCs w:val="28"/>
        </w:rPr>
      </w:pPr>
      <w:r>
        <w:rPr>
          <w:rFonts w:eastAsia="仿宋"/>
          <w:sz w:val="28"/>
          <w:szCs w:val="28"/>
        </w:rPr>
        <w:t>责任部门：花溪区千人以上集中式饮用水水源地突发环境事件应急组织各成员单位。</w:t>
      </w:r>
    </w:p>
    <w:p w14:paraId="4D101A3E">
      <w:pPr>
        <w:pStyle w:val="3"/>
        <w:rPr>
          <w:rFonts w:eastAsia="仿宋"/>
          <w:sz w:val="32"/>
        </w:rPr>
      </w:pPr>
      <w:bookmarkStart w:id="91" w:name="_Toc60930803"/>
      <w:bookmarkStart w:id="92" w:name="_Toc28557"/>
      <w:r>
        <w:rPr>
          <w:rFonts w:eastAsia="仿宋"/>
          <w:sz w:val="32"/>
        </w:rPr>
        <w:t>4.9应急终止</w:t>
      </w:r>
      <w:bookmarkEnd w:id="91"/>
      <w:bookmarkEnd w:id="92"/>
    </w:p>
    <w:p w14:paraId="79C9BCDA">
      <w:pPr>
        <w:pStyle w:val="4"/>
        <w:spacing w:before="120" w:after="120"/>
        <w:rPr>
          <w:rFonts w:eastAsia="仿宋"/>
          <w:sz w:val="28"/>
        </w:rPr>
      </w:pPr>
      <w:r>
        <w:rPr>
          <w:rFonts w:eastAsia="仿宋"/>
          <w:sz w:val="28"/>
        </w:rPr>
        <w:t>4.9.1 应急终止的条件</w:t>
      </w:r>
    </w:p>
    <w:p w14:paraId="69D0A8E0">
      <w:pPr>
        <w:autoSpaceDE w:val="0"/>
        <w:autoSpaceDN w:val="0"/>
        <w:adjustRightInd w:val="0"/>
        <w:ind w:firstLine="560" w:firstLineChars="200"/>
        <w:rPr>
          <w:rFonts w:eastAsia="仿宋"/>
          <w:sz w:val="28"/>
          <w:szCs w:val="28"/>
        </w:rPr>
      </w:pPr>
      <w:r>
        <w:rPr>
          <w:rFonts w:eastAsia="仿宋"/>
          <w:sz w:val="28"/>
          <w:szCs w:val="28"/>
        </w:rPr>
        <w:t>符合下列条件之一的，即满足应急终止条件：</w:t>
      </w:r>
    </w:p>
    <w:p w14:paraId="2800D2F4">
      <w:pPr>
        <w:autoSpaceDE w:val="0"/>
        <w:autoSpaceDN w:val="0"/>
        <w:adjustRightInd w:val="0"/>
        <w:ind w:firstLine="560" w:firstLineChars="200"/>
        <w:rPr>
          <w:rFonts w:eastAsia="仿宋"/>
          <w:sz w:val="28"/>
          <w:szCs w:val="28"/>
        </w:rPr>
      </w:pPr>
      <w:r>
        <w:rPr>
          <w:rFonts w:eastAsia="仿宋"/>
          <w:sz w:val="28"/>
          <w:szCs w:val="28"/>
        </w:rPr>
        <w:t>（1）事故现场得到控制，事故条件已消除，污染情况得到完全控制，发生事件的水源水质基本得到恢复；</w:t>
      </w:r>
    </w:p>
    <w:p w14:paraId="408A3010">
      <w:pPr>
        <w:autoSpaceDE w:val="0"/>
        <w:autoSpaceDN w:val="0"/>
        <w:adjustRightInd w:val="0"/>
        <w:ind w:firstLine="560" w:firstLineChars="200"/>
        <w:rPr>
          <w:rFonts w:eastAsia="仿宋"/>
          <w:sz w:val="28"/>
          <w:szCs w:val="28"/>
        </w:rPr>
      </w:pPr>
      <w:r>
        <w:rPr>
          <w:rFonts w:eastAsia="仿宋"/>
          <w:sz w:val="28"/>
          <w:szCs w:val="28"/>
        </w:rPr>
        <w:t>（2）事件造成的对供水系统的影响已经消除，供水系统全面恢复正常；</w:t>
      </w:r>
    </w:p>
    <w:p w14:paraId="7DAE8803">
      <w:pPr>
        <w:autoSpaceDE w:val="0"/>
        <w:autoSpaceDN w:val="0"/>
        <w:adjustRightInd w:val="0"/>
        <w:ind w:firstLine="560" w:firstLineChars="200"/>
        <w:rPr>
          <w:rFonts w:eastAsia="仿宋"/>
          <w:sz w:val="28"/>
          <w:szCs w:val="28"/>
        </w:rPr>
      </w:pPr>
      <w:r>
        <w:rPr>
          <w:rFonts w:eastAsia="仿宋"/>
          <w:sz w:val="28"/>
          <w:szCs w:val="28"/>
        </w:rPr>
        <w:t>（3）污染源的泄漏或释放已降至规定限值以内；</w:t>
      </w:r>
    </w:p>
    <w:p w14:paraId="579DEC41">
      <w:pPr>
        <w:autoSpaceDE w:val="0"/>
        <w:autoSpaceDN w:val="0"/>
        <w:adjustRightInd w:val="0"/>
        <w:ind w:firstLine="560" w:firstLineChars="200"/>
        <w:rPr>
          <w:rFonts w:eastAsia="仿宋"/>
          <w:sz w:val="28"/>
          <w:szCs w:val="28"/>
        </w:rPr>
      </w:pPr>
      <w:r>
        <w:rPr>
          <w:rFonts w:eastAsia="仿宋"/>
          <w:sz w:val="28"/>
          <w:szCs w:val="28"/>
        </w:rPr>
        <w:t>（4）事故所造成的危害已被彻底消除，无继发的可能；</w:t>
      </w:r>
    </w:p>
    <w:p w14:paraId="0F0B89AC">
      <w:pPr>
        <w:autoSpaceDE w:val="0"/>
        <w:autoSpaceDN w:val="0"/>
        <w:adjustRightInd w:val="0"/>
        <w:ind w:firstLine="560" w:firstLineChars="200"/>
        <w:rPr>
          <w:rFonts w:eastAsia="仿宋"/>
          <w:sz w:val="28"/>
          <w:szCs w:val="28"/>
        </w:rPr>
      </w:pPr>
      <w:r>
        <w:rPr>
          <w:rFonts w:eastAsia="仿宋"/>
          <w:sz w:val="28"/>
          <w:szCs w:val="28"/>
        </w:rPr>
        <w:t>（5）事故现场的各种专业应急处置行动已无继续的必要；</w:t>
      </w:r>
    </w:p>
    <w:p w14:paraId="3E636D12">
      <w:pPr>
        <w:autoSpaceDE w:val="0"/>
        <w:autoSpaceDN w:val="0"/>
        <w:adjustRightInd w:val="0"/>
        <w:ind w:firstLine="560" w:firstLineChars="200"/>
        <w:rPr>
          <w:rFonts w:eastAsia="仿宋"/>
          <w:sz w:val="28"/>
          <w:szCs w:val="28"/>
        </w:rPr>
      </w:pPr>
      <w:r>
        <w:rPr>
          <w:rFonts w:eastAsia="仿宋"/>
          <w:sz w:val="28"/>
          <w:szCs w:val="28"/>
        </w:rPr>
        <w:t>（6）采取了必要的防护措施以保护公众免受再次危害，并使事故可能引起的中长期影响趋于合理且尽量低的水平。</w:t>
      </w:r>
    </w:p>
    <w:p w14:paraId="73BA0F4D">
      <w:pPr>
        <w:pStyle w:val="4"/>
        <w:spacing w:before="120" w:after="120"/>
        <w:rPr>
          <w:rFonts w:eastAsia="仿宋"/>
          <w:sz w:val="28"/>
        </w:rPr>
      </w:pPr>
      <w:r>
        <w:rPr>
          <w:rFonts w:eastAsia="仿宋"/>
          <w:sz w:val="28"/>
        </w:rPr>
        <w:t>4.9.2 应急终止的程序</w:t>
      </w:r>
    </w:p>
    <w:p w14:paraId="71022092">
      <w:pPr>
        <w:autoSpaceDE w:val="0"/>
        <w:autoSpaceDN w:val="0"/>
        <w:adjustRightInd w:val="0"/>
        <w:ind w:firstLine="560" w:firstLineChars="200"/>
        <w:rPr>
          <w:rFonts w:eastAsia="仿宋"/>
          <w:sz w:val="28"/>
          <w:szCs w:val="28"/>
        </w:rPr>
      </w:pPr>
      <w:r>
        <w:rPr>
          <w:rFonts w:eastAsia="仿宋"/>
          <w:sz w:val="28"/>
          <w:szCs w:val="28"/>
        </w:rPr>
        <w:t>（1）应急指挥</w:t>
      </w:r>
      <w:r>
        <w:rPr>
          <w:rFonts w:hint="eastAsia" w:eastAsia="仿宋"/>
          <w:sz w:val="28"/>
          <w:szCs w:val="28"/>
        </w:rPr>
        <w:t>部</w:t>
      </w:r>
      <w:r>
        <w:rPr>
          <w:rFonts w:eastAsia="仿宋"/>
          <w:sz w:val="28"/>
          <w:szCs w:val="28"/>
        </w:rPr>
        <w:t>办公室确认终止时机，或事件责任单位提出，经环保部门批准；</w:t>
      </w:r>
    </w:p>
    <w:p w14:paraId="1E0AAAB9">
      <w:pPr>
        <w:autoSpaceDE w:val="0"/>
        <w:autoSpaceDN w:val="0"/>
        <w:adjustRightInd w:val="0"/>
        <w:ind w:firstLine="560" w:firstLineChars="200"/>
        <w:rPr>
          <w:rFonts w:eastAsia="仿宋"/>
          <w:sz w:val="28"/>
          <w:szCs w:val="28"/>
        </w:rPr>
      </w:pPr>
      <w:r>
        <w:rPr>
          <w:rFonts w:eastAsia="仿宋"/>
          <w:sz w:val="28"/>
          <w:szCs w:val="28"/>
        </w:rPr>
        <w:t>（2）应急指挥</w:t>
      </w:r>
      <w:r>
        <w:rPr>
          <w:rFonts w:hint="eastAsia" w:eastAsia="仿宋"/>
          <w:sz w:val="28"/>
          <w:szCs w:val="28"/>
        </w:rPr>
        <w:t>部</w:t>
      </w:r>
      <w:r>
        <w:rPr>
          <w:rFonts w:eastAsia="仿宋"/>
          <w:sz w:val="28"/>
          <w:szCs w:val="28"/>
        </w:rPr>
        <w:t>办公室向所属各专业应急救援队伍下达应急终止命令；</w:t>
      </w:r>
    </w:p>
    <w:p w14:paraId="21B39F66">
      <w:pPr>
        <w:autoSpaceDE w:val="0"/>
        <w:autoSpaceDN w:val="0"/>
        <w:adjustRightInd w:val="0"/>
        <w:ind w:firstLine="560" w:firstLineChars="200"/>
        <w:rPr>
          <w:rFonts w:eastAsia="仿宋"/>
          <w:sz w:val="28"/>
          <w:szCs w:val="28"/>
        </w:rPr>
      </w:pPr>
      <w:r>
        <w:rPr>
          <w:rFonts w:eastAsia="仿宋"/>
          <w:sz w:val="28"/>
          <w:szCs w:val="28"/>
        </w:rPr>
        <w:t>（3）应急状态终止后，应根据有关指示和实际情况，继续进行环境监测和评价工作。</w:t>
      </w:r>
    </w:p>
    <w:p w14:paraId="5451D554">
      <w:pPr>
        <w:pStyle w:val="4"/>
        <w:spacing w:before="120" w:after="120"/>
        <w:rPr>
          <w:rFonts w:eastAsia="仿宋"/>
          <w:sz w:val="28"/>
        </w:rPr>
      </w:pPr>
      <w:r>
        <w:rPr>
          <w:rFonts w:eastAsia="仿宋"/>
          <w:sz w:val="28"/>
        </w:rPr>
        <w:t>4.9.3 应急终止后的行动</w:t>
      </w:r>
    </w:p>
    <w:p w14:paraId="47253D67">
      <w:pPr>
        <w:autoSpaceDE w:val="0"/>
        <w:autoSpaceDN w:val="0"/>
        <w:adjustRightInd w:val="0"/>
        <w:ind w:firstLine="560" w:firstLineChars="200"/>
        <w:rPr>
          <w:rFonts w:eastAsia="仿宋"/>
          <w:sz w:val="28"/>
          <w:szCs w:val="28"/>
        </w:rPr>
      </w:pPr>
      <w:r>
        <w:rPr>
          <w:rFonts w:eastAsia="仿宋"/>
          <w:sz w:val="28"/>
          <w:szCs w:val="28"/>
        </w:rPr>
        <w:t>（1）突发性环境污染事故应急处理工作结束后，组织相关部门认真总结、分析、吸取事故教训，及时进行整改；</w:t>
      </w:r>
    </w:p>
    <w:p w14:paraId="69071FD0">
      <w:pPr>
        <w:autoSpaceDE w:val="0"/>
        <w:autoSpaceDN w:val="0"/>
        <w:adjustRightInd w:val="0"/>
        <w:ind w:firstLine="560" w:firstLineChars="200"/>
        <w:rPr>
          <w:rFonts w:eastAsia="仿宋"/>
          <w:sz w:val="28"/>
          <w:szCs w:val="28"/>
        </w:rPr>
      </w:pPr>
      <w:r>
        <w:rPr>
          <w:rFonts w:eastAsia="仿宋"/>
          <w:sz w:val="28"/>
          <w:szCs w:val="28"/>
        </w:rPr>
        <w:t>（2）组织各专业组对应急计划和实施程序的有效性、应急装备的可行性、应急人员的素质和反应速度等作出评价，并提出对应急预案的修改意见。</w:t>
      </w:r>
    </w:p>
    <w:p w14:paraId="619F0BB7">
      <w:pPr>
        <w:autoSpaceDE w:val="0"/>
        <w:autoSpaceDN w:val="0"/>
        <w:adjustRightInd w:val="0"/>
        <w:ind w:firstLine="560" w:firstLineChars="200"/>
        <w:rPr>
          <w:rFonts w:eastAsia="仿宋"/>
          <w:sz w:val="28"/>
          <w:szCs w:val="28"/>
        </w:rPr>
      </w:pPr>
      <w:r>
        <w:rPr>
          <w:rFonts w:eastAsia="仿宋"/>
          <w:sz w:val="28"/>
          <w:szCs w:val="28"/>
        </w:rPr>
        <w:t>（3）参加应急行动的部门负责组织、指导环境应急队伍维护、保养应急仪器设备，使之始终保持良好的技术状态。</w:t>
      </w:r>
    </w:p>
    <w:p w14:paraId="63519D62">
      <w:pPr>
        <w:rPr>
          <w:rFonts w:eastAsia="仿宋"/>
        </w:rPr>
      </w:pPr>
    </w:p>
    <w:p w14:paraId="38B08078">
      <w:pPr>
        <w:rPr>
          <w:rFonts w:eastAsia="仿宋"/>
        </w:rPr>
      </w:pPr>
    </w:p>
    <w:p w14:paraId="64D4A672">
      <w:pPr>
        <w:rPr>
          <w:rFonts w:eastAsia="仿宋"/>
        </w:rPr>
      </w:pPr>
    </w:p>
    <w:p w14:paraId="3B293853">
      <w:pPr>
        <w:rPr>
          <w:rFonts w:eastAsia="仿宋"/>
        </w:rPr>
      </w:pPr>
    </w:p>
    <w:p w14:paraId="040F69E8">
      <w:pPr>
        <w:rPr>
          <w:rFonts w:eastAsia="仿宋"/>
        </w:rPr>
      </w:pPr>
    </w:p>
    <w:p w14:paraId="2EB91352">
      <w:pPr>
        <w:rPr>
          <w:rFonts w:eastAsia="仿宋"/>
        </w:rPr>
      </w:pPr>
    </w:p>
    <w:p w14:paraId="5F53BF12">
      <w:pPr>
        <w:rPr>
          <w:rFonts w:eastAsia="仿宋"/>
        </w:rPr>
        <w:sectPr>
          <w:pgSz w:w="11906" w:h="16838"/>
          <w:pgMar w:top="1440" w:right="1644" w:bottom="1440" w:left="1644" w:header="851" w:footer="992" w:gutter="0"/>
          <w:cols w:space="425" w:num="1"/>
          <w:docGrid w:type="lines" w:linePitch="312" w:charSpace="0"/>
        </w:sectPr>
      </w:pPr>
    </w:p>
    <w:p w14:paraId="24B64A0D">
      <w:pPr>
        <w:widowControl/>
        <w:spacing w:line="240" w:lineRule="auto"/>
        <w:jc w:val="center"/>
        <w:outlineLvl w:val="0"/>
        <w:rPr>
          <w:rFonts w:eastAsia="仿宋"/>
          <w:b/>
          <w:bCs/>
          <w:sz w:val="32"/>
          <w:szCs w:val="28"/>
        </w:rPr>
      </w:pPr>
      <w:bookmarkStart w:id="93" w:name="_Toc60930804"/>
      <w:r>
        <w:rPr>
          <w:rFonts w:eastAsia="仿宋"/>
          <w:b/>
          <w:bCs/>
          <w:sz w:val="32"/>
          <w:szCs w:val="28"/>
        </w:rPr>
        <w:t>5  后期工作</w:t>
      </w:r>
      <w:bookmarkEnd w:id="93"/>
    </w:p>
    <w:p w14:paraId="0203542D">
      <w:pPr>
        <w:spacing w:line="240" w:lineRule="auto"/>
        <w:rPr>
          <w:rFonts w:eastAsia="仿宋"/>
        </w:rPr>
      </w:pPr>
    </w:p>
    <w:p w14:paraId="4BE1A71F">
      <w:pPr>
        <w:pStyle w:val="3"/>
        <w:rPr>
          <w:rFonts w:eastAsia="仿宋"/>
          <w:sz w:val="32"/>
        </w:rPr>
      </w:pPr>
      <w:bookmarkStart w:id="94" w:name="_Toc60930805"/>
      <w:r>
        <w:rPr>
          <w:rFonts w:eastAsia="仿宋"/>
          <w:sz w:val="32"/>
        </w:rPr>
        <w:t>5.1 后期防控</w:t>
      </w:r>
      <w:bookmarkEnd w:id="94"/>
    </w:p>
    <w:p w14:paraId="3CFD7E6A">
      <w:pPr>
        <w:ind w:firstLine="560" w:firstLineChars="200"/>
        <w:rPr>
          <w:rFonts w:eastAsia="仿宋"/>
          <w:sz w:val="28"/>
          <w:szCs w:val="28"/>
        </w:rPr>
      </w:pPr>
      <w:r>
        <w:rPr>
          <w:rFonts w:eastAsia="仿宋"/>
          <w:sz w:val="28"/>
          <w:szCs w:val="28"/>
        </w:rPr>
        <w:t>饮用水源地突发环境事件应急处置结束后，由贵阳市生态环境局花溪分局负责响应终止后污染防控工作。如针对泄漏的油品、化学品进行回收；进行后期污染监测和治理，消除投放药剂的残留毒性和后期效应，防止次生突发环境事件；事故场地及漫延区域的污染物清除完成后，对土壤或水生态系统进行修复；部分污染物导流到水源地下游或其他区域，对这些区域的污染物进行清除等。</w:t>
      </w:r>
    </w:p>
    <w:p w14:paraId="3F0FE475">
      <w:pPr>
        <w:pStyle w:val="3"/>
        <w:rPr>
          <w:rFonts w:eastAsia="仿宋"/>
          <w:sz w:val="32"/>
        </w:rPr>
      </w:pPr>
      <w:bookmarkStart w:id="95" w:name="_Toc60930806"/>
      <w:r>
        <w:rPr>
          <w:rFonts w:eastAsia="仿宋"/>
          <w:sz w:val="32"/>
        </w:rPr>
        <w:t>5.2 事件调查</w:t>
      </w:r>
      <w:bookmarkEnd w:id="95"/>
    </w:p>
    <w:p w14:paraId="3600C626">
      <w:pPr>
        <w:autoSpaceDE w:val="0"/>
        <w:autoSpaceDN w:val="0"/>
        <w:adjustRightInd w:val="0"/>
        <w:ind w:firstLine="560" w:firstLineChars="200"/>
        <w:rPr>
          <w:rFonts w:eastAsia="仿宋"/>
          <w:sz w:val="28"/>
          <w:szCs w:val="28"/>
        </w:rPr>
      </w:pPr>
      <w:r>
        <w:rPr>
          <w:rFonts w:eastAsia="仿宋"/>
          <w:sz w:val="28"/>
          <w:szCs w:val="28"/>
        </w:rPr>
        <w:t>突发环境事件应急工作结束后，根据《突发环境事件调查处理办法》（部令第32号）规定，重大和特别重大突发环境事件由生态环境部负责组织调查处理；</w:t>
      </w:r>
      <w:r>
        <w:rPr>
          <w:rFonts w:hint="eastAsia" w:eastAsia="仿宋"/>
          <w:sz w:val="28"/>
          <w:szCs w:val="28"/>
        </w:rPr>
        <w:t>贵州省</w:t>
      </w:r>
      <w:r>
        <w:rPr>
          <w:rFonts w:eastAsia="仿宋"/>
          <w:sz w:val="28"/>
          <w:szCs w:val="28"/>
        </w:rPr>
        <w:t>生态环境厅负责组织较大突发环境事件的调查处理；</w:t>
      </w:r>
      <w:r>
        <w:rPr>
          <w:rFonts w:hint="eastAsia" w:eastAsia="仿宋"/>
          <w:sz w:val="28"/>
          <w:szCs w:val="28"/>
        </w:rPr>
        <w:t>贵阳</w:t>
      </w:r>
      <w:r>
        <w:rPr>
          <w:rFonts w:eastAsia="仿宋"/>
          <w:sz w:val="28"/>
          <w:szCs w:val="28"/>
        </w:rPr>
        <w:t>市生态环境</w:t>
      </w:r>
      <w:r>
        <w:rPr>
          <w:rFonts w:hint="eastAsia" w:eastAsia="仿宋"/>
          <w:sz w:val="28"/>
          <w:szCs w:val="28"/>
        </w:rPr>
        <w:t>局</w:t>
      </w:r>
      <w:r>
        <w:rPr>
          <w:rFonts w:eastAsia="仿宋"/>
          <w:sz w:val="28"/>
          <w:szCs w:val="28"/>
        </w:rPr>
        <w:t>视情况组织一般突发环境事件的调查处理。查明原因、性质、人员伤亡、经济损失、影响范围等情况，提出防范、整改措施和处理建议，后及时将调查结果报同级人民政府。</w:t>
      </w:r>
    </w:p>
    <w:p w14:paraId="25591479">
      <w:pPr>
        <w:ind w:firstLine="480"/>
        <w:rPr>
          <w:rFonts w:eastAsia="仿宋"/>
          <w:sz w:val="28"/>
          <w:szCs w:val="28"/>
        </w:rPr>
      </w:pPr>
      <w:r>
        <w:rPr>
          <w:rFonts w:eastAsia="仿宋"/>
          <w:sz w:val="28"/>
          <w:szCs w:val="28"/>
        </w:rPr>
        <w:t>调查报告应包括的主要内容：</w:t>
      </w:r>
    </w:p>
    <w:p w14:paraId="16AFEAE3">
      <w:pPr>
        <w:ind w:firstLine="480"/>
        <w:rPr>
          <w:rFonts w:eastAsia="仿宋"/>
          <w:sz w:val="28"/>
          <w:szCs w:val="28"/>
        </w:rPr>
      </w:pPr>
      <w:r>
        <w:rPr>
          <w:rFonts w:eastAsia="仿宋"/>
          <w:sz w:val="28"/>
          <w:szCs w:val="28"/>
        </w:rPr>
        <w:t>（1）整理和审查所有应急记录和文件等资料；</w:t>
      </w:r>
    </w:p>
    <w:p w14:paraId="0B5D7A12">
      <w:pPr>
        <w:ind w:firstLine="480"/>
        <w:rPr>
          <w:rFonts w:eastAsia="仿宋"/>
          <w:sz w:val="28"/>
          <w:szCs w:val="28"/>
        </w:rPr>
      </w:pPr>
      <w:r>
        <w:rPr>
          <w:rFonts w:eastAsia="仿宋"/>
          <w:sz w:val="28"/>
          <w:szCs w:val="28"/>
        </w:rPr>
        <w:t>（2）分析、评估事件原因、过程及后果（包括伤亡、经济损失）；</w:t>
      </w:r>
    </w:p>
    <w:p w14:paraId="79D64E51">
      <w:pPr>
        <w:ind w:firstLine="480"/>
        <w:rPr>
          <w:rFonts w:eastAsia="仿宋"/>
          <w:sz w:val="28"/>
          <w:szCs w:val="28"/>
        </w:rPr>
      </w:pPr>
      <w:r>
        <w:rPr>
          <w:rFonts w:eastAsia="仿宋"/>
          <w:sz w:val="28"/>
          <w:szCs w:val="28"/>
        </w:rPr>
        <w:t>（3）分析、评估主要应急措施及其有效性；</w:t>
      </w:r>
    </w:p>
    <w:p w14:paraId="3C7F9FC3">
      <w:pPr>
        <w:ind w:firstLine="480"/>
        <w:rPr>
          <w:rFonts w:eastAsia="仿宋"/>
          <w:sz w:val="28"/>
          <w:szCs w:val="28"/>
        </w:rPr>
      </w:pPr>
      <w:r>
        <w:rPr>
          <w:rFonts w:eastAsia="仿宋"/>
          <w:sz w:val="28"/>
          <w:szCs w:val="28"/>
        </w:rPr>
        <w:t>（4）事件结论、主要经验教训，责任人认定及处理意见，各种必要的附件等；</w:t>
      </w:r>
    </w:p>
    <w:p w14:paraId="49593441">
      <w:pPr>
        <w:ind w:firstLine="480"/>
        <w:rPr>
          <w:rFonts w:eastAsia="仿宋"/>
          <w:sz w:val="28"/>
          <w:szCs w:val="28"/>
        </w:rPr>
      </w:pPr>
      <w:r>
        <w:rPr>
          <w:rFonts w:eastAsia="仿宋"/>
          <w:sz w:val="28"/>
          <w:szCs w:val="28"/>
        </w:rPr>
        <w:t>（5）从饮用水水源地保护规划、管理等方面提出改进建议等。</w:t>
      </w:r>
    </w:p>
    <w:p w14:paraId="7DE4B43B">
      <w:pPr>
        <w:rPr>
          <w:rFonts w:eastAsia="仿宋"/>
          <w:sz w:val="28"/>
          <w:szCs w:val="28"/>
        </w:rPr>
      </w:pPr>
      <w:r>
        <w:rPr>
          <w:rFonts w:eastAsia="仿宋"/>
          <w:sz w:val="28"/>
          <w:szCs w:val="28"/>
        </w:rPr>
        <w:t>事件调查结束后，各应急组要全面总结应急处置工作。对整个事件有关的资料，包括电话记录、现场调查、监测记录、检验报告、信息分析、决策记录、执法文书、调查处理总结报告等，进行整理、补漏、分类、归档，并形成书面材料。</w:t>
      </w:r>
    </w:p>
    <w:p w14:paraId="6096CC47">
      <w:pPr>
        <w:pStyle w:val="3"/>
        <w:rPr>
          <w:rFonts w:eastAsia="仿宋"/>
          <w:sz w:val="32"/>
        </w:rPr>
      </w:pPr>
      <w:bookmarkStart w:id="96" w:name="_Toc60930807"/>
      <w:r>
        <w:rPr>
          <w:rFonts w:eastAsia="仿宋"/>
          <w:sz w:val="32"/>
        </w:rPr>
        <w:t>5.3 损害评估</w:t>
      </w:r>
      <w:bookmarkEnd w:id="96"/>
    </w:p>
    <w:p w14:paraId="0941ACA9">
      <w:pPr>
        <w:ind w:firstLine="560" w:firstLineChars="200"/>
        <w:rPr>
          <w:rFonts w:eastAsia="仿宋"/>
          <w:sz w:val="28"/>
          <w:szCs w:val="28"/>
        </w:rPr>
      </w:pPr>
      <w:r>
        <w:rPr>
          <w:rFonts w:eastAsia="仿宋"/>
          <w:sz w:val="28"/>
          <w:szCs w:val="28"/>
        </w:rPr>
        <w:t>突发环境事件应急响应终止后，及时组织开展污染损害评估，并将评估结果向社会公布。评估结论作为事件调查处理、损害赔偿、环境修复和生态恢复重建的依据。</w:t>
      </w:r>
    </w:p>
    <w:p w14:paraId="6789ACE2">
      <w:pPr>
        <w:ind w:firstLine="480"/>
        <w:rPr>
          <w:rFonts w:eastAsia="仿宋"/>
          <w:sz w:val="28"/>
          <w:szCs w:val="28"/>
        </w:rPr>
      </w:pPr>
      <w:r>
        <w:rPr>
          <w:rFonts w:eastAsia="仿宋"/>
          <w:sz w:val="28"/>
          <w:szCs w:val="28"/>
        </w:rPr>
        <w:t>对于特别重大和重大饮用水水源地地突发环境事件，由</w:t>
      </w:r>
      <w:r>
        <w:rPr>
          <w:rFonts w:hint="eastAsia" w:eastAsia="仿宋"/>
          <w:sz w:val="28"/>
          <w:szCs w:val="28"/>
        </w:rPr>
        <w:t>贵州</w:t>
      </w:r>
      <w:r>
        <w:rPr>
          <w:rFonts w:eastAsia="仿宋"/>
          <w:sz w:val="28"/>
          <w:szCs w:val="28"/>
        </w:rPr>
        <w:t>省生态环境厅组织相关技术机构开展污染损害评估工作；对于较大饮用水水源地地突发环境事件，由贵阳市生态环境局组织开展污染损害评估工作；对于一般饮用水水源地地突发环境事件，由贵阳市生态环境局花溪分局负责组织开展污染损害评估工作。对于初步认定为一般饮用水水源地地突发环境事件，可以不开展污染损害评估工作。评估结论作为事件调查处理、损害赔偿、环境修复和生态恢复重建的依据。跨行政区域的饮用水水源地地突发环境事件的污染损害评估，由贵阳市生态环境局协调解决。</w:t>
      </w:r>
    </w:p>
    <w:p w14:paraId="697C8D2A">
      <w:pPr>
        <w:ind w:firstLine="560" w:firstLineChars="200"/>
        <w:rPr>
          <w:rFonts w:eastAsia="仿宋"/>
          <w:sz w:val="28"/>
          <w:szCs w:val="28"/>
        </w:rPr>
      </w:pPr>
      <w:r>
        <w:rPr>
          <w:rFonts w:eastAsia="仿宋"/>
          <w:sz w:val="28"/>
          <w:szCs w:val="28"/>
        </w:rPr>
        <w:t>污染损害评估工作于处置工作结束后30个工作日内完成，情况特别复杂的，经主管部门批准后，可以延长30个工作日。</w:t>
      </w:r>
    </w:p>
    <w:p w14:paraId="70F892E6">
      <w:pPr>
        <w:pStyle w:val="3"/>
        <w:rPr>
          <w:rFonts w:eastAsia="仿宋"/>
          <w:sz w:val="32"/>
        </w:rPr>
      </w:pPr>
      <w:bookmarkStart w:id="97" w:name="_Toc60930808"/>
      <w:r>
        <w:rPr>
          <w:rFonts w:eastAsia="仿宋"/>
          <w:sz w:val="32"/>
        </w:rPr>
        <w:t>5.4 善后处置</w:t>
      </w:r>
      <w:bookmarkEnd w:id="97"/>
    </w:p>
    <w:p w14:paraId="67346AF7">
      <w:pPr>
        <w:ind w:firstLine="480"/>
        <w:rPr>
          <w:rFonts w:eastAsia="仿宋"/>
          <w:sz w:val="28"/>
          <w:szCs w:val="28"/>
        </w:rPr>
      </w:pPr>
      <w:r>
        <w:rPr>
          <w:rFonts w:eastAsia="仿宋"/>
          <w:sz w:val="28"/>
          <w:szCs w:val="28"/>
        </w:rPr>
        <w:t>善后处置工作包括损害赔偿、风险源整改和污染场地修复等具体工作方案，对事故后的损失、损害进行善后处理、清查短缺物资或临时征用物资、与相关部门协商索赔事宜。主要开展工作包括：</w:t>
      </w:r>
    </w:p>
    <w:p w14:paraId="31DDC958">
      <w:pPr>
        <w:ind w:firstLine="480"/>
        <w:rPr>
          <w:rFonts w:eastAsia="仿宋"/>
          <w:sz w:val="28"/>
          <w:szCs w:val="28"/>
        </w:rPr>
      </w:pPr>
      <w:r>
        <w:rPr>
          <w:rFonts w:eastAsia="仿宋"/>
          <w:sz w:val="28"/>
          <w:szCs w:val="28"/>
        </w:rPr>
        <w:t>（1）善后工作组负责对受灾人员的安置及损失赔偿工作。</w:t>
      </w:r>
    </w:p>
    <w:p w14:paraId="4EB3A7E9">
      <w:pPr>
        <w:ind w:firstLine="480"/>
        <w:rPr>
          <w:rFonts w:eastAsia="仿宋"/>
          <w:sz w:val="28"/>
          <w:szCs w:val="28"/>
        </w:rPr>
      </w:pPr>
      <w:r>
        <w:rPr>
          <w:rFonts w:eastAsia="仿宋"/>
          <w:sz w:val="28"/>
          <w:szCs w:val="28"/>
        </w:rPr>
        <w:t>（2）组织专家对突发环境事件中长期环境影响进行评估，提出生态补偿和对遭受污染的生态环境进行恢复的建议。随时掌握污染变化情况，根据监测情况，并结合专家意见采取有效的治理措施，直到确认污染已经恢复到常态水平。</w:t>
      </w:r>
    </w:p>
    <w:p w14:paraId="37113E6E">
      <w:pPr>
        <w:ind w:firstLine="480"/>
        <w:rPr>
          <w:rFonts w:eastAsia="仿宋"/>
          <w:sz w:val="28"/>
          <w:szCs w:val="28"/>
        </w:rPr>
      </w:pPr>
      <w:r>
        <w:rPr>
          <w:rFonts w:eastAsia="仿宋"/>
          <w:sz w:val="28"/>
          <w:szCs w:val="28"/>
        </w:rPr>
        <w:t>（3）参加应急行动的部门负责组织、指导应急队伍维护、应急仪器设备保养，使之保持良好的技术状态。</w:t>
      </w:r>
    </w:p>
    <w:p w14:paraId="66FEA680">
      <w:pPr>
        <w:ind w:firstLine="480"/>
        <w:rPr>
          <w:rFonts w:eastAsia="仿宋"/>
          <w:sz w:val="28"/>
          <w:szCs w:val="28"/>
        </w:rPr>
      </w:pPr>
      <w:r>
        <w:rPr>
          <w:rFonts w:eastAsia="仿宋"/>
          <w:sz w:val="28"/>
          <w:szCs w:val="28"/>
        </w:rPr>
        <w:t>（4）卫生防疫部门要做好灾害事故现场的消毒与疫情的监控工作。在应急处置过程中征用的救治、救援物资，交通工具及设施、设备等，应依据有关标准和程序给予补偿。</w:t>
      </w:r>
    </w:p>
    <w:p w14:paraId="63ECE2ED">
      <w:pPr>
        <w:ind w:firstLine="480"/>
        <w:rPr>
          <w:rFonts w:eastAsia="仿宋"/>
          <w:sz w:val="28"/>
          <w:szCs w:val="28"/>
        </w:rPr>
      </w:pPr>
      <w:r>
        <w:rPr>
          <w:rFonts w:eastAsia="仿宋"/>
          <w:sz w:val="28"/>
          <w:szCs w:val="28"/>
        </w:rPr>
        <w:t>（5）奖励：在突发环境事件应急救援工作中，有下列突出表现的单位和个人，由有关部门给予表彰和奖励。奖励范围主要包括：出色完成应急处置任务；对防止或避免突发环境事件有功，使集体和人民群众的生命财产免受或者减少损失的；对突发环境事件应急准备与响应提出重大建议，实施效果显著的；有其他突出贡献的。</w:t>
      </w:r>
    </w:p>
    <w:p w14:paraId="6F03418F">
      <w:pPr>
        <w:ind w:firstLine="480"/>
        <w:rPr>
          <w:rFonts w:eastAsia="仿宋"/>
          <w:sz w:val="28"/>
          <w:szCs w:val="28"/>
        </w:rPr>
      </w:pPr>
      <w:r>
        <w:rPr>
          <w:rFonts w:eastAsia="仿宋"/>
          <w:sz w:val="28"/>
          <w:szCs w:val="28"/>
        </w:rPr>
        <w:t>（6）责任追究：在突发环境事件应急工作中，有下列行为之一的，按照情节轻重和危害后果，对直接责任人及单位主要负责人给予相应的行政处分，对有关单位给予通报批评；违反法律法规的，由有关部门依法予以处罚；构成犯罪的，由司法机关依法追究刑事责任。一是不认真履行法律、法规，引发突发环境事件的。二是不按照规定制定突发环境事件应急预案，拒绝承担突发环境事件应急准备义务的。三是不按规定报告、通报突发环境事件真实情况的。四是拒不执行突发环境事件应急预案，不服从命令和指挥，或者在突发环境事件应急响应时临阵脱逃的。五是盗窃、贪污、挪用突发环境事件应急工作资金、装备和物资的。六是阻碍突发环境事件应急工作人员依法执行职务或者进行破坏活动的。七是散布谣言，扰乱社会秩序的。八是对突发环境事件应急工作造成危害的其它行为。</w:t>
      </w:r>
    </w:p>
    <w:p w14:paraId="1F53C3C8">
      <w:pPr>
        <w:rPr>
          <w:rFonts w:eastAsia="仿宋"/>
          <w:sz w:val="28"/>
          <w:szCs w:val="28"/>
        </w:rPr>
      </w:pPr>
    </w:p>
    <w:p w14:paraId="4C56513B">
      <w:pPr>
        <w:rPr>
          <w:rFonts w:eastAsia="仿宋"/>
          <w:sz w:val="28"/>
          <w:szCs w:val="28"/>
        </w:rPr>
      </w:pPr>
    </w:p>
    <w:p w14:paraId="59B29538">
      <w:pPr>
        <w:rPr>
          <w:rFonts w:eastAsia="仿宋"/>
          <w:sz w:val="28"/>
          <w:szCs w:val="28"/>
        </w:rPr>
      </w:pPr>
    </w:p>
    <w:p w14:paraId="0C57B65F">
      <w:pPr>
        <w:rPr>
          <w:rFonts w:eastAsia="仿宋"/>
          <w:sz w:val="28"/>
          <w:szCs w:val="28"/>
        </w:rPr>
      </w:pPr>
    </w:p>
    <w:p w14:paraId="28CCB46D">
      <w:pPr>
        <w:rPr>
          <w:rFonts w:eastAsia="仿宋"/>
          <w:sz w:val="28"/>
          <w:szCs w:val="28"/>
        </w:rPr>
      </w:pPr>
    </w:p>
    <w:p w14:paraId="27987CA1">
      <w:pPr>
        <w:rPr>
          <w:rFonts w:eastAsia="仿宋"/>
          <w:sz w:val="28"/>
          <w:szCs w:val="28"/>
        </w:rPr>
      </w:pPr>
    </w:p>
    <w:p w14:paraId="4C314873">
      <w:pPr>
        <w:rPr>
          <w:rFonts w:eastAsia="仿宋"/>
          <w:sz w:val="28"/>
          <w:szCs w:val="28"/>
        </w:rPr>
      </w:pPr>
    </w:p>
    <w:p w14:paraId="202B4BF7">
      <w:pPr>
        <w:rPr>
          <w:rFonts w:eastAsia="仿宋"/>
          <w:sz w:val="28"/>
          <w:szCs w:val="28"/>
        </w:rPr>
      </w:pPr>
    </w:p>
    <w:p w14:paraId="16C94946">
      <w:pPr>
        <w:rPr>
          <w:rFonts w:eastAsia="仿宋"/>
          <w:sz w:val="28"/>
          <w:szCs w:val="28"/>
        </w:rPr>
      </w:pPr>
    </w:p>
    <w:p w14:paraId="762627BE">
      <w:pPr>
        <w:rPr>
          <w:rFonts w:eastAsia="仿宋"/>
          <w:sz w:val="28"/>
          <w:szCs w:val="28"/>
        </w:rPr>
        <w:sectPr>
          <w:pgSz w:w="11906" w:h="16838"/>
          <w:pgMar w:top="1440" w:right="1644" w:bottom="1440" w:left="1644" w:header="851" w:footer="992" w:gutter="0"/>
          <w:cols w:space="425" w:num="1"/>
          <w:docGrid w:type="lines" w:linePitch="312" w:charSpace="0"/>
        </w:sectPr>
      </w:pPr>
    </w:p>
    <w:p w14:paraId="47342045">
      <w:pPr>
        <w:widowControl/>
        <w:spacing w:line="240" w:lineRule="auto"/>
        <w:ind w:firstLine="643"/>
        <w:jc w:val="center"/>
        <w:outlineLvl w:val="0"/>
        <w:rPr>
          <w:rFonts w:eastAsia="仿宋"/>
          <w:b/>
          <w:bCs/>
          <w:sz w:val="32"/>
          <w:szCs w:val="28"/>
        </w:rPr>
      </w:pPr>
      <w:bookmarkStart w:id="98" w:name="_Toc60930809"/>
      <w:r>
        <w:rPr>
          <w:rFonts w:eastAsia="仿宋"/>
          <w:b/>
          <w:bCs/>
          <w:sz w:val="32"/>
          <w:szCs w:val="28"/>
        </w:rPr>
        <w:t>6  应急保障</w:t>
      </w:r>
      <w:bookmarkEnd w:id="98"/>
    </w:p>
    <w:p w14:paraId="48A5977A">
      <w:pPr>
        <w:spacing w:line="240" w:lineRule="auto"/>
        <w:rPr>
          <w:rFonts w:eastAsia="仿宋"/>
        </w:rPr>
      </w:pPr>
    </w:p>
    <w:p w14:paraId="1CCAE975">
      <w:pPr>
        <w:pStyle w:val="3"/>
        <w:rPr>
          <w:rFonts w:eastAsia="仿宋"/>
          <w:sz w:val="32"/>
        </w:rPr>
      </w:pPr>
      <w:bookmarkStart w:id="99" w:name="_Toc526772710"/>
      <w:bookmarkStart w:id="100" w:name="_Toc12922"/>
      <w:bookmarkStart w:id="101" w:name="_Toc60930810"/>
      <w:bookmarkStart w:id="102" w:name="_Toc29380"/>
      <w:r>
        <w:rPr>
          <w:rFonts w:eastAsia="仿宋"/>
          <w:sz w:val="32"/>
        </w:rPr>
        <w:t>6.1</w:t>
      </w:r>
      <w:bookmarkEnd w:id="99"/>
      <w:bookmarkEnd w:id="100"/>
      <w:r>
        <w:rPr>
          <w:rFonts w:eastAsia="仿宋"/>
          <w:sz w:val="32"/>
        </w:rPr>
        <w:t xml:space="preserve"> 通讯与信息保障</w:t>
      </w:r>
      <w:bookmarkEnd w:id="101"/>
      <w:bookmarkEnd w:id="102"/>
    </w:p>
    <w:p w14:paraId="66A84FC5">
      <w:pPr>
        <w:ind w:firstLine="480"/>
        <w:rPr>
          <w:rFonts w:eastAsia="仿宋"/>
          <w:sz w:val="28"/>
          <w:szCs w:val="28"/>
        </w:rPr>
      </w:pPr>
      <w:r>
        <w:rPr>
          <w:rFonts w:eastAsia="仿宋"/>
          <w:sz w:val="28"/>
          <w:szCs w:val="28"/>
        </w:rPr>
        <w:t>应及时向社会发布事件信息及应急处置进展情况。由应急指挥部授权，由</w:t>
      </w:r>
      <w:bookmarkStart w:id="103" w:name="_Hlk47993544"/>
      <w:r>
        <w:rPr>
          <w:rFonts w:hint="eastAsia" w:eastAsia="仿宋"/>
          <w:sz w:val="28"/>
          <w:szCs w:val="28"/>
        </w:rPr>
        <w:t>花溪区</w:t>
      </w:r>
      <w:r>
        <w:rPr>
          <w:rFonts w:eastAsia="仿宋"/>
          <w:sz w:val="28"/>
          <w:szCs w:val="28"/>
        </w:rPr>
        <w:t>委宣传部</w:t>
      </w:r>
      <w:bookmarkEnd w:id="103"/>
      <w:r>
        <w:rPr>
          <w:rFonts w:eastAsia="仿宋"/>
          <w:sz w:val="28"/>
          <w:szCs w:val="28"/>
        </w:rPr>
        <w:t>通过电视、报纸、广播、网络、短信等方式向社会公布。</w:t>
      </w:r>
    </w:p>
    <w:p w14:paraId="73D6E672">
      <w:pPr>
        <w:ind w:firstLine="480"/>
        <w:rPr>
          <w:rFonts w:eastAsia="仿宋"/>
          <w:sz w:val="28"/>
          <w:szCs w:val="28"/>
        </w:rPr>
      </w:pPr>
      <w:r>
        <w:rPr>
          <w:rFonts w:eastAsia="仿宋"/>
          <w:sz w:val="28"/>
          <w:szCs w:val="28"/>
        </w:rPr>
        <w:t>各应急成员单位确保通讯畅通。要充分发挥信息网络系统的作用，确保应急时能够统一调动有关人员，物资迅速到位。各级有关部门要建立和完善应急指挥系统、应急处置联动系统和预警系统。配备必要的有线、无线通信器材，确保本预案启动时应急指挥部、应急处置组、各应急组及有关部门之间的联络畅通。在饮用水水源地污染事故应急处置中，应急指挥、应急处置组、各相关部门在相互联络中应视具体通讯情况，遵循方便、快捷、高效的原则，选择使用各种通信设备。如：台式电话、高频无线电话、对讲机等通信设备。</w:t>
      </w:r>
    </w:p>
    <w:p w14:paraId="5CCF0D1D">
      <w:pPr>
        <w:pStyle w:val="3"/>
        <w:rPr>
          <w:rFonts w:eastAsia="仿宋"/>
          <w:sz w:val="32"/>
        </w:rPr>
      </w:pPr>
      <w:bookmarkStart w:id="104" w:name="_Toc24557"/>
      <w:bookmarkStart w:id="105" w:name="_Toc526772711"/>
      <w:bookmarkStart w:id="106" w:name="_Toc22075"/>
      <w:bookmarkStart w:id="107" w:name="_Toc60930811"/>
      <w:r>
        <w:rPr>
          <w:rFonts w:eastAsia="仿宋"/>
          <w:sz w:val="32"/>
        </w:rPr>
        <w:t>6.2 应急队伍保障</w:t>
      </w:r>
      <w:bookmarkEnd w:id="104"/>
      <w:bookmarkEnd w:id="105"/>
      <w:bookmarkEnd w:id="106"/>
      <w:bookmarkEnd w:id="107"/>
    </w:p>
    <w:p w14:paraId="39534E9E">
      <w:pPr>
        <w:ind w:firstLine="480"/>
        <w:rPr>
          <w:rFonts w:eastAsia="仿宋"/>
          <w:sz w:val="28"/>
          <w:szCs w:val="28"/>
        </w:rPr>
      </w:pPr>
      <w:r>
        <w:rPr>
          <w:rFonts w:hint="eastAsia" w:eastAsia="仿宋"/>
          <w:sz w:val="28"/>
          <w:szCs w:val="28"/>
        </w:rPr>
        <w:t>花溪区千人以上集中式饮用水水源地</w:t>
      </w:r>
      <w:r>
        <w:rPr>
          <w:rFonts w:eastAsia="仿宋"/>
          <w:sz w:val="28"/>
          <w:szCs w:val="28"/>
        </w:rPr>
        <w:t>突发环境事件应急指挥部办公室应组织相关成员单位及人员组成技术支撑、医学救援等组织机构，强化各专业环境应急救援队伍能力配套建设，建立健全突发环境事件应急专家库，提高突发环境事件快速响应及应急处置能力。</w:t>
      </w:r>
    </w:p>
    <w:p w14:paraId="00815F56">
      <w:pPr>
        <w:ind w:firstLine="480"/>
        <w:rPr>
          <w:rFonts w:eastAsia="仿宋"/>
          <w:sz w:val="28"/>
          <w:szCs w:val="28"/>
        </w:rPr>
      </w:pPr>
      <w:r>
        <w:rPr>
          <w:rFonts w:eastAsia="仿宋"/>
          <w:sz w:val="28"/>
          <w:szCs w:val="28"/>
        </w:rPr>
        <w:t>（1）应急监测队伍。由贵阳市生态环境局花溪分局牵头，组织开展环境事件应急处置工作；建立一支由环境监察和环境监测为主的应急现场调查侦检和监测的专业队伍，并配备必要的物资装备。</w:t>
      </w:r>
    </w:p>
    <w:p w14:paraId="428442AC">
      <w:pPr>
        <w:ind w:firstLine="480"/>
        <w:rPr>
          <w:rFonts w:eastAsia="仿宋"/>
          <w:sz w:val="28"/>
          <w:szCs w:val="28"/>
        </w:rPr>
      </w:pPr>
      <w:r>
        <w:rPr>
          <w:rFonts w:eastAsia="仿宋"/>
          <w:sz w:val="28"/>
          <w:szCs w:val="28"/>
        </w:rPr>
        <w:t>（2）其它应急队伍。武警、公安、消防队伍承担环境事件现场抢险和应急救援任务，现场指挥</w:t>
      </w:r>
      <w:r>
        <w:rPr>
          <w:rFonts w:hint="eastAsia" w:eastAsia="仿宋"/>
          <w:sz w:val="28"/>
          <w:szCs w:val="28"/>
        </w:rPr>
        <w:t>部</w:t>
      </w:r>
      <w:r>
        <w:rPr>
          <w:rFonts w:eastAsia="仿宋"/>
          <w:sz w:val="28"/>
          <w:szCs w:val="28"/>
        </w:rPr>
        <w:t>负责各抢险救灾队伍的指挥与协调。其他相关单位按照职责负责各专业队伍建设。</w:t>
      </w:r>
    </w:p>
    <w:p w14:paraId="036B6808">
      <w:pPr>
        <w:pStyle w:val="3"/>
        <w:rPr>
          <w:rFonts w:eastAsia="仿宋"/>
          <w:sz w:val="32"/>
        </w:rPr>
      </w:pPr>
      <w:bookmarkStart w:id="108" w:name="_Toc60930812"/>
      <w:bookmarkStart w:id="109" w:name="_Toc526772712"/>
      <w:bookmarkStart w:id="110" w:name="_Toc20065"/>
      <w:bookmarkStart w:id="111" w:name="_Toc23939"/>
      <w:r>
        <w:rPr>
          <w:rFonts w:eastAsia="仿宋"/>
          <w:sz w:val="32"/>
        </w:rPr>
        <w:t>6.3 应急物资保障</w:t>
      </w:r>
      <w:bookmarkEnd w:id="108"/>
      <w:bookmarkEnd w:id="109"/>
      <w:bookmarkEnd w:id="110"/>
      <w:bookmarkEnd w:id="111"/>
    </w:p>
    <w:p w14:paraId="6F5C0A4E">
      <w:pPr>
        <w:ind w:firstLine="480"/>
        <w:rPr>
          <w:rFonts w:eastAsia="仿宋"/>
          <w:sz w:val="28"/>
          <w:szCs w:val="28"/>
        </w:rPr>
      </w:pPr>
      <w:r>
        <w:rPr>
          <w:rFonts w:eastAsia="仿宋"/>
          <w:sz w:val="28"/>
          <w:szCs w:val="28"/>
        </w:rPr>
        <w:t>建立和完善应对集中式饮用水水源地突发环境事件的物资保障机制，满足处置工作的需求。</w:t>
      </w:r>
    </w:p>
    <w:p w14:paraId="11F8051D">
      <w:pPr>
        <w:ind w:firstLine="480"/>
        <w:rPr>
          <w:rFonts w:eastAsia="仿宋"/>
          <w:sz w:val="28"/>
          <w:szCs w:val="28"/>
        </w:rPr>
      </w:pPr>
      <w:r>
        <w:rPr>
          <w:rFonts w:eastAsia="仿宋"/>
          <w:sz w:val="28"/>
          <w:szCs w:val="28"/>
        </w:rPr>
        <w:t>（1）饮用水水源地地突发环境事件处置过程中，由应急保障组协调各相关职能部门应急物资的储存、调拨和紧急供应，保障抢险救援队伍的相应装备投入。</w:t>
      </w:r>
      <w:r>
        <w:rPr>
          <w:rFonts w:hint="eastAsia" w:eastAsia="仿宋"/>
          <w:sz w:val="28"/>
          <w:szCs w:val="28"/>
        </w:rPr>
        <w:t>花溪区发改</w:t>
      </w:r>
      <w:r>
        <w:rPr>
          <w:rFonts w:eastAsia="仿宋"/>
          <w:sz w:val="28"/>
          <w:szCs w:val="28"/>
        </w:rPr>
        <w:t>局、贵阳市生态环境局花溪分局负责组织、协调事发地区群众日常用水的市场供应。</w:t>
      </w:r>
      <w:r>
        <w:rPr>
          <w:rFonts w:hint="eastAsia" w:eastAsia="仿宋"/>
          <w:sz w:val="28"/>
          <w:szCs w:val="28"/>
        </w:rPr>
        <w:t>花溪区</w:t>
      </w:r>
      <w:r>
        <w:rPr>
          <w:rFonts w:eastAsia="仿宋"/>
          <w:sz w:val="28"/>
          <w:szCs w:val="28"/>
        </w:rPr>
        <w:t>卫生健康局负责组织药品的储存和供应。</w:t>
      </w:r>
    </w:p>
    <w:p w14:paraId="5EF60ABD">
      <w:pPr>
        <w:ind w:firstLine="480"/>
        <w:rPr>
          <w:rFonts w:eastAsia="仿宋"/>
          <w:sz w:val="28"/>
          <w:szCs w:val="28"/>
        </w:rPr>
      </w:pPr>
      <w:r>
        <w:rPr>
          <w:rFonts w:eastAsia="仿宋"/>
          <w:sz w:val="28"/>
          <w:szCs w:val="28"/>
        </w:rPr>
        <w:t>（2）建立饮用水水源地地突发环境事件应急物资储存、调拨和紧急配送系统，积极培育和提升紧急动员能力，确保救援物资器材和生活用品的应急供应。同时，积极探索由实物储备向生产潜力信息储备，通过建立应急生产启动运行机制，实现应急物资动态储备。</w:t>
      </w:r>
    </w:p>
    <w:p w14:paraId="06AC7328">
      <w:pPr>
        <w:ind w:firstLine="480"/>
        <w:rPr>
          <w:rFonts w:eastAsia="仿宋"/>
          <w:sz w:val="28"/>
          <w:szCs w:val="28"/>
        </w:rPr>
      </w:pPr>
      <w:r>
        <w:rPr>
          <w:rFonts w:eastAsia="仿宋"/>
          <w:sz w:val="28"/>
          <w:szCs w:val="28"/>
        </w:rPr>
        <w:t>（3）建立与其他</w:t>
      </w:r>
      <w:r>
        <w:rPr>
          <w:rFonts w:hint="eastAsia" w:eastAsia="仿宋"/>
          <w:sz w:val="28"/>
          <w:szCs w:val="28"/>
        </w:rPr>
        <w:t>区（</w:t>
      </w:r>
      <w:r>
        <w:rPr>
          <w:rFonts w:eastAsia="仿宋"/>
          <w:sz w:val="28"/>
          <w:szCs w:val="28"/>
        </w:rPr>
        <w:t>县</w:t>
      </w:r>
      <w:r>
        <w:rPr>
          <w:rFonts w:hint="eastAsia" w:eastAsia="仿宋"/>
          <w:sz w:val="28"/>
          <w:szCs w:val="28"/>
        </w:rPr>
        <w:t>\市）</w:t>
      </w:r>
      <w:r>
        <w:rPr>
          <w:rFonts w:eastAsia="仿宋"/>
          <w:sz w:val="28"/>
          <w:szCs w:val="28"/>
        </w:rPr>
        <w:t>之间的物资调剂供应渠道，以便需要时迅速调入应急物资；必要时，可依据相关法律法规，及时动员和征用社会物资。</w:t>
      </w:r>
    </w:p>
    <w:p w14:paraId="057938A7">
      <w:pPr>
        <w:pStyle w:val="3"/>
        <w:rPr>
          <w:rFonts w:eastAsia="仿宋"/>
          <w:sz w:val="32"/>
        </w:rPr>
      </w:pPr>
      <w:bookmarkStart w:id="112" w:name="_Toc14818"/>
      <w:bookmarkStart w:id="113" w:name="_Toc60930813"/>
      <w:bookmarkStart w:id="114" w:name="_Toc526772713"/>
      <w:bookmarkStart w:id="115" w:name="_Toc9215"/>
      <w:r>
        <w:rPr>
          <w:rFonts w:eastAsia="仿宋"/>
          <w:sz w:val="32"/>
        </w:rPr>
        <w:t>6.4 经费保障</w:t>
      </w:r>
      <w:bookmarkEnd w:id="112"/>
      <w:bookmarkEnd w:id="113"/>
      <w:bookmarkEnd w:id="114"/>
      <w:bookmarkEnd w:id="115"/>
    </w:p>
    <w:p w14:paraId="0CBE874C">
      <w:pPr>
        <w:ind w:firstLine="480"/>
        <w:rPr>
          <w:rFonts w:eastAsia="仿宋"/>
          <w:sz w:val="28"/>
          <w:szCs w:val="28"/>
        </w:rPr>
      </w:pPr>
      <w:r>
        <w:rPr>
          <w:rFonts w:hint="eastAsia" w:eastAsia="仿宋"/>
          <w:sz w:val="28"/>
          <w:szCs w:val="28"/>
        </w:rPr>
        <w:t>花溪区</w:t>
      </w:r>
      <w:r>
        <w:rPr>
          <w:rFonts w:eastAsia="仿宋"/>
          <w:sz w:val="28"/>
          <w:szCs w:val="28"/>
        </w:rPr>
        <w:t>人民政府负责保障饮用水水源地突发环境事件处置经费，建立应急经费快速拨付机制。饮用水水源地突发环境事件防范、应急设备、应急演练和应急处置工作所需经费由贵阳市生态环境局花溪分局、</w:t>
      </w:r>
      <w:r>
        <w:rPr>
          <w:rFonts w:hint="eastAsia" w:eastAsia="仿宋"/>
          <w:sz w:val="28"/>
          <w:szCs w:val="28"/>
        </w:rPr>
        <w:t>花溪区</w:t>
      </w:r>
      <w:r>
        <w:rPr>
          <w:rFonts w:eastAsia="仿宋"/>
          <w:sz w:val="28"/>
          <w:szCs w:val="28"/>
        </w:rPr>
        <w:t>卫生健康局提出预算，经审核后批准后列入年度财政预算。饮用水水源地地污染事故所需各项经费，按照现行事权、财权划分原则，分级负担。饮用水水源地地污染事故应急保障资金的支出渠道以及拨付和使用的管理等，按现行规定执行：在紧急情况下，政府部门应当急事急办，特事特办，确保应急资金及时到位。对受饮用水水源地地污染事故影响较大的非事故责任的行业、企事业单位和个人，按国家有关政策给予补偿或救助。</w:t>
      </w:r>
      <w:r>
        <w:rPr>
          <w:rFonts w:hint="eastAsia" w:eastAsia="仿宋"/>
          <w:sz w:val="28"/>
          <w:szCs w:val="28"/>
        </w:rPr>
        <w:t>花溪区</w:t>
      </w:r>
      <w:r>
        <w:rPr>
          <w:rFonts w:eastAsia="仿宋"/>
          <w:sz w:val="28"/>
          <w:szCs w:val="28"/>
        </w:rPr>
        <w:t>人民政府对饮用水水源地地污染事故财政应急保障资金的使用和效果进行监管和评估。</w:t>
      </w:r>
    </w:p>
    <w:p w14:paraId="4A8BA9AC">
      <w:pPr>
        <w:pStyle w:val="3"/>
        <w:rPr>
          <w:rFonts w:eastAsia="仿宋"/>
          <w:sz w:val="32"/>
        </w:rPr>
      </w:pPr>
      <w:bookmarkStart w:id="116" w:name="_Toc16630"/>
      <w:bookmarkStart w:id="117" w:name="_Toc60930814"/>
      <w:bookmarkStart w:id="118" w:name="_Toc10116"/>
      <w:bookmarkStart w:id="119" w:name="_Toc526772714"/>
      <w:r>
        <w:rPr>
          <w:rFonts w:eastAsia="仿宋"/>
          <w:sz w:val="32"/>
        </w:rPr>
        <w:t>6.5其他保障</w:t>
      </w:r>
      <w:bookmarkEnd w:id="116"/>
      <w:bookmarkEnd w:id="117"/>
      <w:bookmarkEnd w:id="118"/>
      <w:bookmarkEnd w:id="119"/>
    </w:p>
    <w:p w14:paraId="0D5AAE34">
      <w:pPr>
        <w:ind w:firstLine="480"/>
        <w:rPr>
          <w:rFonts w:eastAsia="仿宋"/>
          <w:sz w:val="28"/>
          <w:szCs w:val="28"/>
        </w:rPr>
      </w:pPr>
      <w:r>
        <w:rPr>
          <w:rFonts w:eastAsia="仿宋"/>
          <w:b/>
          <w:sz w:val="28"/>
          <w:szCs w:val="28"/>
        </w:rPr>
        <w:t>（1）技术保障：</w:t>
      </w:r>
      <w:r>
        <w:rPr>
          <w:rFonts w:eastAsia="仿宋"/>
          <w:sz w:val="28"/>
          <w:szCs w:val="28"/>
        </w:rPr>
        <w:t>各相关单位、机构的监测、化验、试验分队和专家库都是应对饮用水水源地突发环境事件的重要技术保障力量，要及时提供现场救援和工程抢险技术信息和人力帮助，要建立储备数据库随时调用。特别地，建立含有环境监测、环境管理、危险化学品、分析化学、生物化工、水利水文、生态环境保护、环境评估、水文地质、水污染防治、农业及医疗卫生等行业的技术咨询专家系统数据库，全面提高应急指挥的效率；组建专家组，确保在启动预警前、事故发生后，相关专家迅速到位，为指挥决策提供服务尤为重要。</w:t>
      </w:r>
    </w:p>
    <w:p w14:paraId="52AB7021">
      <w:pPr>
        <w:ind w:firstLine="480"/>
        <w:rPr>
          <w:rFonts w:eastAsia="仿宋"/>
          <w:sz w:val="28"/>
          <w:szCs w:val="28"/>
        </w:rPr>
      </w:pPr>
      <w:r>
        <w:rPr>
          <w:rFonts w:eastAsia="仿宋"/>
          <w:b/>
          <w:sz w:val="28"/>
          <w:szCs w:val="28"/>
        </w:rPr>
        <w:t>（2）交通运输保障：</w:t>
      </w:r>
      <w:r>
        <w:rPr>
          <w:rFonts w:eastAsia="仿宋"/>
          <w:sz w:val="28"/>
          <w:szCs w:val="28"/>
        </w:rPr>
        <w:t>应急救援指挥办公室确保应急处置车辆的落实，加强对应急处置车辆的维护和管理，保证紧急情况下车辆的优先调度，确保应急处置工作的顺利开展。</w:t>
      </w:r>
    </w:p>
    <w:p w14:paraId="3F382D1D">
      <w:pPr>
        <w:ind w:firstLine="480"/>
        <w:rPr>
          <w:rFonts w:eastAsia="仿宋"/>
          <w:sz w:val="28"/>
          <w:szCs w:val="28"/>
        </w:rPr>
      </w:pPr>
      <w:r>
        <w:rPr>
          <w:rFonts w:eastAsia="仿宋"/>
          <w:b/>
          <w:sz w:val="28"/>
          <w:szCs w:val="28"/>
        </w:rPr>
        <w:t>（3）医疗保障：</w:t>
      </w:r>
      <w:r>
        <w:rPr>
          <w:rFonts w:eastAsia="仿宋"/>
          <w:sz w:val="28"/>
          <w:szCs w:val="28"/>
        </w:rPr>
        <w:t>应急指挥</w:t>
      </w:r>
      <w:r>
        <w:rPr>
          <w:rFonts w:hint="eastAsia" w:eastAsia="仿宋"/>
          <w:sz w:val="28"/>
          <w:szCs w:val="28"/>
        </w:rPr>
        <w:t>部</w:t>
      </w:r>
      <w:r>
        <w:rPr>
          <w:rFonts w:eastAsia="仿宋"/>
          <w:sz w:val="28"/>
          <w:szCs w:val="28"/>
        </w:rPr>
        <w:t>办公室加强与医疗救治单位的联系并签定互救协议，建立医疗救治信息，保证受伤人员得到及时救治，减少人员伤亡。</w:t>
      </w:r>
    </w:p>
    <w:p w14:paraId="5F199089">
      <w:pPr>
        <w:ind w:firstLine="480"/>
        <w:rPr>
          <w:rFonts w:eastAsia="仿宋"/>
          <w:sz w:val="28"/>
          <w:szCs w:val="28"/>
        </w:rPr>
      </w:pPr>
      <w:r>
        <w:rPr>
          <w:rFonts w:eastAsia="仿宋"/>
          <w:b/>
          <w:sz w:val="28"/>
          <w:szCs w:val="28"/>
        </w:rPr>
        <w:t>（4）治安保障：</w:t>
      </w:r>
      <w:r>
        <w:rPr>
          <w:rFonts w:eastAsia="仿宋"/>
          <w:sz w:val="28"/>
          <w:szCs w:val="28"/>
        </w:rPr>
        <w:t>积极协助、配合地方党委、政府及时疏散、撤离无关人员，加强事件现场周边的治安管理，维护社会治安，配合做好事件现场警戒，防止无关人员进入。</w:t>
      </w:r>
    </w:p>
    <w:p w14:paraId="78A9F3B3">
      <w:pPr>
        <w:ind w:firstLine="480"/>
        <w:rPr>
          <w:rFonts w:eastAsia="仿宋"/>
          <w:sz w:val="28"/>
          <w:szCs w:val="28"/>
        </w:rPr>
      </w:pPr>
      <w:r>
        <w:rPr>
          <w:rFonts w:eastAsia="仿宋"/>
          <w:b/>
          <w:sz w:val="28"/>
          <w:szCs w:val="28"/>
        </w:rPr>
        <w:t>（5）社会动员保障：</w:t>
      </w:r>
      <w:r>
        <w:rPr>
          <w:rFonts w:eastAsia="仿宋"/>
          <w:sz w:val="28"/>
          <w:szCs w:val="28"/>
        </w:rPr>
        <w:t>加强与相邻企业日常的沟通与协作，配合地方党委、政府，积极做好相邻区域、企业之间的联动工作。并与相关部门签定互救协议。</w:t>
      </w:r>
    </w:p>
    <w:p w14:paraId="3BE0D39B">
      <w:pPr>
        <w:ind w:firstLine="480"/>
        <w:rPr>
          <w:rFonts w:eastAsia="仿宋"/>
          <w:sz w:val="28"/>
          <w:szCs w:val="28"/>
        </w:rPr>
      </w:pPr>
      <w:r>
        <w:rPr>
          <w:rFonts w:eastAsia="仿宋"/>
          <w:b/>
          <w:sz w:val="28"/>
          <w:szCs w:val="28"/>
        </w:rPr>
        <w:t>（6）紧急避难场所保障：</w:t>
      </w:r>
      <w:r>
        <w:rPr>
          <w:rFonts w:eastAsia="仿宋"/>
          <w:sz w:val="28"/>
          <w:szCs w:val="28"/>
        </w:rPr>
        <w:t>按照突发环境事件类型，制定人员和财产的避难方案。协助配合地方党委、政府做好突发环境事件发生后人员和财产的疏散、避难工作。</w:t>
      </w:r>
    </w:p>
    <w:p w14:paraId="0E7EB87A">
      <w:pPr>
        <w:pStyle w:val="3"/>
        <w:rPr>
          <w:rFonts w:eastAsia="仿宋"/>
          <w:sz w:val="32"/>
        </w:rPr>
      </w:pPr>
      <w:bookmarkStart w:id="120" w:name="_Toc60930815"/>
      <w:bookmarkStart w:id="121" w:name="_Toc45007291"/>
      <w:r>
        <w:rPr>
          <w:rFonts w:eastAsia="仿宋"/>
          <w:sz w:val="32"/>
        </w:rPr>
        <w:t>6.6 宣传、培训与演练</w:t>
      </w:r>
      <w:bookmarkEnd w:id="120"/>
      <w:bookmarkEnd w:id="121"/>
    </w:p>
    <w:p w14:paraId="1D45B214">
      <w:pPr>
        <w:ind w:firstLine="480"/>
        <w:rPr>
          <w:rFonts w:eastAsia="仿宋"/>
          <w:sz w:val="28"/>
          <w:szCs w:val="28"/>
        </w:rPr>
      </w:pPr>
      <w:r>
        <w:rPr>
          <w:rFonts w:eastAsia="仿宋"/>
          <w:b/>
          <w:sz w:val="28"/>
          <w:szCs w:val="28"/>
        </w:rPr>
        <w:t>（1）公众宣传教育：</w:t>
      </w:r>
      <w:r>
        <w:rPr>
          <w:rFonts w:eastAsia="仿宋"/>
          <w:sz w:val="28"/>
          <w:szCs w:val="28"/>
        </w:rPr>
        <w:t>在饮用水源地利用信息公开栏的方式加强环保科普宣传教育工作，对于周边群众可以发放宣传单、张贴宣传挂图的方式进行。广泛宣传各类突发环境事件带来的危害和妥善处置、应对突发环境事件的重要性，普及发生突发环境事件预防常识，增强公众的防范意识和相关心理准备，提高公众的防范能力。</w:t>
      </w:r>
    </w:p>
    <w:p w14:paraId="1CF9BE6E">
      <w:pPr>
        <w:ind w:firstLine="480"/>
        <w:rPr>
          <w:rFonts w:eastAsia="仿宋"/>
          <w:sz w:val="28"/>
          <w:szCs w:val="28"/>
        </w:rPr>
      </w:pPr>
      <w:r>
        <w:rPr>
          <w:rFonts w:eastAsia="仿宋"/>
          <w:b/>
          <w:sz w:val="28"/>
          <w:szCs w:val="28"/>
        </w:rPr>
        <w:t>（2）培训计划：</w:t>
      </w:r>
      <w:r>
        <w:rPr>
          <w:rFonts w:eastAsia="仿宋"/>
          <w:sz w:val="28"/>
          <w:szCs w:val="28"/>
        </w:rPr>
        <w:t>每年至少举行一次环保知识培训，培训对象为有关领导和职工。对各级领导、应急管理人员、专业技术人员和重要目标工作人员进行突发环境事件应急培训。培训内容由理论培训和操作培训两部分组成。对专业技术人员的培训侧重于设施、设备和器材等的使用、操作和维护；对管理人员的培训要求理论操作并重，通过理论培训和模拟演习提高管理和应对能力。</w:t>
      </w:r>
    </w:p>
    <w:p w14:paraId="0C420FF7">
      <w:pPr>
        <w:ind w:firstLine="480"/>
        <w:rPr>
          <w:rFonts w:eastAsia="仿宋"/>
          <w:sz w:val="28"/>
          <w:szCs w:val="28"/>
        </w:rPr>
      </w:pPr>
      <w:r>
        <w:rPr>
          <w:rFonts w:eastAsia="仿宋"/>
          <w:b/>
          <w:sz w:val="28"/>
          <w:szCs w:val="28"/>
        </w:rPr>
        <w:t>（3）演练计划：</w:t>
      </w:r>
      <w:r>
        <w:rPr>
          <w:rFonts w:eastAsia="仿宋"/>
          <w:sz w:val="28"/>
          <w:szCs w:val="28"/>
        </w:rPr>
        <w:t>演练的目的是为了提高事件应急反应能力，检验应急反应中各环节是否快速、协调、有效运行。根据自身的环境污染事故每年至少举行一次实战或模拟演练。需要地方部门参与的，报请应急指挥部办公室批准后实施。通过演练，查漏洞、补措施，不断增强救援工作的时限性和有效性。</w:t>
      </w:r>
    </w:p>
    <w:p w14:paraId="2D9C7B7A">
      <w:pPr>
        <w:rPr>
          <w:rFonts w:eastAsia="仿宋"/>
          <w:sz w:val="28"/>
          <w:szCs w:val="28"/>
        </w:rPr>
        <w:sectPr>
          <w:pgSz w:w="11906" w:h="16838"/>
          <w:pgMar w:top="1440" w:right="1644" w:bottom="1440" w:left="1644" w:header="851" w:footer="992" w:gutter="0"/>
          <w:cols w:space="425" w:num="1"/>
          <w:docGrid w:type="lines" w:linePitch="312" w:charSpace="0"/>
        </w:sectPr>
      </w:pPr>
    </w:p>
    <w:p w14:paraId="71FDF72F">
      <w:pPr>
        <w:widowControl/>
        <w:spacing w:line="240" w:lineRule="auto"/>
        <w:ind w:firstLine="643"/>
        <w:jc w:val="center"/>
        <w:outlineLvl w:val="0"/>
        <w:rPr>
          <w:rFonts w:eastAsia="仿宋"/>
          <w:b/>
          <w:bCs/>
          <w:sz w:val="32"/>
          <w:szCs w:val="28"/>
        </w:rPr>
      </w:pPr>
      <w:bookmarkStart w:id="122" w:name="_Toc60930816"/>
      <w:r>
        <w:rPr>
          <w:rFonts w:eastAsia="仿宋"/>
          <w:b/>
          <w:bCs/>
          <w:sz w:val="32"/>
          <w:szCs w:val="28"/>
        </w:rPr>
        <w:t>7  附则</w:t>
      </w:r>
      <w:bookmarkEnd w:id="122"/>
    </w:p>
    <w:p w14:paraId="3235F5EC">
      <w:pPr>
        <w:pStyle w:val="3"/>
        <w:rPr>
          <w:rFonts w:eastAsia="仿宋"/>
          <w:sz w:val="32"/>
        </w:rPr>
      </w:pPr>
      <w:bookmarkStart w:id="123" w:name="_Toc60930817"/>
      <w:bookmarkStart w:id="124" w:name="_Toc10550"/>
      <w:r>
        <w:rPr>
          <w:rFonts w:eastAsia="仿宋"/>
          <w:sz w:val="32"/>
        </w:rPr>
        <w:t>7.1 名词解释</w:t>
      </w:r>
      <w:bookmarkEnd w:id="123"/>
      <w:bookmarkEnd w:id="124"/>
    </w:p>
    <w:p w14:paraId="656907F9">
      <w:pPr>
        <w:ind w:firstLine="480"/>
        <w:rPr>
          <w:rFonts w:eastAsia="仿宋"/>
          <w:sz w:val="28"/>
          <w:szCs w:val="28"/>
        </w:rPr>
      </w:pPr>
      <w:bookmarkStart w:id="125" w:name="_Toc20763"/>
      <w:r>
        <w:rPr>
          <w:rFonts w:eastAsia="仿宋"/>
          <w:b/>
          <w:bCs/>
          <w:sz w:val="28"/>
          <w:szCs w:val="28"/>
        </w:rPr>
        <w:t>饮用水水源地：</w:t>
      </w:r>
      <w:r>
        <w:rPr>
          <w:rFonts w:eastAsia="仿宋"/>
          <w:sz w:val="28"/>
          <w:szCs w:val="28"/>
        </w:rPr>
        <w:t>指各级政府已经划定的一、二级地表饮用水水源保护区，以及没有划定保护区的具有集中式地表饮用水供水功能的取水点及其周边一定区域，区域范围参照《饮用水水源保护区划分技术规范》（HJ/T338-2018）划分。</w:t>
      </w:r>
    </w:p>
    <w:p w14:paraId="0C6B48F7">
      <w:pPr>
        <w:ind w:firstLine="480"/>
        <w:rPr>
          <w:rFonts w:eastAsia="仿宋"/>
          <w:sz w:val="28"/>
          <w:szCs w:val="28"/>
        </w:rPr>
      </w:pPr>
      <w:r>
        <w:rPr>
          <w:rFonts w:eastAsia="仿宋"/>
          <w:b/>
          <w:bCs/>
          <w:sz w:val="28"/>
          <w:szCs w:val="28"/>
        </w:rPr>
        <w:t>饮用水水源管理部门：</w:t>
      </w:r>
      <w:r>
        <w:rPr>
          <w:rFonts w:eastAsia="仿宋"/>
          <w:sz w:val="28"/>
          <w:szCs w:val="28"/>
        </w:rPr>
        <w:t>指各级政府赋予的具有集中式地表饮用水水源管理职责的部门。各地承担该项职责的部门不同，主要由环保、水利、城建、卫生等部门、</w:t>
      </w:r>
    </w:p>
    <w:p w14:paraId="4E361318">
      <w:pPr>
        <w:ind w:firstLine="480"/>
        <w:rPr>
          <w:rFonts w:eastAsia="仿宋"/>
          <w:sz w:val="28"/>
          <w:szCs w:val="28"/>
        </w:rPr>
      </w:pPr>
      <w:r>
        <w:rPr>
          <w:rFonts w:eastAsia="仿宋"/>
          <w:b/>
          <w:bCs/>
          <w:sz w:val="28"/>
          <w:szCs w:val="28"/>
        </w:rPr>
        <w:t>风险源：</w:t>
      </w:r>
      <w:r>
        <w:rPr>
          <w:rFonts w:eastAsia="仿宋"/>
          <w:sz w:val="28"/>
          <w:szCs w:val="28"/>
        </w:rPr>
        <w:t>包括固定源、流动源、非点源。固定源是指排放有毒有害物质造成或能造成水源水质恶化的一切工况企业事业单位以及运输石化、化工产品的管线；流动源是指运输危险化学品、危险废物及其他影响饮用水安全物质的车辆、船舶等交通工具；非点源是指有可能对水源水质造成影响的没有固定污染排放点的畜禽水产养殖污水、农业灌溉尾水等。</w:t>
      </w:r>
    </w:p>
    <w:p w14:paraId="6C1DAA4B">
      <w:pPr>
        <w:ind w:firstLine="562" w:firstLineChars="200"/>
        <w:rPr>
          <w:rFonts w:eastAsia="仿宋"/>
          <w:sz w:val="28"/>
          <w:szCs w:val="28"/>
        </w:rPr>
      </w:pPr>
      <w:r>
        <w:rPr>
          <w:rFonts w:eastAsia="仿宋"/>
          <w:b/>
          <w:bCs/>
          <w:sz w:val="28"/>
          <w:szCs w:val="28"/>
        </w:rPr>
        <w:t>突发环境事件：</w:t>
      </w:r>
      <w:r>
        <w:rPr>
          <w:rFonts w:eastAsia="仿宋"/>
          <w:sz w:val="28"/>
          <w:szCs w:val="28"/>
        </w:rPr>
        <w:t>指突然发生，造成或者可能造成重大人员伤亡、重大财产损失和对全国或者某一地区的经济社会稳定、政治安定构成重大威胁和损害，有重大社会影响的涉及公共安全的环境事件。</w:t>
      </w:r>
    </w:p>
    <w:p w14:paraId="05443BCB">
      <w:pPr>
        <w:ind w:firstLine="480"/>
        <w:rPr>
          <w:rFonts w:eastAsia="仿宋"/>
          <w:sz w:val="28"/>
          <w:szCs w:val="28"/>
        </w:rPr>
      </w:pPr>
      <w:r>
        <w:rPr>
          <w:rFonts w:eastAsia="仿宋"/>
          <w:b/>
          <w:bCs/>
          <w:sz w:val="28"/>
          <w:szCs w:val="28"/>
        </w:rPr>
        <w:t>突发环境事件应急预案：</w:t>
      </w:r>
      <w:r>
        <w:rPr>
          <w:rFonts w:eastAsia="仿宋"/>
          <w:sz w:val="28"/>
          <w:szCs w:val="28"/>
        </w:rPr>
        <w:t>是指针对可能发生的突发环境事件，为确保迅速、有序、高效地开展应急处置，减少人员伤亡和经济损失而预先制定的计划或方案。</w:t>
      </w:r>
    </w:p>
    <w:p w14:paraId="1DF300F0">
      <w:pPr>
        <w:ind w:firstLine="562" w:firstLineChars="200"/>
        <w:rPr>
          <w:rFonts w:eastAsia="仿宋"/>
          <w:sz w:val="28"/>
          <w:szCs w:val="28"/>
        </w:rPr>
      </w:pPr>
      <w:r>
        <w:rPr>
          <w:rFonts w:eastAsia="仿宋"/>
          <w:b/>
          <w:bCs/>
          <w:sz w:val="28"/>
          <w:szCs w:val="28"/>
        </w:rPr>
        <w:t>预案分类：</w:t>
      </w:r>
      <w:r>
        <w:rPr>
          <w:rFonts w:eastAsia="仿宋"/>
          <w:sz w:val="28"/>
          <w:szCs w:val="28"/>
        </w:rPr>
        <w:t>根据突发环境事件的发生过程、性质和机理，突发环境事件主要分为三类：突发环境污染事件、生物物种安全环境事件和辐射环境污染事件。突发环境污染事件包括重点流域、敏感水域水环境污染事件；重点城市光化学烟雾污染事件；危险化学品、废弃化学品污染事件；海上石油勘探开发溢油事件；突发船舶污染事件等。生物物种安全环境事件主要是指生物物种受到不当采集、猎杀、走私、非法携带出入境或合作交换、工程建设危害以及外来入侵物种对生物多样性造成损失和对生态环境造成威胁和危害事件；辐射环境污染事件包括放射性同位素、放射源、辐射装置、放射性废物辐射污染事件。</w:t>
      </w:r>
    </w:p>
    <w:p w14:paraId="29871059">
      <w:pPr>
        <w:ind w:firstLine="562" w:firstLineChars="200"/>
        <w:rPr>
          <w:rFonts w:eastAsia="仿宋"/>
          <w:sz w:val="28"/>
          <w:szCs w:val="28"/>
        </w:rPr>
      </w:pPr>
      <w:r>
        <w:rPr>
          <w:rFonts w:eastAsia="仿宋"/>
          <w:b/>
          <w:bCs/>
          <w:sz w:val="28"/>
          <w:szCs w:val="28"/>
        </w:rPr>
        <w:t>环境应急：</w:t>
      </w:r>
      <w:r>
        <w:rPr>
          <w:rFonts w:eastAsia="仿宋"/>
          <w:sz w:val="28"/>
          <w:szCs w:val="28"/>
        </w:rPr>
        <w:t>针对可能或已发生的突发环境事件需要立即采取某些超出正常工作程序的行动，以避免事件发生或减轻事件后果的状态，也称为紧急状态；同时也泛指立即采取超出正常工作程序的行动。</w:t>
      </w:r>
    </w:p>
    <w:p w14:paraId="737BC41E">
      <w:pPr>
        <w:ind w:firstLine="480"/>
        <w:rPr>
          <w:rFonts w:eastAsia="仿宋"/>
          <w:sz w:val="28"/>
          <w:szCs w:val="28"/>
        </w:rPr>
      </w:pPr>
      <w:r>
        <w:rPr>
          <w:rFonts w:eastAsia="仿宋"/>
          <w:b/>
          <w:bCs/>
          <w:sz w:val="28"/>
          <w:szCs w:val="28"/>
        </w:rPr>
        <w:t>环境风险：</w:t>
      </w:r>
      <w:r>
        <w:rPr>
          <w:rFonts w:eastAsia="仿宋"/>
          <w:sz w:val="28"/>
          <w:szCs w:val="28"/>
        </w:rPr>
        <w:t>是指突发环境事件对环境（或健康）的危险程度。</w:t>
      </w:r>
    </w:p>
    <w:p w14:paraId="77603EF1">
      <w:pPr>
        <w:ind w:firstLine="480"/>
        <w:rPr>
          <w:rFonts w:eastAsia="仿宋"/>
          <w:sz w:val="28"/>
          <w:szCs w:val="28"/>
        </w:rPr>
      </w:pPr>
      <w:r>
        <w:rPr>
          <w:rFonts w:eastAsia="仿宋"/>
          <w:b/>
          <w:bCs/>
          <w:sz w:val="28"/>
          <w:szCs w:val="28"/>
        </w:rPr>
        <w:t>应急演练：</w:t>
      </w:r>
      <w:r>
        <w:rPr>
          <w:rFonts w:eastAsia="仿宋"/>
          <w:sz w:val="28"/>
          <w:szCs w:val="28"/>
        </w:rPr>
        <w:t>是指为检验应急预案的有效性、应急准备的完善性、应急响应能力的适应性和应急人员的协同性而进行的一种模拟应急响应的实践活动。</w:t>
      </w:r>
    </w:p>
    <w:p w14:paraId="2CC3B341">
      <w:pPr>
        <w:ind w:firstLine="480"/>
        <w:rPr>
          <w:rFonts w:eastAsia="仿宋"/>
          <w:sz w:val="28"/>
          <w:szCs w:val="28"/>
        </w:rPr>
      </w:pPr>
      <w:r>
        <w:rPr>
          <w:rFonts w:eastAsia="仿宋"/>
          <w:b/>
          <w:bCs/>
          <w:sz w:val="28"/>
          <w:szCs w:val="28"/>
        </w:rPr>
        <w:t>应急监测：</w:t>
      </w:r>
      <w:r>
        <w:rPr>
          <w:rFonts w:eastAsia="仿宋"/>
          <w:sz w:val="28"/>
          <w:szCs w:val="28"/>
        </w:rPr>
        <w:t>环境应急情况下，为发现和查明污染物质的种类、浓度、污染范围、发展变化趋势及其可能的危害等情况进行的环境监测。包括制定应急预案监测方案（确定监测范围、监测点位、监测项目、监测频次、监测方法）、采样与分析、监测结果与数据处理、监测过程质量控制、监测过程总结等。</w:t>
      </w:r>
    </w:p>
    <w:p w14:paraId="6DE8E940">
      <w:pPr>
        <w:pStyle w:val="3"/>
        <w:rPr>
          <w:rFonts w:eastAsia="仿宋"/>
          <w:sz w:val="32"/>
        </w:rPr>
      </w:pPr>
      <w:bookmarkStart w:id="126" w:name="_Toc60930818"/>
      <w:r>
        <w:rPr>
          <w:rFonts w:eastAsia="仿宋"/>
          <w:sz w:val="32"/>
        </w:rPr>
        <w:t>7.2 预案解释权属</w:t>
      </w:r>
      <w:bookmarkEnd w:id="125"/>
      <w:bookmarkEnd w:id="126"/>
    </w:p>
    <w:p w14:paraId="18268BF4">
      <w:pPr>
        <w:ind w:firstLine="480"/>
        <w:rPr>
          <w:rFonts w:eastAsia="仿宋"/>
          <w:sz w:val="28"/>
          <w:szCs w:val="28"/>
        </w:rPr>
      </w:pPr>
      <w:r>
        <w:rPr>
          <w:rFonts w:eastAsia="仿宋"/>
          <w:sz w:val="28"/>
          <w:szCs w:val="28"/>
        </w:rPr>
        <w:t>本预案由贵阳市生态环境局花溪分局负责解释。</w:t>
      </w:r>
    </w:p>
    <w:p w14:paraId="53863268">
      <w:pPr>
        <w:pStyle w:val="3"/>
        <w:rPr>
          <w:rFonts w:eastAsia="仿宋"/>
          <w:sz w:val="32"/>
        </w:rPr>
      </w:pPr>
      <w:bookmarkStart w:id="127" w:name="_Toc60930819"/>
      <w:bookmarkStart w:id="128" w:name="_Toc47940641"/>
      <w:bookmarkStart w:id="129" w:name="_Toc10285"/>
      <w:bookmarkStart w:id="130" w:name="_Toc7185"/>
      <w:r>
        <w:rPr>
          <w:rFonts w:eastAsia="仿宋"/>
          <w:sz w:val="32"/>
        </w:rPr>
        <w:t>7.3 预案演练和修订</w:t>
      </w:r>
      <w:bookmarkEnd w:id="127"/>
      <w:bookmarkEnd w:id="128"/>
      <w:bookmarkEnd w:id="129"/>
    </w:p>
    <w:p w14:paraId="15E56792">
      <w:pPr>
        <w:autoSpaceDE w:val="0"/>
        <w:autoSpaceDN w:val="0"/>
        <w:adjustRightInd w:val="0"/>
        <w:ind w:firstLine="560" w:firstLineChars="200"/>
        <w:jc w:val="left"/>
        <w:rPr>
          <w:rFonts w:eastAsia="仿宋"/>
          <w:sz w:val="28"/>
          <w:szCs w:val="28"/>
        </w:rPr>
      </w:pPr>
      <w:bookmarkStart w:id="131" w:name="_Toc27465"/>
      <w:bookmarkStart w:id="132" w:name="_Toc5224"/>
      <w:r>
        <w:rPr>
          <w:rFonts w:eastAsia="仿宋"/>
          <w:sz w:val="28"/>
          <w:szCs w:val="28"/>
        </w:rPr>
        <w:t>预案演练的目的是为了提高突发环境事件应急反应能力，检验应急反应中各环节是否快速、协调、有效运行，应根据自身情况每年至少举行一次实战或模拟演练。需要地方部门参与的，报请应急指挥部办公室批准后实施。通过演练，查漏洞、补措施，不断增强救援工作的时限性和有效性。</w:t>
      </w:r>
    </w:p>
    <w:p w14:paraId="21A5C4BA">
      <w:pPr>
        <w:pStyle w:val="4"/>
        <w:spacing w:before="120" w:after="120"/>
        <w:rPr>
          <w:rFonts w:eastAsia="仿宋"/>
          <w:sz w:val="28"/>
        </w:rPr>
      </w:pPr>
      <w:r>
        <w:rPr>
          <w:rFonts w:eastAsia="仿宋"/>
          <w:sz w:val="28"/>
        </w:rPr>
        <w:t>7.3.1预案演练及内容</w:t>
      </w:r>
    </w:p>
    <w:p w14:paraId="5FC8A377">
      <w:pPr>
        <w:ind w:firstLine="480"/>
        <w:rPr>
          <w:rFonts w:eastAsia="仿宋"/>
          <w:sz w:val="28"/>
          <w:szCs w:val="28"/>
        </w:rPr>
      </w:pPr>
      <w:r>
        <w:rPr>
          <w:rFonts w:eastAsia="仿宋"/>
          <w:sz w:val="28"/>
          <w:szCs w:val="28"/>
        </w:rPr>
        <w:t>根据突发环境事件的类型及其可能的危害后果，采取不同的演练规模，演练方式分为桌面演练、功能演练和全面演练。</w:t>
      </w:r>
    </w:p>
    <w:p w14:paraId="5FB3802B">
      <w:pPr>
        <w:ind w:firstLine="480"/>
        <w:rPr>
          <w:rFonts w:eastAsia="仿宋"/>
          <w:sz w:val="28"/>
          <w:szCs w:val="28"/>
        </w:rPr>
      </w:pPr>
      <w:r>
        <w:rPr>
          <w:rFonts w:eastAsia="仿宋"/>
          <w:sz w:val="28"/>
          <w:szCs w:val="28"/>
        </w:rPr>
        <w:t>由应急指挥部负责组织筹划应急演练活动，依据以下六个方面，确定采取哪种类型的演练方式。</w:t>
      </w:r>
    </w:p>
    <w:p w14:paraId="158C14FD">
      <w:pPr>
        <w:ind w:firstLine="480"/>
        <w:rPr>
          <w:rFonts w:eastAsia="仿宋"/>
          <w:sz w:val="28"/>
          <w:szCs w:val="28"/>
        </w:rPr>
      </w:pPr>
      <w:r>
        <w:rPr>
          <w:rFonts w:hint="eastAsia" w:ascii="宋体" w:hAnsi="宋体" w:cs="宋体"/>
          <w:sz w:val="28"/>
          <w:szCs w:val="28"/>
        </w:rPr>
        <w:t>①</w:t>
      </w:r>
      <w:r>
        <w:rPr>
          <w:rFonts w:eastAsia="仿宋"/>
          <w:sz w:val="28"/>
          <w:szCs w:val="28"/>
        </w:rPr>
        <w:t>预先筹划的“应急预案和响应程序工作”的进展情况；</w:t>
      </w:r>
    </w:p>
    <w:p w14:paraId="568C9E61">
      <w:pPr>
        <w:ind w:firstLine="480"/>
        <w:rPr>
          <w:rFonts w:eastAsia="仿宋"/>
          <w:sz w:val="28"/>
          <w:szCs w:val="28"/>
        </w:rPr>
      </w:pPr>
      <w:r>
        <w:rPr>
          <w:rFonts w:hint="eastAsia" w:ascii="宋体" w:hAnsi="宋体" w:cs="宋体"/>
          <w:sz w:val="28"/>
          <w:szCs w:val="28"/>
        </w:rPr>
        <w:t>②</w:t>
      </w:r>
      <w:r>
        <w:rPr>
          <w:rFonts w:eastAsia="仿宋"/>
          <w:sz w:val="28"/>
          <w:szCs w:val="28"/>
        </w:rPr>
        <w:t>突发环境事件的类型、性质和危害程度；</w:t>
      </w:r>
    </w:p>
    <w:p w14:paraId="3ED75903">
      <w:pPr>
        <w:ind w:firstLine="480"/>
        <w:rPr>
          <w:rFonts w:eastAsia="仿宋"/>
          <w:sz w:val="28"/>
          <w:szCs w:val="28"/>
        </w:rPr>
      </w:pPr>
      <w:r>
        <w:rPr>
          <w:rFonts w:hint="eastAsia" w:ascii="宋体" w:hAnsi="宋体" w:cs="宋体"/>
          <w:sz w:val="28"/>
          <w:szCs w:val="28"/>
        </w:rPr>
        <w:t>③</w:t>
      </w:r>
      <w:r>
        <w:rPr>
          <w:rFonts w:eastAsia="仿宋"/>
          <w:sz w:val="28"/>
          <w:szCs w:val="28"/>
        </w:rPr>
        <w:t>本单位现有应急响应能力；</w:t>
      </w:r>
    </w:p>
    <w:p w14:paraId="589291E8">
      <w:pPr>
        <w:ind w:firstLine="480"/>
        <w:rPr>
          <w:rFonts w:eastAsia="仿宋"/>
          <w:sz w:val="28"/>
          <w:szCs w:val="28"/>
        </w:rPr>
      </w:pPr>
      <w:r>
        <w:rPr>
          <w:rFonts w:hint="eastAsia" w:ascii="宋体" w:hAnsi="宋体" w:cs="宋体"/>
          <w:sz w:val="28"/>
          <w:szCs w:val="28"/>
        </w:rPr>
        <w:t>④</w:t>
      </w:r>
      <w:r>
        <w:rPr>
          <w:rFonts w:eastAsia="仿宋"/>
          <w:sz w:val="28"/>
          <w:szCs w:val="28"/>
        </w:rPr>
        <w:t>应急演练成本及资金筹措情况；</w:t>
      </w:r>
    </w:p>
    <w:p w14:paraId="6E322591">
      <w:pPr>
        <w:ind w:firstLine="480"/>
        <w:rPr>
          <w:rFonts w:eastAsia="仿宋"/>
          <w:sz w:val="28"/>
          <w:szCs w:val="28"/>
        </w:rPr>
      </w:pPr>
      <w:r>
        <w:rPr>
          <w:rFonts w:hint="eastAsia" w:ascii="宋体" w:hAnsi="宋体" w:cs="宋体"/>
          <w:sz w:val="28"/>
          <w:szCs w:val="28"/>
        </w:rPr>
        <w:t>⑤</w:t>
      </w:r>
      <w:r>
        <w:rPr>
          <w:rFonts w:eastAsia="仿宋"/>
          <w:sz w:val="28"/>
          <w:szCs w:val="28"/>
        </w:rPr>
        <w:t>应急救援设备设施及物资情况；</w:t>
      </w:r>
    </w:p>
    <w:p w14:paraId="6B27C063">
      <w:pPr>
        <w:ind w:firstLine="480"/>
        <w:rPr>
          <w:rFonts w:eastAsia="仿宋"/>
          <w:sz w:val="28"/>
          <w:szCs w:val="28"/>
        </w:rPr>
      </w:pPr>
      <w:r>
        <w:rPr>
          <w:rFonts w:hint="eastAsia" w:ascii="宋体" w:hAnsi="宋体" w:cs="宋体"/>
          <w:sz w:val="28"/>
          <w:szCs w:val="28"/>
        </w:rPr>
        <w:t>⑥</w:t>
      </w:r>
      <w:r>
        <w:rPr>
          <w:rFonts w:eastAsia="仿宋"/>
          <w:sz w:val="28"/>
          <w:szCs w:val="28"/>
        </w:rPr>
        <w:t>国家及地方政府部门颁布的有关应急演练的规定。</w:t>
      </w:r>
    </w:p>
    <w:p w14:paraId="4C189329">
      <w:pPr>
        <w:ind w:firstLine="480"/>
        <w:rPr>
          <w:rFonts w:eastAsia="仿宋"/>
          <w:sz w:val="28"/>
          <w:szCs w:val="28"/>
        </w:rPr>
      </w:pPr>
      <w:r>
        <w:rPr>
          <w:rFonts w:eastAsia="仿宋"/>
          <w:sz w:val="28"/>
          <w:szCs w:val="28"/>
        </w:rPr>
        <w:t>（1）桌面演练</w:t>
      </w:r>
    </w:p>
    <w:p w14:paraId="6167033D">
      <w:pPr>
        <w:ind w:firstLine="480"/>
        <w:rPr>
          <w:rFonts w:eastAsia="仿宋"/>
          <w:sz w:val="28"/>
          <w:szCs w:val="28"/>
        </w:rPr>
      </w:pPr>
      <w:r>
        <w:rPr>
          <w:rFonts w:eastAsia="仿宋"/>
          <w:sz w:val="28"/>
          <w:szCs w:val="28"/>
        </w:rPr>
        <w:t>桌面演练的特点是对演练情景进行口头演练，一般是在会议室内举行。由应急组织的代表或关键岗位人员参加的，按照应急预案及其标准工作程序，讨论紧急情况时应采取行动的演习活动。其主要目的是锻炼参演人员解决问题的能力，以及解决应急组织相互协作和职责划分的问题。</w:t>
      </w:r>
    </w:p>
    <w:p w14:paraId="561D2BDA">
      <w:pPr>
        <w:ind w:firstLine="560" w:firstLineChars="200"/>
        <w:rPr>
          <w:rFonts w:eastAsia="仿宋"/>
          <w:sz w:val="28"/>
          <w:szCs w:val="28"/>
        </w:rPr>
      </w:pPr>
      <w:r>
        <w:rPr>
          <w:rFonts w:eastAsia="仿宋"/>
          <w:sz w:val="28"/>
          <w:szCs w:val="28"/>
        </w:rPr>
        <w:t>具体由应急指挥部发起组织，由副指挥</w:t>
      </w:r>
      <w:r>
        <w:rPr>
          <w:rFonts w:hint="eastAsia" w:eastAsia="仿宋"/>
          <w:sz w:val="28"/>
          <w:szCs w:val="28"/>
        </w:rPr>
        <w:t>长</w:t>
      </w:r>
      <w:r>
        <w:rPr>
          <w:rFonts w:eastAsia="仿宋"/>
          <w:sz w:val="28"/>
          <w:szCs w:val="28"/>
        </w:rPr>
        <w:t>负责具体实施。副指挥</w:t>
      </w:r>
      <w:r>
        <w:rPr>
          <w:rFonts w:hint="eastAsia" w:eastAsia="仿宋"/>
          <w:sz w:val="28"/>
          <w:szCs w:val="28"/>
        </w:rPr>
        <w:t>长</w:t>
      </w:r>
      <w:r>
        <w:rPr>
          <w:rFonts w:eastAsia="仿宋"/>
          <w:sz w:val="28"/>
          <w:szCs w:val="28"/>
        </w:rPr>
        <w:t>负责制定桌面演练计划、编写桌面演练方案和演练内容、演练参加人员、制定演练的时间安排、定期组织人员实际学习等。副指挥</w:t>
      </w:r>
      <w:r>
        <w:rPr>
          <w:rFonts w:hint="eastAsia" w:eastAsia="仿宋"/>
          <w:sz w:val="28"/>
          <w:szCs w:val="28"/>
        </w:rPr>
        <w:t>长</w:t>
      </w:r>
      <w:r>
        <w:rPr>
          <w:rFonts w:eastAsia="仿宋"/>
          <w:sz w:val="28"/>
          <w:szCs w:val="28"/>
        </w:rPr>
        <w:t>将含有上述内容的计划方案报告应急指挥部指挥</w:t>
      </w:r>
      <w:r>
        <w:rPr>
          <w:rFonts w:hint="eastAsia" w:eastAsia="仿宋"/>
          <w:sz w:val="28"/>
          <w:szCs w:val="28"/>
        </w:rPr>
        <w:t>长</w:t>
      </w:r>
      <w:r>
        <w:rPr>
          <w:rFonts w:eastAsia="仿宋"/>
          <w:sz w:val="28"/>
          <w:szCs w:val="28"/>
        </w:rPr>
        <w:t>，经批准后组织实施。实施结束，汇总所有参加人员为桌面演练所作的书面报告，总结每次桌面演练的经验和实效，对桌面演练提出新的改进应急响应建议。桌面演练总结报告需上报应急指挥部，为功能演练和全面演练做准备。</w:t>
      </w:r>
    </w:p>
    <w:p w14:paraId="215B3B91">
      <w:pPr>
        <w:ind w:firstLine="480"/>
        <w:rPr>
          <w:rFonts w:eastAsia="仿宋"/>
          <w:sz w:val="28"/>
          <w:szCs w:val="28"/>
        </w:rPr>
      </w:pPr>
      <w:r>
        <w:rPr>
          <w:rFonts w:eastAsia="仿宋"/>
          <w:sz w:val="28"/>
          <w:szCs w:val="28"/>
        </w:rPr>
        <w:t>桌面演练针对发生的一般突发环境事件。</w:t>
      </w:r>
    </w:p>
    <w:p w14:paraId="2CC1BA51">
      <w:pPr>
        <w:ind w:firstLine="480"/>
        <w:rPr>
          <w:rFonts w:eastAsia="仿宋"/>
          <w:sz w:val="28"/>
          <w:szCs w:val="28"/>
        </w:rPr>
      </w:pPr>
      <w:r>
        <w:rPr>
          <w:rFonts w:eastAsia="仿宋"/>
          <w:sz w:val="28"/>
          <w:szCs w:val="28"/>
        </w:rPr>
        <w:t>（2）功能演练</w:t>
      </w:r>
    </w:p>
    <w:p w14:paraId="07F7844A">
      <w:pPr>
        <w:ind w:firstLine="480"/>
        <w:rPr>
          <w:rFonts w:eastAsia="仿宋"/>
          <w:sz w:val="28"/>
          <w:szCs w:val="28"/>
        </w:rPr>
      </w:pPr>
      <w:r>
        <w:rPr>
          <w:rFonts w:eastAsia="仿宋"/>
          <w:sz w:val="28"/>
          <w:szCs w:val="28"/>
        </w:rPr>
        <w:t>功能演练主要目的是针对应急响应功能，检验应急人员以及应急组织机构的策划和响应能力为主。功能演练比桌面演练规模要大，主要针对需动员更多的应急人员、机构和组织参与。</w:t>
      </w:r>
    </w:p>
    <w:p w14:paraId="7B53FF1A">
      <w:pPr>
        <w:ind w:firstLine="480"/>
        <w:rPr>
          <w:rFonts w:eastAsia="仿宋"/>
          <w:sz w:val="28"/>
          <w:szCs w:val="28"/>
        </w:rPr>
      </w:pPr>
      <w:r>
        <w:rPr>
          <w:rFonts w:eastAsia="仿宋"/>
          <w:sz w:val="28"/>
          <w:szCs w:val="28"/>
        </w:rPr>
        <w:t>功能演练针对发生的较大突发环境事件。</w:t>
      </w:r>
    </w:p>
    <w:p w14:paraId="52FDBB5D">
      <w:pPr>
        <w:ind w:firstLine="480"/>
        <w:rPr>
          <w:rFonts w:eastAsia="仿宋"/>
          <w:sz w:val="28"/>
          <w:szCs w:val="28"/>
        </w:rPr>
      </w:pPr>
      <w:r>
        <w:rPr>
          <w:rFonts w:eastAsia="仿宋"/>
          <w:sz w:val="28"/>
          <w:szCs w:val="28"/>
        </w:rPr>
        <w:t>（3）全面演练</w:t>
      </w:r>
    </w:p>
    <w:p w14:paraId="0448CCC1">
      <w:pPr>
        <w:ind w:firstLine="480"/>
        <w:rPr>
          <w:rFonts w:eastAsia="仿宋"/>
          <w:sz w:val="28"/>
          <w:szCs w:val="28"/>
        </w:rPr>
      </w:pPr>
      <w:r>
        <w:rPr>
          <w:rFonts w:eastAsia="仿宋"/>
          <w:sz w:val="28"/>
          <w:szCs w:val="28"/>
        </w:rPr>
        <w:t>全面演练是针对应急预案中全部或大部分应急响应功能开展的检验、评价，是对应急组织应急运行能力的演习活动。全面演习一般要求持续几个小时，采取交流互动方式进行。演习过程要求尽量真实，辐射的内容要尽可能全面，调用的应急人员和资源尽可能多。同时要对人员、设备、行动及其他相关方面开展实战性演习，以检验各部门间相互协调的应急响应能力。全面演习完成后，除采取口头评论、报告外，还应提交正式的书面报告。</w:t>
      </w:r>
    </w:p>
    <w:p w14:paraId="5C6BF58B">
      <w:pPr>
        <w:ind w:firstLine="480"/>
        <w:rPr>
          <w:rFonts w:eastAsia="仿宋"/>
          <w:sz w:val="28"/>
          <w:szCs w:val="28"/>
        </w:rPr>
      </w:pPr>
      <w:r>
        <w:rPr>
          <w:rFonts w:eastAsia="仿宋"/>
          <w:sz w:val="28"/>
          <w:szCs w:val="28"/>
        </w:rPr>
        <w:t>全面演练针对发生的重大或特别重大突发环境事件。</w:t>
      </w:r>
    </w:p>
    <w:p w14:paraId="45B5FD1D">
      <w:pPr>
        <w:ind w:firstLine="480"/>
        <w:rPr>
          <w:rFonts w:eastAsia="仿宋"/>
          <w:sz w:val="28"/>
          <w:szCs w:val="28"/>
        </w:rPr>
      </w:pPr>
      <w:r>
        <w:rPr>
          <w:rFonts w:eastAsia="仿宋"/>
          <w:sz w:val="28"/>
          <w:szCs w:val="28"/>
        </w:rPr>
        <w:t>每次应急预案演练结束后，应急预案演练组织单位应当对应急预案演练效果进行评估，撰写应急预案演练评估报告，分析存在的问题，并对应急预案提出修订意见。</w:t>
      </w:r>
    </w:p>
    <w:p w14:paraId="1EB5D738">
      <w:pPr>
        <w:pStyle w:val="4"/>
        <w:spacing w:before="120" w:after="120"/>
        <w:rPr>
          <w:rFonts w:eastAsia="仿宋"/>
          <w:sz w:val="28"/>
        </w:rPr>
      </w:pPr>
      <w:r>
        <w:rPr>
          <w:rFonts w:eastAsia="仿宋"/>
          <w:sz w:val="28"/>
        </w:rPr>
        <w:t>7.3.2预案演练总结</w:t>
      </w:r>
    </w:p>
    <w:p w14:paraId="4824318C">
      <w:pPr>
        <w:ind w:firstLine="480"/>
        <w:rPr>
          <w:rFonts w:eastAsia="仿宋"/>
          <w:sz w:val="28"/>
          <w:szCs w:val="28"/>
        </w:rPr>
      </w:pPr>
      <w:r>
        <w:rPr>
          <w:rFonts w:eastAsia="仿宋"/>
          <w:sz w:val="28"/>
          <w:szCs w:val="28"/>
        </w:rPr>
        <w:t>应急指挥部应做好演练的策划与实施，演练结束后做好总结。总结内容应包括：</w:t>
      </w:r>
    </w:p>
    <w:p w14:paraId="4BFB763A">
      <w:pPr>
        <w:ind w:firstLine="480"/>
        <w:rPr>
          <w:rFonts w:eastAsia="仿宋"/>
          <w:sz w:val="28"/>
          <w:szCs w:val="28"/>
        </w:rPr>
      </w:pPr>
      <w:r>
        <w:rPr>
          <w:rFonts w:hint="eastAsia" w:ascii="宋体" w:hAnsi="宋体" w:cs="宋体"/>
          <w:sz w:val="28"/>
          <w:szCs w:val="28"/>
        </w:rPr>
        <w:t>①</w:t>
      </w:r>
      <w:r>
        <w:rPr>
          <w:rFonts w:eastAsia="仿宋"/>
          <w:sz w:val="28"/>
          <w:szCs w:val="28"/>
        </w:rPr>
        <w:t>参加演练的单位、部门、人员和演练的地点；</w:t>
      </w:r>
    </w:p>
    <w:p w14:paraId="0EA15A4D">
      <w:pPr>
        <w:ind w:firstLine="480"/>
        <w:rPr>
          <w:rFonts w:eastAsia="仿宋"/>
          <w:sz w:val="28"/>
          <w:szCs w:val="28"/>
        </w:rPr>
      </w:pPr>
      <w:r>
        <w:rPr>
          <w:rFonts w:hint="eastAsia" w:ascii="宋体" w:hAnsi="宋体" w:cs="宋体"/>
          <w:sz w:val="28"/>
          <w:szCs w:val="28"/>
        </w:rPr>
        <w:t>②</w:t>
      </w:r>
      <w:r>
        <w:rPr>
          <w:rFonts w:eastAsia="仿宋"/>
          <w:sz w:val="28"/>
          <w:szCs w:val="28"/>
        </w:rPr>
        <w:t>起止时间；</w:t>
      </w:r>
    </w:p>
    <w:p w14:paraId="2088F62B">
      <w:pPr>
        <w:ind w:firstLine="480"/>
        <w:rPr>
          <w:rFonts w:eastAsia="仿宋"/>
          <w:sz w:val="28"/>
          <w:szCs w:val="28"/>
        </w:rPr>
      </w:pPr>
      <w:r>
        <w:rPr>
          <w:rFonts w:hint="eastAsia" w:ascii="宋体" w:hAnsi="宋体" w:cs="宋体"/>
          <w:sz w:val="28"/>
          <w:szCs w:val="28"/>
        </w:rPr>
        <w:t>③</w:t>
      </w:r>
      <w:r>
        <w:rPr>
          <w:rFonts w:eastAsia="仿宋"/>
          <w:sz w:val="28"/>
          <w:szCs w:val="28"/>
        </w:rPr>
        <w:t>演练项目和内容；</w:t>
      </w:r>
    </w:p>
    <w:p w14:paraId="12054D20">
      <w:pPr>
        <w:ind w:firstLine="480"/>
        <w:rPr>
          <w:rFonts w:eastAsia="仿宋"/>
          <w:sz w:val="28"/>
          <w:szCs w:val="28"/>
        </w:rPr>
      </w:pPr>
      <w:r>
        <w:rPr>
          <w:rFonts w:hint="eastAsia" w:ascii="宋体" w:hAnsi="宋体" w:cs="宋体"/>
          <w:sz w:val="28"/>
          <w:szCs w:val="28"/>
        </w:rPr>
        <w:t>④</w:t>
      </w:r>
      <w:r>
        <w:rPr>
          <w:rFonts w:eastAsia="仿宋"/>
          <w:sz w:val="28"/>
          <w:szCs w:val="28"/>
        </w:rPr>
        <w:t>演练过程中的环境条件；</w:t>
      </w:r>
    </w:p>
    <w:p w14:paraId="363E6436">
      <w:pPr>
        <w:ind w:firstLine="480"/>
        <w:rPr>
          <w:rFonts w:eastAsia="仿宋"/>
          <w:sz w:val="28"/>
          <w:szCs w:val="28"/>
        </w:rPr>
      </w:pPr>
      <w:r>
        <w:rPr>
          <w:rFonts w:hint="eastAsia" w:ascii="宋体" w:hAnsi="宋体" w:cs="宋体"/>
          <w:sz w:val="28"/>
          <w:szCs w:val="28"/>
        </w:rPr>
        <w:t>⑤</w:t>
      </w:r>
      <w:r>
        <w:rPr>
          <w:rFonts w:eastAsia="仿宋"/>
          <w:sz w:val="28"/>
          <w:szCs w:val="28"/>
        </w:rPr>
        <w:t>演练动用设备、物资；</w:t>
      </w:r>
    </w:p>
    <w:p w14:paraId="766B7034">
      <w:pPr>
        <w:ind w:firstLine="480"/>
        <w:rPr>
          <w:rFonts w:eastAsia="仿宋"/>
          <w:sz w:val="28"/>
          <w:szCs w:val="28"/>
        </w:rPr>
      </w:pPr>
      <w:r>
        <w:rPr>
          <w:rFonts w:hint="eastAsia" w:ascii="宋体" w:hAnsi="宋体" w:cs="宋体"/>
          <w:sz w:val="28"/>
          <w:szCs w:val="28"/>
        </w:rPr>
        <w:t>⑥</w:t>
      </w:r>
      <w:r>
        <w:rPr>
          <w:rFonts w:eastAsia="仿宋"/>
          <w:sz w:val="28"/>
          <w:szCs w:val="28"/>
        </w:rPr>
        <w:t>演练效果和存在问题；</w:t>
      </w:r>
    </w:p>
    <w:p w14:paraId="6A3EBE1D">
      <w:pPr>
        <w:ind w:firstLine="480"/>
        <w:rPr>
          <w:rFonts w:eastAsia="仿宋"/>
          <w:sz w:val="28"/>
          <w:szCs w:val="28"/>
        </w:rPr>
      </w:pPr>
      <w:r>
        <w:rPr>
          <w:rFonts w:hint="eastAsia" w:ascii="宋体" w:hAnsi="宋体" w:cs="宋体"/>
          <w:sz w:val="28"/>
          <w:szCs w:val="28"/>
        </w:rPr>
        <w:t>⑦</w:t>
      </w:r>
      <w:r>
        <w:rPr>
          <w:rFonts w:eastAsia="仿宋"/>
          <w:sz w:val="28"/>
          <w:szCs w:val="28"/>
        </w:rPr>
        <w:t>持续改进的建议；</w:t>
      </w:r>
    </w:p>
    <w:p w14:paraId="4336B375">
      <w:pPr>
        <w:ind w:firstLine="480"/>
        <w:rPr>
          <w:rFonts w:eastAsia="仿宋"/>
          <w:sz w:val="28"/>
          <w:szCs w:val="28"/>
        </w:rPr>
      </w:pPr>
      <w:r>
        <w:rPr>
          <w:rFonts w:hint="eastAsia" w:ascii="宋体" w:hAnsi="宋体" w:cs="宋体"/>
          <w:sz w:val="28"/>
          <w:szCs w:val="28"/>
        </w:rPr>
        <w:t>⑧</w:t>
      </w:r>
      <w:r>
        <w:rPr>
          <w:rFonts w:eastAsia="仿宋"/>
          <w:sz w:val="28"/>
          <w:szCs w:val="28"/>
        </w:rPr>
        <w:t>演练过程记录的文字、音像资料等。</w:t>
      </w:r>
    </w:p>
    <w:p w14:paraId="5CD586E3">
      <w:pPr>
        <w:ind w:firstLine="480"/>
        <w:rPr>
          <w:rFonts w:eastAsia="仿宋"/>
          <w:sz w:val="28"/>
          <w:szCs w:val="28"/>
        </w:rPr>
      </w:pPr>
      <w:r>
        <w:rPr>
          <w:rFonts w:eastAsia="仿宋"/>
          <w:sz w:val="28"/>
          <w:szCs w:val="28"/>
        </w:rPr>
        <w:t>应急指挥部对演练过程中各环节、各部门应急情况、应急行动的执行情况要进行详细记录，对预案中存在的缺陷和预案演练过程中存在的问题要认真分析。演练结束后，应急指挥部要及时完成演练评估报告，作为应急培训、演练和预案修订的依据。</w:t>
      </w:r>
    </w:p>
    <w:p w14:paraId="19033447">
      <w:pPr>
        <w:pStyle w:val="4"/>
        <w:spacing w:before="120" w:after="120"/>
        <w:rPr>
          <w:rFonts w:eastAsia="仿宋"/>
          <w:sz w:val="28"/>
        </w:rPr>
      </w:pPr>
      <w:r>
        <w:rPr>
          <w:rFonts w:eastAsia="仿宋"/>
          <w:sz w:val="28"/>
        </w:rPr>
        <w:t>7.3.3预案修订</w:t>
      </w:r>
      <w:bookmarkEnd w:id="131"/>
      <w:bookmarkEnd w:id="132"/>
    </w:p>
    <w:p w14:paraId="5EF953C1">
      <w:pPr>
        <w:ind w:firstLine="480"/>
        <w:rPr>
          <w:rFonts w:eastAsia="仿宋"/>
          <w:sz w:val="28"/>
          <w:szCs w:val="28"/>
        </w:rPr>
      </w:pPr>
      <w:r>
        <w:rPr>
          <w:rFonts w:eastAsia="仿宋"/>
          <w:sz w:val="28"/>
          <w:szCs w:val="28"/>
        </w:rPr>
        <w:t>随着突发环境事件应急预案的相关法律法规的制定、修改和完善，部门职责或应急资源发生变化，演练或应急过程中发现存在的问题和出现新的情况，应及时修订完善预案。环境应急预案至少每三年修订一次，以保证本预案能在应对类似环境突发事件时提供更有效的指导。</w:t>
      </w:r>
    </w:p>
    <w:p w14:paraId="531B237D">
      <w:pPr>
        <w:ind w:firstLine="480"/>
        <w:rPr>
          <w:rFonts w:eastAsia="仿宋"/>
          <w:sz w:val="28"/>
          <w:szCs w:val="28"/>
        </w:rPr>
      </w:pPr>
      <w:r>
        <w:rPr>
          <w:rFonts w:eastAsia="仿宋"/>
          <w:sz w:val="28"/>
          <w:szCs w:val="28"/>
        </w:rPr>
        <w:t>有下列情形之一的，应当及时进行修订：</w:t>
      </w:r>
    </w:p>
    <w:p w14:paraId="0D7A227E">
      <w:pPr>
        <w:ind w:firstLine="480"/>
        <w:rPr>
          <w:rFonts w:eastAsia="仿宋"/>
          <w:sz w:val="28"/>
          <w:szCs w:val="28"/>
        </w:rPr>
      </w:pPr>
      <w:r>
        <w:rPr>
          <w:rFonts w:eastAsia="仿宋"/>
          <w:sz w:val="28"/>
          <w:szCs w:val="28"/>
        </w:rPr>
        <w:t>（1）应急处置过程中发现存在的问题或出现新的情况；</w:t>
      </w:r>
    </w:p>
    <w:p w14:paraId="7F3091DD">
      <w:pPr>
        <w:ind w:firstLine="480"/>
        <w:rPr>
          <w:rFonts w:eastAsia="仿宋"/>
          <w:sz w:val="28"/>
          <w:szCs w:val="28"/>
        </w:rPr>
      </w:pPr>
      <w:r>
        <w:rPr>
          <w:rFonts w:eastAsia="仿宋"/>
          <w:sz w:val="28"/>
          <w:szCs w:val="28"/>
        </w:rPr>
        <w:t>（2）饮用水源保护区环境风险源发生变化的；</w:t>
      </w:r>
    </w:p>
    <w:p w14:paraId="279859C9">
      <w:pPr>
        <w:ind w:firstLine="480"/>
        <w:rPr>
          <w:rFonts w:eastAsia="仿宋"/>
          <w:sz w:val="28"/>
          <w:szCs w:val="28"/>
        </w:rPr>
      </w:pPr>
      <w:r>
        <w:rPr>
          <w:rFonts w:eastAsia="仿宋"/>
          <w:sz w:val="28"/>
          <w:szCs w:val="28"/>
        </w:rPr>
        <w:t>（3）周围环境或者环境敏感点发生变化的；</w:t>
      </w:r>
    </w:p>
    <w:p w14:paraId="51183038">
      <w:pPr>
        <w:ind w:firstLine="480"/>
        <w:rPr>
          <w:rFonts w:eastAsia="仿宋"/>
          <w:sz w:val="28"/>
          <w:szCs w:val="28"/>
        </w:rPr>
      </w:pPr>
      <w:r>
        <w:rPr>
          <w:rFonts w:eastAsia="仿宋"/>
          <w:sz w:val="28"/>
          <w:szCs w:val="28"/>
        </w:rPr>
        <w:t>（4）环境应急预案依据的法律、法规、规章等发生变化的；</w:t>
      </w:r>
    </w:p>
    <w:p w14:paraId="611F9994">
      <w:pPr>
        <w:ind w:firstLine="480"/>
        <w:rPr>
          <w:rFonts w:eastAsia="仿宋"/>
          <w:sz w:val="28"/>
          <w:szCs w:val="28"/>
        </w:rPr>
      </w:pPr>
      <w:r>
        <w:rPr>
          <w:rFonts w:eastAsia="仿宋"/>
          <w:sz w:val="28"/>
          <w:szCs w:val="28"/>
        </w:rPr>
        <w:t>（5）突发环境事件应急指挥部认为应当适时修订的其他情形。</w:t>
      </w:r>
    </w:p>
    <w:p w14:paraId="25A00EDC">
      <w:pPr>
        <w:pStyle w:val="3"/>
        <w:rPr>
          <w:rFonts w:eastAsia="仿宋"/>
          <w:sz w:val="32"/>
        </w:rPr>
      </w:pPr>
      <w:bookmarkStart w:id="133" w:name="_Toc60930820"/>
      <w:r>
        <w:rPr>
          <w:rFonts w:eastAsia="仿宋"/>
          <w:sz w:val="32"/>
        </w:rPr>
        <w:t>7.4 预案实施日期</w:t>
      </w:r>
      <w:bookmarkEnd w:id="130"/>
      <w:bookmarkEnd w:id="133"/>
    </w:p>
    <w:p w14:paraId="61648BF9">
      <w:pPr>
        <w:ind w:firstLine="480"/>
        <w:rPr>
          <w:rFonts w:eastAsia="仿宋"/>
          <w:sz w:val="28"/>
          <w:szCs w:val="28"/>
        </w:rPr>
      </w:pPr>
      <w:r>
        <w:rPr>
          <w:rFonts w:eastAsia="仿宋"/>
          <w:sz w:val="28"/>
          <w:szCs w:val="28"/>
        </w:rPr>
        <w:t>本预案自发布之日起施行。</w:t>
      </w:r>
    </w:p>
    <w:p w14:paraId="099C88E3">
      <w:pPr>
        <w:ind w:firstLine="480"/>
        <w:rPr>
          <w:rFonts w:eastAsia="仿宋"/>
          <w:sz w:val="28"/>
          <w:szCs w:val="28"/>
        </w:rPr>
      </w:pPr>
    </w:p>
    <w:p w14:paraId="4D6D5B7F">
      <w:pPr>
        <w:rPr>
          <w:rFonts w:eastAsia="仿宋"/>
          <w:sz w:val="28"/>
          <w:szCs w:val="28"/>
        </w:rPr>
      </w:pPr>
    </w:p>
    <w:p w14:paraId="776F07FF">
      <w:pPr>
        <w:rPr>
          <w:rFonts w:eastAsia="仿宋"/>
          <w:sz w:val="28"/>
          <w:szCs w:val="28"/>
        </w:rPr>
      </w:pPr>
    </w:p>
    <w:p w14:paraId="6108D932">
      <w:pPr>
        <w:rPr>
          <w:rFonts w:eastAsia="仿宋"/>
          <w:sz w:val="28"/>
          <w:szCs w:val="28"/>
        </w:rPr>
      </w:pPr>
    </w:p>
    <w:p w14:paraId="50EA47EB">
      <w:pPr>
        <w:rPr>
          <w:rFonts w:eastAsia="仿宋"/>
          <w:sz w:val="28"/>
          <w:szCs w:val="28"/>
        </w:rPr>
      </w:pPr>
    </w:p>
    <w:p w14:paraId="03CF4C61">
      <w:pPr>
        <w:rPr>
          <w:rFonts w:eastAsia="仿宋"/>
          <w:sz w:val="28"/>
          <w:szCs w:val="28"/>
        </w:rPr>
      </w:pPr>
    </w:p>
    <w:p w14:paraId="73E7A716">
      <w:pPr>
        <w:rPr>
          <w:rFonts w:eastAsia="仿宋"/>
          <w:sz w:val="28"/>
          <w:szCs w:val="28"/>
        </w:rPr>
      </w:pPr>
    </w:p>
    <w:p w14:paraId="2E95F626">
      <w:pPr>
        <w:rPr>
          <w:rFonts w:eastAsia="仿宋"/>
          <w:sz w:val="28"/>
          <w:szCs w:val="28"/>
        </w:rPr>
      </w:pPr>
    </w:p>
    <w:p w14:paraId="4136D530">
      <w:pPr>
        <w:rPr>
          <w:rFonts w:eastAsia="仿宋"/>
          <w:sz w:val="28"/>
          <w:szCs w:val="28"/>
        </w:rPr>
      </w:pPr>
    </w:p>
    <w:p w14:paraId="4B699BD9">
      <w:pPr>
        <w:rPr>
          <w:rFonts w:eastAsia="仿宋"/>
          <w:sz w:val="28"/>
          <w:szCs w:val="28"/>
        </w:rPr>
        <w:sectPr>
          <w:pgSz w:w="11906" w:h="16838"/>
          <w:pgMar w:top="1440" w:right="1644" w:bottom="1440" w:left="1644" w:header="851" w:footer="992" w:gutter="0"/>
          <w:cols w:space="425" w:num="1"/>
          <w:docGrid w:type="lines" w:linePitch="312" w:charSpace="0"/>
        </w:sectPr>
      </w:pPr>
    </w:p>
    <w:p w14:paraId="114B85D3">
      <w:pPr>
        <w:autoSpaceDE w:val="0"/>
        <w:autoSpaceDN w:val="0"/>
        <w:adjustRightInd w:val="0"/>
        <w:ind w:firstLine="480" w:firstLineChars="200"/>
        <w:jc w:val="left"/>
        <w:rPr>
          <w:rFonts w:eastAsia="仿宋"/>
          <w:b/>
          <w:sz w:val="30"/>
          <w:szCs w:val="30"/>
        </w:rPr>
      </w:pPr>
      <w:r>
        <mc:AlternateContent>
          <mc:Choice Requires="wps">
            <w:drawing>
              <wp:anchor distT="0" distB="0" distL="114300" distR="114300" simplePos="0" relativeHeight="251694080" behindDoc="0" locked="0" layoutInCell="1" allowOverlap="1">
                <wp:simplePos x="0" y="0"/>
                <wp:positionH relativeFrom="column">
                  <wp:posOffset>962660</wp:posOffset>
                </wp:positionH>
                <wp:positionV relativeFrom="paragraph">
                  <wp:posOffset>90170</wp:posOffset>
                </wp:positionV>
                <wp:extent cx="6875145" cy="333375"/>
                <wp:effectExtent l="0" t="0" r="0" b="0"/>
                <wp:wrapNone/>
                <wp:docPr id="158" name="文本框 2"/>
                <wp:cNvGraphicFramePr/>
                <a:graphic xmlns:a="http://schemas.openxmlformats.org/drawingml/2006/main">
                  <a:graphicData uri="http://schemas.microsoft.com/office/word/2010/wordprocessingShape">
                    <wps:wsp>
                      <wps:cNvSpPr txBox="1">
                        <a:spLocks noChangeArrowheads="1"/>
                      </wps:cNvSpPr>
                      <wps:spPr bwMode="auto">
                        <a:xfrm>
                          <a:off x="0" y="0"/>
                          <a:ext cx="6875145" cy="333375"/>
                        </a:xfrm>
                        <a:prstGeom prst="rect">
                          <a:avLst/>
                        </a:prstGeom>
                        <a:solidFill>
                          <a:srgbClr val="FFFFFF"/>
                        </a:solidFill>
                        <a:ln>
                          <a:noFill/>
                        </a:ln>
                      </wps:spPr>
                      <wps:txbx>
                        <w:txbxContent>
                          <w:p w14:paraId="28F5CE29">
                            <w:pPr>
                              <w:widowControl/>
                              <w:jc w:val="center"/>
                              <w:rPr>
                                <w:rFonts w:eastAsia="仿宋"/>
                                <w:b/>
                                <w:sz w:val="28"/>
                                <w:szCs w:val="28"/>
                              </w:rPr>
                            </w:pPr>
                            <w:r>
                              <w:rPr>
                                <w:rFonts w:eastAsia="仿宋"/>
                                <w:b/>
                                <w:sz w:val="28"/>
                                <w:szCs w:val="28"/>
                              </w:rPr>
                              <w:t xml:space="preserve">附图1 </w:t>
                            </w:r>
                            <w:r>
                              <w:rPr>
                                <w:rFonts w:hint="eastAsia" w:eastAsia="仿宋"/>
                                <w:b/>
                                <w:sz w:val="28"/>
                                <w:szCs w:val="28"/>
                              </w:rPr>
                              <w:t>花溪区高坡乡阴河洞</w:t>
                            </w:r>
                            <w:r>
                              <w:rPr>
                                <w:rFonts w:eastAsia="仿宋"/>
                                <w:b/>
                                <w:sz w:val="28"/>
                                <w:szCs w:val="28"/>
                              </w:rPr>
                              <w:t>集中式饮用水水源地保护区</w:t>
                            </w:r>
                            <w:r>
                              <w:rPr>
                                <w:rFonts w:hint="eastAsia" w:eastAsia="仿宋"/>
                                <w:b/>
                                <w:sz w:val="28"/>
                                <w:szCs w:val="28"/>
                              </w:rPr>
                              <w:t>划分</w:t>
                            </w:r>
                            <w:r>
                              <w:rPr>
                                <w:rFonts w:eastAsia="仿宋"/>
                                <w:b/>
                                <w:sz w:val="28"/>
                                <w:szCs w:val="28"/>
                              </w:rPr>
                              <w:t>图</w:t>
                            </w:r>
                          </w:p>
                        </w:txbxContent>
                      </wps:txbx>
                      <wps:bodyPr rot="0" vert="horz" wrap="square" lIns="91440" tIns="45720" rIns="91440" bIns="45720" anchor="t" anchorCtr="0" upright="1">
                        <a:noAutofit/>
                      </wps:bodyPr>
                    </wps:wsp>
                  </a:graphicData>
                </a:graphic>
              </wp:anchor>
            </w:drawing>
          </mc:Choice>
          <mc:Fallback>
            <w:pict>
              <v:shape id="文本框 2" o:spid="_x0000_s1026" o:spt="202" type="#_x0000_t202" style="position:absolute;left:0pt;margin-left:75.8pt;margin-top:7.1pt;height:26.25pt;width:541.35pt;z-index:251694080;mso-width-relative:page;mso-height-relative:page;" fillcolor="#FFFFFF" filled="t" stroked="f" coordsize="21600,21600" o:gfxdata="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xawfndgAAAAKAQAADwAAAAAAAAABACAAAAAiAAAAZHJzL2Rvd25yZXYueG1sUEsBAhQA&#10;FAAAAAgAh07iQJSyuGcrAgAAQAQAAA4AAAAAAAAAAQAgAAAAJwEAAGRycy9lMm9Eb2MueG1sUEsF&#10;BgAAAAAGAAYAWQEAAMQFAAAAAA==&#10;">
                <v:fill on="t" focussize="0,0"/>
                <v:stroke on="f"/>
                <v:imagedata o:title=""/>
                <o:lock v:ext="edit" aspectratio="f"/>
                <v:textbox>
                  <w:txbxContent>
                    <w:p w14:paraId="28F5CE29">
                      <w:pPr>
                        <w:widowControl/>
                        <w:jc w:val="center"/>
                        <w:rPr>
                          <w:rFonts w:eastAsia="仿宋"/>
                          <w:b/>
                          <w:sz w:val="28"/>
                          <w:szCs w:val="28"/>
                        </w:rPr>
                      </w:pPr>
                      <w:r>
                        <w:rPr>
                          <w:rFonts w:eastAsia="仿宋"/>
                          <w:b/>
                          <w:sz w:val="28"/>
                          <w:szCs w:val="28"/>
                        </w:rPr>
                        <w:t xml:space="preserve">附图1 </w:t>
                      </w:r>
                      <w:r>
                        <w:rPr>
                          <w:rFonts w:hint="eastAsia" w:eastAsia="仿宋"/>
                          <w:b/>
                          <w:sz w:val="28"/>
                          <w:szCs w:val="28"/>
                        </w:rPr>
                        <w:t>花溪区高坡乡阴河洞</w:t>
                      </w:r>
                      <w:r>
                        <w:rPr>
                          <w:rFonts w:eastAsia="仿宋"/>
                          <w:b/>
                          <w:sz w:val="28"/>
                          <w:szCs w:val="28"/>
                        </w:rPr>
                        <w:t>集中式饮用水水源地保护区</w:t>
                      </w:r>
                      <w:r>
                        <w:rPr>
                          <w:rFonts w:hint="eastAsia" w:eastAsia="仿宋"/>
                          <w:b/>
                          <w:sz w:val="28"/>
                          <w:szCs w:val="28"/>
                        </w:rPr>
                        <w:t>划分</w:t>
                      </w:r>
                      <w:r>
                        <w:rPr>
                          <w:rFonts w:eastAsia="仿宋"/>
                          <w:b/>
                          <w:sz w:val="28"/>
                          <w:szCs w:val="28"/>
                        </w:rPr>
                        <w:t>图</w:t>
                      </w:r>
                    </w:p>
                  </w:txbxContent>
                </v:textbox>
              </v:shape>
            </w:pict>
          </mc:Fallback>
        </mc:AlternateContent>
      </w:r>
      <w:r>
        <w:rPr>
          <w:rFonts w:eastAsia="仿宋"/>
          <w:b/>
          <w:sz w:val="30"/>
          <w:szCs w:val="30"/>
        </w:rPr>
        <w:t>附图：</w:t>
      </w:r>
    </w:p>
    <w:p w14:paraId="193A08FD">
      <w:pPr>
        <w:widowControl/>
        <w:spacing w:line="240" w:lineRule="auto"/>
        <w:rPr>
          <w:rFonts w:eastAsia="仿宋"/>
          <w:sz w:val="18"/>
          <w:szCs w:val="18"/>
        </w:rPr>
      </w:pPr>
    </w:p>
    <w:p w14:paraId="6E2DACC2">
      <w:pPr>
        <w:widowControl/>
        <w:spacing w:line="240" w:lineRule="auto"/>
        <w:jc w:val="center"/>
        <w:rPr>
          <w:rFonts w:eastAsia="仿宋"/>
          <w:sz w:val="18"/>
          <w:szCs w:val="18"/>
        </w:rPr>
        <w:sectPr>
          <w:pgSz w:w="16839" w:h="11907" w:orient="landscape"/>
          <w:pgMar w:top="1418" w:right="1418" w:bottom="1701" w:left="1418" w:header="851" w:footer="992" w:gutter="0"/>
          <w:cols w:space="720" w:num="1"/>
          <w:docGrid w:linePitch="326" w:charSpace="0"/>
        </w:sectPr>
      </w:pPr>
      <w:r>
        <w:rPr>
          <w:rFonts w:hint="eastAsia"/>
        </w:rPr>
        <w:drawing>
          <wp:inline distT="0" distB="0" distL="114300" distR="114300">
            <wp:extent cx="7654925" cy="5029200"/>
            <wp:effectExtent l="0" t="0" r="0" b="0"/>
            <wp:docPr id="5" name="图片 5" descr="01阴河洞-1地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01阴河洞-1地形"/>
                    <pic:cNvPicPr>
                      <a:picLocks noChangeAspect="1"/>
                    </pic:cNvPicPr>
                  </pic:nvPicPr>
                  <pic:blipFill>
                    <a:blip r:embed="rId66"/>
                    <a:srcRect t="7158"/>
                    <a:stretch>
                      <a:fillRect/>
                    </a:stretch>
                  </pic:blipFill>
                  <pic:spPr>
                    <a:xfrm>
                      <a:off x="0" y="0"/>
                      <a:ext cx="7670353" cy="5039015"/>
                    </a:xfrm>
                    <a:prstGeom prst="rect">
                      <a:avLst/>
                    </a:prstGeom>
                    <a:ln>
                      <a:noFill/>
                    </a:ln>
                  </pic:spPr>
                </pic:pic>
              </a:graphicData>
            </a:graphic>
          </wp:inline>
        </w:drawing>
      </w:r>
    </w:p>
    <w:p w14:paraId="0AA28005">
      <w:pPr>
        <w:widowControl/>
        <w:spacing w:line="240" w:lineRule="auto"/>
        <w:jc w:val="center"/>
        <w:rPr>
          <w:rFonts w:eastAsia="仿宋"/>
          <w:sz w:val="18"/>
          <w:szCs w:val="18"/>
        </w:rPr>
      </w:pPr>
      <w:r>
        <w:rPr>
          <w:rFonts w:eastAsia="仿宋"/>
          <w:sz w:val="18"/>
          <w:szCs w:val="18"/>
        </w:rPr>
        <mc:AlternateContent>
          <mc:Choice Requires="wps">
            <w:drawing>
              <wp:anchor distT="0" distB="0" distL="114300" distR="114300" simplePos="0" relativeHeight="251695104" behindDoc="0" locked="0" layoutInCell="1" allowOverlap="1">
                <wp:simplePos x="0" y="0"/>
                <wp:positionH relativeFrom="column">
                  <wp:posOffset>1558290</wp:posOffset>
                </wp:positionH>
                <wp:positionV relativeFrom="paragraph">
                  <wp:posOffset>-43180</wp:posOffset>
                </wp:positionV>
                <wp:extent cx="6875145" cy="333375"/>
                <wp:effectExtent l="0" t="0" r="0" b="0"/>
                <wp:wrapNone/>
                <wp:docPr id="157" name="Text Box 29"/>
                <wp:cNvGraphicFramePr/>
                <a:graphic xmlns:a="http://schemas.openxmlformats.org/drawingml/2006/main">
                  <a:graphicData uri="http://schemas.microsoft.com/office/word/2010/wordprocessingShape">
                    <wps:wsp>
                      <wps:cNvSpPr txBox="1">
                        <a:spLocks noChangeArrowheads="1"/>
                      </wps:cNvSpPr>
                      <wps:spPr bwMode="auto">
                        <a:xfrm>
                          <a:off x="0" y="0"/>
                          <a:ext cx="6875145" cy="333375"/>
                        </a:xfrm>
                        <a:prstGeom prst="rect">
                          <a:avLst/>
                        </a:prstGeom>
                        <a:solidFill>
                          <a:srgbClr val="FFFFFF"/>
                        </a:solidFill>
                        <a:ln>
                          <a:noFill/>
                        </a:ln>
                      </wps:spPr>
                      <wps:txbx>
                        <w:txbxContent>
                          <w:p w14:paraId="654A6586">
                            <w:pPr>
                              <w:widowControl/>
                              <w:jc w:val="center"/>
                              <w:rPr>
                                <w:rFonts w:eastAsia="仿宋"/>
                                <w:b/>
                                <w:sz w:val="28"/>
                                <w:szCs w:val="28"/>
                              </w:rPr>
                            </w:pPr>
                            <w:r>
                              <w:rPr>
                                <w:rFonts w:eastAsia="仿宋"/>
                                <w:b/>
                                <w:sz w:val="28"/>
                                <w:szCs w:val="28"/>
                              </w:rPr>
                              <w:t xml:space="preserve">附图2 </w:t>
                            </w:r>
                            <w:r>
                              <w:rPr>
                                <w:rFonts w:hint="eastAsia" w:eastAsia="仿宋"/>
                                <w:b/>
                                <w:sz w:val="28"/>
                                <w:szCs w:val="28"/>
                              </w:rPr>
                              <w:t>花溪区高坡乡阴河洞</w:t>
                            </w:r>
                            <w:r>
                              <w:rPr>
                                <w:rFonts w:eastAsia="仿宋"/>
                                <w:b/>
                                <w:sz w:val="28"/>
                                <w:szCs w:val="28"/>
                              </w:rPr>
                              <w:t>集中式饮用水水源地保护区</w:t>
                            </w:r>
                            <w:r>
                              <w:rPr>
                                <w:rFonts w:hint="eastAsia" w:eastAsia="仿宋"/>
                                <w:b/>
                                <w:sz w:val="28"/>
                                <w:szCs w:val="28"/>
                              </w:rPr>
                              <w:t>划分影像</w:t>
                            </w:r>
                            <w:r>
                              <w:rPr>
                                <w:rFonts w:eastAsia="仿宋"/>
                                <w:b/>
                                <w:sz w:val="28"/>
                                <w:szCs w:val="28"/>
                              </w:rPr>
                              <w:t>图</w:t>
                            </w:r>
                          </w:p>
                        </w:txbxContent>
                      </wps:txbx>
                      <wps:bodyPr rot="0" vert="horz" wrap="square" lIns="91440" tIns="45720" rIns="91440" bIns="45720" anchor="t" anchorCtr="0" upright="1">
                        <a:noAutofit/>
                      </wps:bodyPr>
                    </wps:wsp>
                  </a:graphicData>
                </a:graphic>
              </wp:anchor>
            </w:drawing>
          </mc:Choice>
          <mc:Fallback>
            <w:pict>
              <v:shape id="Text Box 29" o:spid="_x0000_s1026" o:spt="202" type="#_x0000_t202" style="position:absolute;left:0pt;margin-left:122.7pt;margin-top:-3.4pt;height:26.25pt;width:541.35pt;z-index:251695104;mso-width-relative:page;mso-height-relative:page;" fillcolor="#FFFFFF" filled="t" stroked="f" coordsize="21600,21600" o:gfxdata="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GlYu8XYAAAA&#10;CgEAAA8AAAAAAAAAAQAgAAAAIgAAAGRycy9kb3ducmV2LnhtbFBLAQIUABQAAAAIAIdO4kA4qJUX&#10;HQIAAEAEAAAOAAAAAAAAAAEAIAAAACcBAABkcnMvZTJvRG9jLnhtbFBLBQYAAAAABgAGAFkBAAC2&#10;BQAAAAA=&#10;">
                <v:fill on="t" focussize="0,0"/>
                <v:stroke on="f"/>
                <v:imagedata o:title=""/>
                <o:lock v:ext="edit" aspectratio="f"/>
                <v:textbox>
                  <w:txbxContent>
                    <w:p w14:paraId="654A6586">
                      <w:pPr>
                        <w:widowControl/>
                        <w:jc w:val="center"/>
                        <w:rPr>
                          <w:rFonts w:eastAsia="仿宋"/>
                          <w:b/>
                          <w:sz w:val="28"/>
                          <w:szCs w:val="28"/>
                        </w:rPr>
                      </w:pPr>
                      <w:r>
                        <w:rPr>
                          <w:rFonts w:eastAsia="仿宋"/>
                          <w:b/>
                          <w:sz w:val="28"/>
                          <w:szCs w:val="28"/>
                        </w:rPr>
                        <w:t xml:space="preserve">附图2 </w:t>
                      </w:r>
                      <w:r>
                        <w:rPr>
                          <w:rFonts w:hint="eastAsia" w:eastAsia="仿宋"/>
                          <w:b/>
                          <w:sz w:val="28"/>
                          <w:szCs w:val="28"/>
                        </w:rPr>
                        <w:t>花溪区高坡乡阴河洞</w:t>
                      </w:r>
                      <w:r>
                        <w:rPr>
                          <w:rFonts w:eastAsia="仿宋"/>
                          <w:b/>
                          <w:sz w:val="28"/>
                          <w:szCs w:val="28"/>
                        </w:rPr>
                        <w:t>集中式饮用水水源地保护区</w:t>
                      </w:r>
                      <w:r>
                        <w:rPr>
                          <w:rFonts w:hint="eastAsia" w:eastAsia="仿宋"/>
                          <w:b/>
                          <w:sz w:val="28"/>
                          <w:szCs w:val="28"/>
                        </w:rPr>
                        <w:t>划分影像</w:t>
                      </w:r>
                      <w:r>
                        <w:rPr>
                          <w:rFonts w:eastAsia="仿宋"/>
                          <w:b/>
                          <w:sz w:val="28"/>
                          <w:szCs w:val="28"/>
                        </w:rPr>
                        <w:t>图</w:t>
                      </w:r>
                    </w:p>
                  </w:txbxContent>
                </v:textbox>
              </v:shape>
            </w:pict>
          </mc:Fallback>
        </mc:AlternateContent>
      </w:r>
    </w:p>
    <w:p w14:paraId="2C7C10CA">
      <w:pPr>
        <w:widowControl/>
        <w:spacing w:line="240" w:lineRule="auto"/>
        <w:jc w:val="center"/>
        <w:rPr>
          <w:rFonts w:eastAsia="仿宋"/>
          <w:sz w:val="18"/>
          <w:szCs w:val="18"/>
        </w:rPr>
      </w:pPr>
    </w:p>
    <w:p w14:paraId="7E14C8B5">
      <w:pPr>
        <w:widowControl/>
        <w:spacing w:line="240" w:lineRule="auto"/>
        <w:jc w:val="center"/>
        <w:rPr>
          <w:rFonts w:eastAsia="仿宋"/>
          <w:sz w:val="18"/>
          <w:szCs w:val="18"/>
        </w:rPr>
      </w:pPr>
    </w:p>
    <w:p w14:paraId="48C250B4">
      <w:pPr>
        <w:widowControl/>
        <w:spacing w:line="240" w:lineRule="auto"/>
        <w:jc w:val="center"/>
        <w:rPr>
          <w:rFonts w:eastAsia="仿宋"/>
          <w:sz w:val="18"/>
          <w:szCs w:val="18"/>
        </w:rPr>
      </w:pPr>
      <w:r>
        <w:rPr>
          <w:rFonts w:hint="eastAsia"/>
        </w:rPr>
        <w:drawing>
          <wp:inline distT="0" distB="0" distL="114300" distR="114300">
            <wp:extent cx="8317865" cy="5496560"/>
            <wp:effectExtent l="0" t="0" r="0" b="0"/>
            <wp:docPr id="12" name="图片 12" descr="01阴河洞-2影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01阴河洞-2影像"/>
                    <pic:cNvPicPr>
                      <a:picLocks noChangeAspect="1"/>
                    </pic:cNvPicPr>
                  </pic:nvPicPr>
                  <pic:blipFill>
                    <a:blip r:embed="rId67"/>
                    <a:srcRect t="6608"/>
                    <a:stretch>
                      <a:fillRect/>
                    </a:stretch>
                  </pic:blipFill>
                  <pic:spPr>
                    <a:xfrm>
                      <a:off x="0" y="0"/>
                      <a:ext cx="8325483" cy="5501741"/>
                    </a:xfrm>
                    <a:prstGeom prst="rect">
                      <a:avLst/>
                    </a:prstGeom>
                    <a:ln>
                      <a:noFill/>
                    </a:ln>
                  </pic:spPr>
                </pic:pic>
              </a:graphicData>
            </a:graphic>
          </wp:inline>
        </w:drawing>
      </w:r>
    </w:p>
    <w:p w14:paraId="42E124E8">
      <w:pPr>
        <w:widowControl/>
        <w:spacing w:line="240" w:lineRule="auto"/>
        <w:jc w:val="left"/>
        <w:rPr>
          <w:rFonts w:eastAsia="仿宋"/>
          <w:sz w:val="18"/>
          <w:szCs w:val="18"/>
        </w:rPr>
        <w:sectPr>
          <w:headerReference r:id="rId10" w:type="default"/>
          <w:footerReference r:id="rId11" w:type="default"/>
          <w:pgSz w:w="16839" w:h="11907" w:orient="landscape"/>
          <w:pgMar w:top="720" w:right="720" w:bottom="720" w:left="720" w:header="851" w:footer="992" w:gutter="0"/>
          <w:pgNumType w:start="84"/>
          <w:cols w:space="720" w:num="1"/>
          <w:docGrid w:linePitch="326" w:charSpace="0"/>
        </w:sectPr>
      </w:pPr>
      <w:r>
        <w:rPr>
          <w:rFonts w:eastAsia="仿宋"/>
          <w:sz w:val="18"/>
          <w:szCs w:val="18"/>
        </w:rPr>
        <w:br w:type="page"/>
      </w:r>
    </w:p>
    <w:p w14:paraId="445E8F2A">
      <w:pPr>
        <w:widowControl/>
        <w:spacing w:line="240" w:lineRule="auto"/>
        <w:jc w:val="left"/>
        <w:rPr>
          <w:rFonts w:eastAsia="仿宋"/>
          <w:sz w:val="18"/>
          <w:szCs w:val="18"/>
        </w:rPr>
      </w:pPr>
      <w:r>
        <w:rPr>
          <w:rFonts w:eastAsia="仿宋"/>
          <w:sz w:val="18"/>
          <w:szCs w:val="18"/>
        </w:rPr>
        <mc:AlternateContent>
          <mc:Choice Requires="wps">
            <w:drawing>
              <wp:anchor distT="0" distB="0" distL="114300" distR="114300" simplePos="0" relativeHeight="251696128" behindDoc="0" locked="0" layoutInCell="1" allowOverlap="1">
                <wp:simplePos x="0" y="0"/>
                <wp:positionH relativeFrom="column">
                  <wp:posOffset>293370</wp:posOffset>
                </wp:positionH>
                <wp:positionV relativeFrom="paragraph">
                  <wp:posOffset>-59055</wp:posOffset>
                </wp:positionV>
                <wp:extent cx="6245860" cy="333375"/>
                <wp:effectExtent l="0" t="3175" r="4445" b="0"/>
                <wp:wrapNone/>
                <wp:docPr id="156" name="Text Box 31"/>
                <wp:cNvGraphicFramePr/>
                <a:graphic xmlns:a="http://schemas.openxmlformats.org/drawingml/2006/main">
                  <a:graphicData uri="http://schemas.microsoft.com/office/word/2010/wordprocessingShape">
                    <wps:wsp>
                      <wps:cNvSpPr txBox="1">
                        <a:spLocks noChangeArrowheads="1"/>
                      </wps:cNvSpPr>
                      <wps:spPr bwMode="auto">
                        <a:xfrm>
                          <a:off x="0" y="0"/>
                          <a:ext cx="6245860" cy="333375"/>
                        </a:xfrm>
                        <a:prstGeom prst="rect">
                          <a:avLst/>
                        </a:prstGeom>
                        <a:solidFill>
                          <a:srgbClr val="FFFFFF"/>
                        </a:solidFill>
                        <a:ln>
                          <a:noFill/>
                        </a:ln>
                      </wps:spPr>
                      <wps:txbx>
                        <w:txbxContent>
                          <w:p w14:paraId="6398D9EE">
                            <w:pPr>
                              <w:widowControl/>
                              <w:jc w:val="center"/>
                              <w:rPr>
                                <w:rFonts w:eastAsia="仿宋"/>
                                <w:b/>
                                <w:sz w:val="28"/>
                                <w:szCs w:val="28"/>
                              </w:rPr>
                            </w:pPr>
                            <w:r>
                              <w:rPr>
                                <w:rFonts w:eastAsia="仿宋"/>
                                <w:b/>
                                <w:sz w:val="28"/>
                                <w:szCs w:val="28"/>
                              </w:rPr>
                              <w:t xml:space="preserve">附图3 </w:t>
                            </w:r>
                            <w:r>
                              <w:rPr>
                                <w:rFonts w:hint="eastAsia" w:eastAsia="仿宋"/>
                                <w:b/>
                                <w:sz w:val="28"/>
                                <w:szCs w:val="28"/>
                              </w:rPr>
                              <w:t>花溪区高坡乡</w:t>
                            </w:r>
                            <w:r>
                              <w:rPr>
                                <w:rFonts w:eastAsia="仿宋"/>
                                <w:b/>
                                <w:sz w:val="28"/>
                                <w:szCs w:val="28"/>
                              </w:rPr>
                              <w:t>苦蒿冲集中式饮用水水源地保护区</w:t>
                            </w:r>
                            <w:r>
                              <w:rPr>
                                <w:rFonts w:hint="eastAsia" w:eastAsia="仿宋"/>
                                <w:b/>
                                <w:sz w:val="28"/>
                                <w:szCs w:val="28"/>
                              </w:rPr>
                              <w:t>划分</w:t>
                            </w:r>
                            <w:r>
                              <w:rPr>
                                <w:rFonts w:eastAsia="仿宋"/>
                                <w:b/>
                                <w:sz w:val="28"/>
                                <w:szCs w:val="28"/>
                              </w:rPr>
                              <w:t>图</w:t>
                            </w:r>
                          </w:p>
                        </w:txbxContent>
                      </wps:txbx>
                      <wps:bodyPr rot="0" vert="horz" wrap="square" lIns="91440" tIns="45720" rIns="91440" bIns="45720" anchor="t" anchorCtr="0" upright="1">
                        <a:noAutofit/>
                      </wps:bodyPr>
                    </wps:wsp>
                  </a:graphicData>
                </a:graphic>
              </wp:anchor>
            </w:drawing>
          </mc:Choice>
          <mc:Fallback>
            <w:pict>
              <v:shape id="Text Box 31" o:spid="_x0000_s1026" o:spt="202" type="#_x0000_t202" style="position:absolute;left:0pt;margin-left:23.1pt;margin-top:-4.65pt;height:26.25pt;width:491.8pt;z-index:251696128;mso-width-relative:page;mso-height-relative:page;" fillcolor="#FFFFFF" filled="t" stroked="f" coordsize="21600,21600" o:gfxdata="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YD9ciNcAAAAJAQAA&#10;DwAAAAAAAAABACAAAAAiAAAAZHJzL2Rvd25yZXYueG1sUEsBAhQAFAAAAAgAh07iQPhxiQQaAgAA&#10;QAQAAA4AAAAAAAAAAQAgAAAAJgEAAGRycy9lMm9Eb2MueG1sUEsFBgAAAAAGAAYAWQEAALIFAAAA&#10;AA==&#10;">
                <v:fill on="t" focussize="0,0"/>
                <v:stroke on="f"/>
                <v:imagedata o:title=""/>
                <o:lock v:ext="edit" aspectratio="f"/>
                <v:textbox>
                  <w:txbxContent>
                    <w:p w14:paraId="6398D9EE">
                      <w:pPr>
                        <w:widowControl/>
                        <w:jc w:val="center"/>
                        <w:rPr>
                          <w:rFonts w:eastAsia="仿宋"/>
                          <w:b/>
                          <w:sz w:val="28"/>
                          <w:szCs w:val="28"/>
                        </w:rPr>
                      </w:pPr>
                      <w:r>
                        <w:rPr>
                          <w:rFonts w:eastAsia="仿宋"/>
                          <w:b/>
                          <w:sz w:val="28"/>
                          <w:szCs w:val="28"/>
                        </w:rPr>
                        <w:t xml:space="preserve">附图3 </w:t>
                      </w:r>
                      <w:r>
                        <w:rPr>
                          <w:rFonts w:hint="eastAsia" w:eastAsia="仿宋"/>
                          <w:b/>
                          <w:sz w:val="28"/>
                          <w:szCs w:val="28"/>
                        </w:rPr>
                        <w:t>花溪区高坡乡</w:t>
                      </w:r>
                      <w:r>
                        <w:rPr>
                          <w:rFonts w:eastAsia="仿宋"/>
                          <w:b/>
                          <w:sz w:val="28"/>
                          <w:szCs w:val="28"/>
                        </w:rPr>
                        <w:t>苦蒿冲集中式饮用水水源地保护区</w:t>
                      </w:r>
                      <w:r>
                        <w:rPr>
                          <w:rFonts w:hint="eastAsia" w:eastAsia="仿宋"/>
                          <w:b/>
                          <w:sz w:val="28"/>
                          <w:szCs w:val="28"/>
                        </w:rPr>
                        <w:t>划分</w:t>
                      </w:r>
                      <w:r>
                        <w:rPr>
                          <w:rFonts w:eastAsia="仿宋"/>
                          <w:b/>
                          <w:sz w:val="28"/>
                          <w:szCs w:val="28"/>
                        </w:rPr>
                        <w:t>图</w:t>
                      </w:r>
                    </w:p>
                  </w:txbxContent>
                </v:textbox>
              </v:shape>
            </w:pict>
          </mc:Fallback>
        </mc:AlternateContent>
      </w:r>
    </w:p>
    <w:p w14:paraId="1E93D837">
      <w:pPr>
        <w:widowControl/>
        <w:spacing w:line="240" w:lineRule="auto"/>
        <w:jc w:val="center"/>
        <w:rPr>
          <w:rFonts w:eastAsia="仿宋"/>
          <w:sz w:val="18"/>
          <w:szCs w:val="18"/>
        </w:rPr>
      </w:pPr>
    </w:p>
    <w:p w14:paraId="73D822DD">
      <w:pPr>
        <w:widowControl/>
        <w:spacing w:line="240" w:lineRule="auto"/>
        <w:jc w:val="center"/>
        <w:rPr>
          <w:rFonts w:eastAsia="仿宋"/>
          <w:sz w:val="18"/>
          <w:szCs w:val="18"/>
        </w:rPr>
      </w:pPr>
      <w:r>
        <w:rPr>
          <w:rFonts w:hint="eastAsia"/>
        </w:rPr>
        <w:drawing>
          <wp:inline distT="0" distB="0" distL="0" distR="0">
            <wp:extent cx="6453505" cy="8773160"/>
            <wp:effectExtent l="0" t="0" r="0" b="0"/>
            <wp:docPr id="19" name="图片 19" descr="02苦蒿冲-1地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02苦蒿冲-1地形"/>
                    <pic:cNvPicPr>
                      <a:picLocks noChangeAspect="1" noChangeArrowheads="1"/>
                    </pic:cNvPicPr>
                  </pic:nvPicPr>
                  <pic:blipFill>
                    <a:blip r:embed="rId68" cstate="print">
                      <a:extLst>
                        <a:ext uri="{28A0092B-C50C-407E-A947-70E740481C1C}">
                          <a14:useLocalDpi xmlns:a14="http://schemas.microsoft.com/office/drawing/2010/main" val="0"/>
                        </a:ext>
                      </a:extLst>
                    </a:blip>
                    <a:srcRect t="3839"/>
                    <a:stretch>
                      <a:fillRect/>
                    </a:stretch>
                  </pic:blipFill>
                  <pic:spPr>
                    <a:xfrm>
                      <a:off x="0" y="0"/>
                      <a:ext cx="6460911" cy="8783087"/>
                    </a:xfrm>
                    <a:prstGeom prst="rect">
                      <a:avLst/>
                    </a:prstGeom>
                    <a:noFill/>
                    <a:ln>
                      <a:noFill/>
                    </a:ln>
                  </pic:spPr>
                </pic:pic>
              </a:graphicData>
            </a:graphic>
          </wp:inline>
        </w:drawing>
      </w:r>
    </w:p>
    <w:p w14:paraId="466C6E39">
      <w:pPr>
        <w:widowControl/>
        <w:spacing w:line="240" w:lineRule="auto"/>
        <w:jc w:val="left"/>
        <w:rPr>
          <w:rFonts w:eastAsia="仿宋"/>
          <w:sz w:val="18"/>
          <w:szCs w:val="18"/>
        </w:rPr>
      </w:pPr>
    </w:p>
    <w:p w14:paraId="2E8BBAB4">
      <w:pPr>
        <w:widowControl/>
        <w:spacing w:line="240" w:lineRule="auto"/>
        <w:jc w:val="left"/>
        <w:rPr>
          <w:rFonts w:eastAsia="仿宋"/>
          <w:sz w:val="18"/>
          <w:szCs w:val="18"/>
        </w:rPr>
      </w:pPr>
    </w:p>
    <w:p w14:paraId="6E7F5636">
      <w:pPr>
        <w:widowControl/>
        <w:spacing w:line="240" w:lineRule="auto"/>
        <w:jc w:val="left"/>
        <w:rPr>
          <w:rFonts w:eastAsia="仿宋"/>
          <w:sz w:val="18"/>
          <w:szCs w:val="18"/>
        </w:rPr>
      </w:pPr>
      <w:r>
        <w:rPr>
          <w:rFonts w:eastAsia="仿宋"/>
          <w:sz w:val="18"/>
          <w:szCs w:val="18"/>
        </w:rPr>
        <mc:AlternateContent>
          <mc:Choice Requires="wps">
            <w:drawing>
              <wp:anchor distT="0" distB="0" distL="114300" distR="114300" simplePos="0" relativeHeight="251697152" behindDoc="0" locked="0" layoutInCell="1" allowOverlap="1">
                <wp:simplePos x="0" y="0"/>
                <wp:positionH relativeFrom="column">
                  <wp:posOffset>233045</wp:posOffset>
                </wp:positionH>
                <wp:positionV relativeFrom="paragraph">
                  <wp:posOffset>-144145</wp:posOffset>
                </wp:positionV>
                <wp:extent cx="6242050" cy="333375"/>
                <wp:effectExtent l="4445" t="1905" r="1905" b="0"/>
                <wp:wrapNone/>
                <wp:docPr id="155" name="Text Box 32"/>
                <wp:cNvGraphicFramePr/>
                <a:graphic xmlns:a="http://schemas.openxmlformats.org/drawingml/2006/main">
                  <a:graphicData uri="http://schemas.microsoft.com/office/word/2010/wordprocessingShape">
                    <wps:wsp>
                      <wps:cNvSpPr txBox="1">
                        <a:spLocks noChangeArrowheads="1"/>
                      </wps:cNvSpPr>
                      <wps:spPr bwMode="auto">
                        <a:xfrm>
                          <a:off x="0" y="0"/>
                          <a:ext cx="6242050" cy="333375"/>
                        </a:xfrm>
                        <a:prstGeom prst="rect">
                          <a:avLst/>
                        </a:prstGeom>
                        <a:solidFill>
                          <a:srgbClr val="FFFFFF"/>
                        </a:solidFill>
                        <a:ln>
                          <a:noFill/>
                        </a:ln>
                      </wps:spPr>
                      <wps:txbx>
                        <w:txbxContent>
                          <w:p w14:paraId="2B9737FE">
                            <w:pPr>
                              <w:widowControl/>
                              <w:jc w:val="center"/>
                              <w:rPr>
                                <w:rFonts w:eastAsia="仿宋"/>
                                <w:b/>
                                <w:sz w:val="28"/>
                                <w:szCs w:val="28"/>
                              </w:rPr>
                            </w:pPr>
                            <w:r>
                              <w:rPr>
                                <w:rFonts w:eastAsia="仿宋"/>
                                <w:b/>
                                <w:sz w:val="28"/>
                                <w:szCs w:val="28"/>
                              </w:rPr>
                              <w:t xml:space="preserve">附图4 </w:t>
                            </w:r>
                            <w:r>
                              <w:rPr>
                                <w:rFonts w:hint="eastAsia" w:eastAsia="仿宋"/>
                                <w:b/>
                                <w:sz w:val="28"/>
                                <w:szCs w:val="28"/>
                              </w:rPr>
                              <w:t>花溪区高坡乡</w:t>
                            </w:r>
                            <w:r>
                              <w:rPr>
                                <w:rFonts w:eastAsia="仿宋"/>
                                <w:b/>
                                <w:sz w:val="28"/>
                                <w:szCs w:val="28"/>
                              </w:rPr>
                              <w:t>苦蒿冲集中式饮用水水源地保护区</w:t>
                            </w:r>
                            <w:r>
                              <w:rPr>
                                <w:rFonts w:hint="eastAsia" w:eastAsia="仿宋"/>
                                <w:b/>
                                <w:sz w:val="28"/>
                                <w:szCs w:val="28"/>
                              </w:rPr>
                              <w:t>划分影像</w:t>
                            </w:r>
                            <w:r>
                              <w:rPr>
                                <w:rFonts w:eastAsia="仿宋"/>
                                <w:b/>
                                <w:sz w:val="28"/>
                                <w:szCs w:val="28"/>
                              </w:rPr>
                              <w:t>图</w:t>
                            </w:r>
                          </w:p>
                        </w:txbxContent>
                      </wps:txbx>
                      <wps:bodyPr rot="0" vert="horz" wrap="square" lIns="91440" tIns="45720" rIns="91440" bIns="45720" anchor="t" anchorCtr="0" upright="1">
                        <a:noAutofit/>
                      </wps:bodyPr>
                    </wps:wsp>
                  </a:graphicData>
                </a:graphic>
              </wp:anchor>
            </w:drawing>
          </mc:Choice>
          <mc:Fallback>
            <w:pict>
              <v:shape id="Text Box 32" o:spid="_x0000_s1026" o:spt="202" type="#_x0000_t202" style="position:absolute;left:0pt;margin-left:18.35pt;margin-top:-11.35pt;height:26.25pt;width:491.5pt;z-index:251697152;mso-width-relative:page;mso-height-relative:page;" fillcolor="#FFFFFF" filled="t" stroked="f" coordsize="21600,21600" o:gfxdata="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KRxrxjXAAAACgEA&#10;AA8AAAAAAAAAAQAgAAAAIgAAAGRycy9kb3ducmV2LnhtbFBLAQIUABQAAAAIAIdO4kD7pNe/GwIA&#10;AEAEAAAOAAAAAAAAAAEAIAAAACYBAABkcnMvZTJvRG9jLnhtbFBLBQYAAAAABgAGAFkBAACzBQAA&#10;AAA=&#10;">
                <v:fill on="t" focussize="0,0"/>
                <v:stroke on="f"/>
                <v:imagedata o:title=""/>
                <o:lock v:ext="edit" aspectratio="f"/>
                <v:textbox>
                  <w:txbxContent>
                    <w:p w14:paraId="2B9737FE">
                      <w:pPr>
                        <w:widowControl/>
                        <w:jc w:val="center"/>
                        <w:rPr>
                          <w:rFonts w:eastAsia="仿宋"/>
                          <w:b/>
                          <w:sz w:val="28"/>
                          <w:szCs w:val="28"/>
                        </w:rPr>
                      </w:pPr>
                      <w:r>
                        <w:rPr>
                          <w:rFonts w:eastAsia="仿宋"/>
                          <w:b/>
                          <w:sz w:val="28"/>
                          <w:szCs w:val="28"/>
                        </w:rPr>
                        <w:t xml:space="preserve">附图4 </w:t>
                      </w:r>
                      <w:r>
                        <w:rPr>
                          <w:rFonts w:hint="eastAsia" w:eastAsia="仿宋"/>
                          <w:b/>
                          <w:sz w:val="28"/>
                          <w:szCs w:val="28"/>
                        </w:rPr>
                        <w:t>花溪区高坡乡</w:t>
                      </w:r>
                      <w:r>
                        <w:rPr>
                          <w:rFonts w:eastAsia="仿宋"/>
                          <w:b/>
                          <w:sz w:val="28"/>
                          <w:szCs w:val="28"/>
                        </w:rPr>
                        <w:t>苦蒿冲集中式饮用水水源地保护区</w:t>
                      </w:r>
                      <w:r>
                        <w:rPr>
                          <w:rFonts w:hint="eastAsia" w:eastAsia="仿宋"/>
                          <w:b/>
                          <w:sz w:val="28"/>
                          <w:szCs w:val="28"/>
                        </w:rPr>
                        <w:t>划分影像</w:t>
                      </w:r>
                      <w:r>
                        <w:rPr>
                          <w:rFonts w:eastAsia="仿宋"/>
                          <w:b/>
                          <w:sz w:val="28"/>
                          <w:szCs w:val="28"/>
                        </w:rPr>
                        <w:t>图</w:t>
                      </w:r>
                    </w:p>
                  </w:txbxContent>
                </v:textbox>
              </v:shape>
            </w:pict>
          </mc:Fallback>
        </mc:AlternateContent>
      </w:r>
    </w:p>
    <w:p w14:paraId="3B64F233">
      <w:pPr>
        <w:widowControl/>
        <w:spacing w:line="240" w:lineRule="auto"/>
        <w:jc w:val="left"/>
        <w:rPr>
          <w:rFonts w:eastAsia="仿宋"/>
          <w:sz w:val="18"/>
          <w:szCs w:val="18"/>
        </w:rPr>
      </w:pPr>
    </w:p>
    <w:p w14:paraId="38CEC8FF">
      <w:pPr>
        <w:widowControl/>
        <w:spacing w:line="240" w:lineRule="auto"/>
        <w:jc w:val="center"/>
        <w:rPr>
          <w:rFonts w:eastAsia="仿宋"/>
          <w:sz w:val="18"/>
          <w:szCs w:val="18"/>
        </w:rPr>
      </w:pPr>
      <w:r>
        <w:rPr>
          <w:rFonts w:hint="eastAsia"/>
        </w:rPr>
        <w:drawing>
          <wp:inline distT="0" distB="0" distL="0" distR="0">
            <wp:extent cx="6336030" cy="8724900"/>
            <wp:effectExtent l="0" t="0" r="0" b="0"/>
            <wp:docPr id="20" name="图片 20" descr="02苦蒿冲-2影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02苦蒿冲-2影像"/>
                    <pic:cNvPicPr>
                      <a:picLocks noChangeAspect="1" noChangeArrowheads="1"/>
                    </pic:cNvPicPr>
                  </pic:nvPicPr>
                  <pic:blipFill>
                    <a:blip r:embed="rId69" cstate="print">
                      <a:extLst>
                        <a:ext uri="{28A0092B-C50C-407E-A947-70E740481C1C}">
                          <a14:useLocalDpi xmlns:a14="http://schemas.microsoft.com/office/drawing/2010/main" val="0"/>
                        </a:ext>
                      </a:extLst>
                    </a:blip>
                    <a:srcRect l="960" t="3849" r="1293" b="894"/>
                    <a:stretch>
                      <a:fillRect/>
                    </a:stretch>
                  </pic:blipFill>
                  <pic:spPr>
                    <a:xfrm>
                      <a:off x="0" y="0"/>
                      <a:ext cx="6350782" cy="8744453"/>
                    </a:xfrm>
                    <a:prstGeom prst="rect">
                      <a:avLst/>
                    </a:prstGeom>
                    <a:noFill/>
                    <a:ln>
                      <a:noFill/>
                    </a:ln>
                  </pic:spPr>
                </pic:pic>
              </a:graphicData>
            </a:graphic>
          </wp:inline>
        </w:drawing>
      </w:r>
    </w:p>
    <w:p w14:paraId="565A7401">
      <w:pPr>
        <w:widowControl/>
        <w:spacing w:line="240" w:lineRule="auto"/>
        <w:jc w:val="left"/>
        <w:rPr>
          <w:rFonts w:eastAsia="仿宋"/>
          <w:sz w:val="18"/>
          <w:szCs w:val="18"/>
        </w:rPr>
      </w:pPr>
    </w:p>
    <w:p w14:paraId="57864315">
      <w:pPr>
        <w:widowControl/>
        <w:spacing w:line="240" w:lineRule="auto"/>
        <w:jc w:val="left"/>
        <w:rPr>
          <w:rFonts w:eastAsia="仿宋"/>
          <w:sz w:val="18"/>
          <w:szCs w:val="18"/>
        </w:rPr>
        <w:sectPr>
          <w:pgSz w:w="11907" w:h="16839"/>
          <w:pgMar w:top="720" w:right="720" w:bottom="720" w:left="720" w:header="851" w:footer="992" w:gutter="0"/>
          <w:pgNumType w:start="85"/>
          <w:cols w:space="720" w:num="1"/>
          <w:docGrid w:linePitch="326" w:charSpace="0"/>
        </w:sectPr>
      </w:pPr>
    </w:p>
    <w:p w14:paraId="0454D8C0">
      <w:pPr>
        <w:widowControl/>
        <w:spacing w:line="240" w:lineRule="auto"/>
        <w:jc w:val="left"/>
        <w:rPr>
          <w:rFonts w:eastAsia="仿宋"/>
          <w:b/>
          <w:kern w:val="0"/>
          <w:szCs w:val="24"/>
        </w:rPr>
      </w:pPr>
      <w:r>
        <w:rPr>
          <w:rFonts w:eastAsia="仿宋"/>
          <w:b/>
          <w:kern w:val="0"/>
          <w:szCs w:val="24"/>
        </w:rPr>
        <mc:AlternateContent>
          <mc:Choice Requires="wps">
            <w:drawing>
              <wp:anchor distT="0" distB="0" distL="114300" distR="114300" simplePos="0" relativeHeight="251698176" behindDoc="0" locked="0" layoutInCell="1" allowOverlap="1">
                <wp:simplePos x="0" y="0"/>
                <wp:positionH relativeFrom="column">
                  <wp:posOffset>1560830</wp:posOffset>
                </wp:positionH>
                <wp:positionV relativeFrom="paragraph">
                  <wp:posOffset>-105410</wp:posOffset>
                </wp:positionV>
                <wp:extent cx="6245860" cy="453390"/>
                <wp:effectExtent l="0" t="0" r="3810" b="0"/>
                <wp:wrapNone/>
                <wp:docPr id="154" name="Text Box 33"/>
                <wp:cNvGraphicFramePr/>
                <a:graphic xmlns:a="http://schemas.openxmlformats.org/drawingml/2006/main">
                  <a:graphicData uri="http://schemas.microsoft.com/office/word/2010/wordprocessingShape">
                    <wps:wsp>
                      <wps:cNvSpPr txBox="1">
                        <a:spLocks noChangeArrowheads="1"/>
                      </wps:cNvSpPr>
                      <wps:spPr bwMode="auto">
                        <a:xfrm>
                          <a:off x="0" y="0"/>
                          <a:ext cx="6245860" cy="453390"/>
                        </a:xfrm>
                        <a:prstGeom prst="rect">
                          <a:avLst/>
                        </a:prstGeom>
                        <a:solidFill>
                          <a:srgbClr val="FFFFFF"/>
                        </a:solidFill>
                        <a:ln>
                          <a:noFill/>
                        </a:ln>
                      </wps:spPr>
                      <wps:txbx>
                        <w:txbxContent>
                          <w:p w14:paraId="053B2F62">
                            <w:pPr>
                              <w:widowControl/>
                              <w:jc w:val="center"/>
                              <w:rPr>
                                <w:rFonts w:eastAsia="仿宋"/>
                                <w:b/>
                                <w:sz w:val="28"/>
                                <w:szCs w:val="28"/>
                              </w:rPr>
                            </w:pPr>
                            <w:r>
                              <w:rPr>
                                <w:rFonts w:eastAsia="仿宋"/>
                                <w:b/>
                                <w:sz w:val="28"/>
                                <w:szCs w:val="28"/>
                              </w:rPr>
                              <w:t xml:space="preserve">附图5 </w:t>
                            </w:r>
                            <w:r>
                              <w:rPr>
                                <w:rFonts w:hint="eastAsia" w:eastAsia="仿宋"/>
                                <w:b/>
                                <w:sz w:val="28"/>
                                <w:szCs w:val="28"/>
                              </w:rPr>
                              <w:t>花溪区</w:t>
                            </w:r>
                            <w:r>
                              <w:rPr>
                                <w:rFonts w:eastAsia="仿宋"/>
                                <w:b/>
                                <w:sz w:val="28"/>
                                <w:szCs w:val="28"/>
                              </w:rPr>
                              <w:t>马</w:t>
                            </w:r>
                            <w:r>
                              <w:rPr>
                                <w:rFonts w:hint="eastAsia" w:eastAsia="仿宋"/>
                                <w:b/>
                                <w:sz w:val="28"/>
                                <w:szCs w:val="28"/>
                              </w:rPr>
                              <w:t>铃</w:t>
                            </w:r>
                            <w:r>
                              <w:rPr>
                                <w:rFonts w:eastAsia="仿宋"/>
                                <w:b/>
                                <w:sz w:val="28"/>
                                <w:szCs w:val="28"/>
                              </w:rPr>
                              <w:t>乡麻窝坑集中式饮用水水源地保护区</w:t>
                            </w:r>
                            <w:r>
                              <w:rPr>
                                <w:rFonts w:hint="eastAsia" w:eastAsia="仿宋"/>
                                <w:b/>
                                <w:sz w:val="28"/>
                                <w:szCs w:val="28"/>
                              </w:rPr>
                              <w:t>划分</w:t>
                            </w:r>
                            <w:r>
                              <w:rPr>
                                <w:rFonts w:eastAsia="仿宋"/>
                                <w:b/>
                                <w:sz w:val="28"/>
                                <w:szCs w:val="28"/>
                              </w:rPr>
                              <w:t>图</w:t>
                            </w:r>
                          </w:p>
                        </w:txbxContent>
                      </wps:txbx>
                      <wps:bodyPr rot="0" vert="horz" wrap="square" lIns="91440" tIns="45720" rIns="91440" bIns="45720" anchor="t" anchorCtr="0" upright="1">
                        <a:noAutofit/>
                      </wps:bodyPr>
                    </wps:wsp>
                  </a:graphicData>
                </a:graphic>
              </wp:anchor>
            </w:drawing>
          </mc:Choice>
          <mc:Fallback>
            <w:pict>
              <v:shape id="Text Box 33" o:spid="_x0000_s1026" o:spt="202" type="#_x0000_t202" style="position:absolute;left:0pt;margin-left:122.9pt;margin-top:-8.3pt;height:35.7pt;width:491.8pt;z-index:251698176;mso-width-relative:page;mso-height-relative:page;" fillcolor="#FFFFFF" filled="t" stroked="f" coordsize="21600,21600" o:gfxdata="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ArGIv2QAA&#10;AAsBAAAPAAAAAAAAAAEAIAAAACIAAABkcnMvZG93bnJldi54bWxQSwECFAAUAAAACACHTuJAFWbb&#10;lB0CAABABAAADgAAAAAAAAABACAAAAAoAQAAZHJzL2Uyb0RvYy54bWxQSwUGAAAAAAYABgBZAQAA&#10;twUAAAAA&#10;">
                <v:fill on="t" focussize="0,0"/>
                <v:stroke on="f"/>
                <v:imagedata o:title=""/>
                <o:lock v:ext="edit" aspectratio="f"/>
                <v:textbox>
                  <w:txbxContent>
                    <w:p w14:paraId="053B2F62">
                      <w:pPr>
                        <w:widowControl/>
                        <w:jc w:val="center"/>
                        <w:rPr>
                          <w:rFonts w:eastAsia="仿宋"/>
                          <w:b/>
                          <w:sz w:val="28"/>
                          <w:szCs w:val="28"/>
                        </w:rPr>
                      </w:pPr>
                      <w:r>
                        <w:rPr>
                          <w:rFonts w:eastAsia="仿宋"/>
                          <w:b/>
                          <w:sz w:val="28"/>
                          <w:szCs w:val="28"/>
                        </w:rPr>
                        <w:t xml:space="preserve">附图5 </w:t>
                      </w:r>
                      <w:r>
                        <w:rPr>
                          <w:rFonts w:hint="eastAsia" w:eastAsia="仿宋"/>
                          <w:b/>
                          <w:sz w:val="28"/>
                          <w:szCs w:val="28"/>
                        </w:rPr>
                        <w:t>花溪区</w:t>
                      </w:r>
                      <w:r>
                        <w:rPr>
                          <w:rFonts w:eastAsia="仿宋"/>
                          <w:b/>
                          <w:sz w:val="28"/>
                          <w:szCs w:val="28"/>
                        </w:rPr>
                        <w:t>马</w:t>
                      </w:r>
                      <w:r>
                        <w:rPr>
                          <w:rFonts w:hint="eastAsia" w:eastAsia="仿宋"/>
                          <w:b/>
                          <w:sz w:val="28"/>
                          <w:szCs w:val="28"/>
                        </w:rPr>
                        <w:t>铃</w:t>
                      </w:r>
                      <w:r>
                        <w:rPr>
                          <w:rFonts w:eastAsia="仿宋"/>
                          <w:b/>
                          <w:sz w:val="28"/>
                          <w:szCs w:val="28"/>
                        </w:rPr>
                        <w:t>乡麻窝坑集中式饮用水水源地保护区</w:t>
                      </w:r>
                      <w:r>
                        <w:rPr>
                          <w:rFonts w:hint="eastAsia" w:eastAsia="仿宋"/>
                          <w:b/>
                          <w:sz w:val="28"/>
                          <w:szCs w:val="28"/>
                        </w:rPr>
                        <w:t>划分</w:t>
                      </w:r>
                      <w:r>
                        <w:rPr>
                          <w:rFonts w:eastAsia="仿宋"/>
                          <w:b/>
                          <w:sz w:val="28"/>
                          <w:szCs w:val="28"/>
                        </w:rPr>
                        <w:t>图</w:t>
                      </w:r>
                    </w:p>
                  </w:txbxContent>
                </v:textbox>
              </v:shape>
            </w:pict>
          </mc:Fallback>
        </mc:AlternateContent>
      </w:r>
    </w:p>
    <w:p w14:paraId="642461EA">
      <w:pPr>
        <w:widowControl/>
        <w:spacing w:line="240" w:lineRule="auto"/>
        <w:jc w:val="center"/>
        <w:rPr>
          <w:rFonts w:eastAsia="仿宋"/>
          <w:b/>
          <w:kern w:val="0"/>
          <w:szCs w:val="24"/>
        </w:rPr>
      </w:pPr>
      <w:r>
        <w:rPr>
          <w:rFonts w:eastAsia="仿宋"/>
          <w:b/>
          <w:kern w:val="0"/>
          <w:szCs w:val="24"/>
        </w:rPr>
        <w:drawing>
          <wp:inline distT="0" distB="0" distL="0" distR="0">
            <wp:extent cx="7611745" cy="501269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70">
                      <a:extLst>
                        <a:ext uri="{28A0092B-C50C-407E-A947-70E740481C1C}">
                          <a14:useLocalDpi xmlns:a14="http://schemas.microsoft.com/office/drawing/2010/main" val="0"/>
                        </a:ext>
                      </a:extLst>
                    </a:blip>
                    <a:srcRect t="6563"/>
                    <a:stretch>
                      <a:fillRect/>
                    </a:stretch>
                  </pic:blipFill>
                  <pic:spPr>
                    <a:xfrm>
                      <a:off x="0" y="0"/>
                      <a:ext cx="7618592" cy="5017431"/>
                    </a:xfrm>
                    <a:prstGeom prst="rect">
                      <a:avLst/>
                    </a:prstGeom>
                    <a:ln>
                      <a:noFill/>
                    </a:ln>
                  </pic:spPr>
                </pic:pic>
              </a:graphicData>
            </a:graphic>
          </wp:inline>
        </w:drawing>
      </w:r>
    </w:p>
    <w:p w14:paraId="500592D4">
      <w:pPr>
        <w:widowControl/>
        <w:spacing w:line="240" w:lineRule="auto"/>
        <w:jc w:val="left"/>
        <w:rPr>
          <w:rFonts w:eastAsia="仿宋"/>
          <w:b/>
          <w:kern w:val="0"/>
          <w:szCs w:val="24"/>
        </w:rPr>
      </w:pPr>
      <w:r>
        <w:rPr>
          <w:rFonts w:eastAsia="仿宋"/>
          <w:b/>
          <w:kern w:val="0"/>
          <w:szCs w:val="24"/>
        </w:rPr>
        <mc:AlternateContent>
          <mc:Choice Requires="wps">
            <w:drawing>
              <wp:anchor distT="0" distB="0" distL="114300" distR="114300" simplePos="0" relativeHeight="251699200" behindDoc="0" locked="0" layoutInCell="1" allowOverlap="1">
                <wp:simplePos x="0" y="0"/>
                <wp:positionH relativeFrom="column">
                  <wp:posOffset>1369060</wp:posOffset>
                </wp:positionH>
                <wp:positionV relativeFrom="paragraph">
                  <wp:posOffset>-117475</wp:posOffset>
                </wp:positionV>
                <wp:extent cx="6245860" cy="453390"/>
                <wp:effectExtent l="0" t="2540" r="0" b="1270"/>
                <wp:wrapNone/>
                <wp:docPr id="153" name="Text Box 34"/>
                <wp:cNvGraphicFramePr/>
                <a:graphic xmlns:a="http://schemas.openxmlformats.org/drawingml/2006/main">
                  <a:graphicData uri="http://schemas.microsoft.com/office/word/2010/wordprocessingShape">
                    <wps:wsp>
                      <wps:cNvSpPr txBox="1">
                        <a:spLocks noChangeArrowheads="1"/>
                      </wps:cNvSpPr>
                      <wps:spPr bwMode="auto">
                        <a:xfrm>
                          <a:off x="0" y="0"/>
                          <a:ext cx="6245860" cy="453390"/>
                        </a:xfrm>
                        <a:prstGeom prst="rect">
                          <a:avLst/>
                        </a:prstGeom>
                        <a:solidFill>
                          <a:srgbClr val="FFFFFF"/>
                        </a:solidFill>
                        <a:ln>
                          <a:noFill/>
                        </a:ln>
                      </wps:spPr>
                      <wps:txbx>
                        <w:txbxContent>
                          <w:p w14:paraId="31AF2765">
                            <w:pPr>
                              <w:widowControl/>
                              <w:jc w:val="center"/>
                              <w:rPr>
                                <w:rFonts w:eastAsia="仿宋"/>
                                <w:b/>
                                <w:sz w:val="28"/>
                                <w:szCs w:val="28"/>
                              </w:rPr>
                            </w:pPr>
                            <w:r>
                              <w:rPr>
                                <w:rFonts w:eastAsia="仿宋"/>
                                <w:b/>
                                <w:sz w:val="28"/>
                                <w:szCs w:val="28"/>
                              </w:rPr>
                              <w:t xml:space="preserve">附图6 </w:t>
                            </w:r>
                            <w:r>
                              <w:rPr>
                                <w:rFonts w:hint="eastAsia" w:eastAsia="仿宋"/>
                                <w:b/>
                                <w:sz w:val="28"/>
                                <w:szCs w:val="28"/>
                              </w:rPr>
                              <w:t>花溪区</w:t>
                            </w:r>
                            <w:r>
                              <w:rPr>
                                <w:rFonts w:eastAsia="仿宋"/>
                                <w:b/>
                                <w:sz w:val="28"/>
                                <w:szCs w:val="28"/>
                              </w:rPr>
                              <w:t>马</w:t>
                            </w:r>
                            <w:r>
                              <w:rPr>
                                <w:rFonts w:hint="eastAsia" w:eastAsia="仿宋"/>
                                <w:b/>
                                <w:sz w:val="28"/>
                                <w:szCs w:val="28"/>
                              </w:rPr>
                              <w:t>铃</w:t>
                            </w:r>
                            <w:r>
                              <w:rPr>
                                <w:rFonts w:eastAsia="仿宋"/>
                                <w:b/>
                                <w:sz w:val="28"/>
                                <w:szCs w:val="28"/>
                              </w:rPr>
                              <w:t>乡麻窝坑集中式饮用水水源地保护区</w:t>
                            </w:r>
                            <w:r>
                              <w:rPr>
                                <w:rFonts w:hint="eastAsia" w:eastAsia="仿宋"/>
                                <w:b/>
                                <w:sz w:val="28"/>
                                <w:szCs w:val="28"/>
                              </w:rPr>
                              <w:t>划分影像</w:t>
                            </w:r>
                            <w:r>
                              <w:rPr>
                                <w:rFonts w:eastAsia="仿宋"/>
                                <w:b/>
                                <w:sz w:val="28"/>
                                <w:szCs w:val="28"/>
                              </w:rPr>
                              <w:t>图</w:t>
                            </w:r>
                          </w:p>
                        </w:txbxContent>
                      </wps:txbx>
                      <wps:bodyPr rot="0" vert="horz" wrap="square" lIns="91440" tIns="45720" rIns="91440" bIns="45720" anchor="t" anchorCtr="0" upright="1">
                        <a:noAutofit/>
                      </wps:bodyPr>
                    </wps:wsp>
                  </a:graphicData>
                </a:graphic>
              </wp:anchor>
            </w:drawing>
          </mc:Choice>
          <mc:Fallback>
            <w:pict>
              <v:shape id="Text Box 34" o:spid="_x0000_s1026" o:spt="202" type="#_x0000_t202" style="position:absolute;left:0pt;margin-left:107.8pt;margin-top:-9.25pt;height:35.7pt;width:491.8pt;z-index:251699200;mso-width-relative:page;mso-height-relative:page;" fillcolor="#FFFFFF" filled="t" stroked="f" coordsize="21600,21600" o:gfxdata="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5ckOh2QAA&#10;AAsBAAAPAAAAAAAAAAEAIAAAACIAAABkcnMvZG93bnJldi54bWxQSwECFAAUAAAACACHTuJAHNfi&#10;BB0CAABABAAADgAAAAAAAAABACAAAAAoAQAAZHJzL2Uyb0RvYy54bWxQSwUGAAAAAAYABgBZAQAA&#10;twUAAAAA&#10;">
                <v:fill on="t" focussize="0,0"/>
                <v:stroke on="f"/>
                <v:imagedata o:title=""/>
                <o:lock v:ext="edit" aspectratio="f"/>
                <v:textbox>
                  <w:txbxContent>
                    <w:p w14:paraId="31AF2765">
                      <w:pPr>
                        <w:widowControl/>
                        <w:jc w:val="center"/>
                        <w:rPr>
                          <w:rFonts w:eastAsia="仿宋"/>
                          <w:b/>
                          <w:sz w:val="28"/>
                          <w:szCs w:val="28"/>
                        </w:rPr>
                      </w:pPr>
                      <w:r>
                        <w:rPr>
                          <w:rFonts w:eastAsia="仿宋"/>
                          <w:b/>
                          <w:sz w:val="28"/>
                          <w:szCs w:val="28"/>
                        </w:rPr>
                        <w:t xml:space="preserve">附图6 </w:t>
                      </w:r>
                      <w:r>
                        <w:rPr>
                          <w:rFonts w:hint="eastAsia" w:eastAsia="仿宋"/>
                          <w:b/>
                          <w:sz w:val="28"/>
                          <w:szCs w:val="28"/>
                        </w:rPr>
                        <w:t>花溪区</w:t>
                      </w:r>
                      <w:r>
                        <w:rPr>
                          <w:rFonts w:eastAsia="仿宋"/>
                          <w:b/>
                          <w:sz w:val="28"/>
                          <w:szCs w:val="28"/>
                        </w:rPr>
                        <w:t>马</w:t>
                      </w:r>
                      <w:r>
                        <w:rPr>
                          <w:rFonts w:hint="eastAsia" w:eastAsia="仿宋"/>
                          <w:b/>
                          <w:sz w:val="28"/>
                          <w:szCs w:val="28"/>
                        </w:rPr>
                        <w:t>铃</w:t>
                      </w:r>
                      <w:r>
                        <w:rPr>
                          <w:rFonts w:eastAsia="仿宋"/>
                          <w:b/>
                          <w:sz w:val="28"/>
                          <w:szCs w:val="28"/>
                        </w:rPr>
                        <w:t>乡麻窝坑集中式饮用水水源地保护区</w:t>
                      </w:r>
                      <w:r>
                        <w:rPr>
                          <w:rFonts w:hint="eastAsia" w:eastAsia="仿宋"/>
                          <w:b/>
                          <w:sz w:val="28"/>
                          <w:szCs w:val="28"/>
                        </w:rPr>
                        <w:t>划分影像</w:t>
                      </w:r>
                      <w:r>
                        <w:rPr>
                          <w:rFonts w:eastAsia="仿宋"/>
                          <w:b/>
                          <w:sz w:val="28"/>
                          <w:szCs w:val="28"/>
                        </w:rPr>
                        <w:t>图</w:t>
                      </w:r>
                    </w:p>
                  </w:txbxContent>
                </v:textbox>
              </v:shape>
            </w:pict>
          </mc:Fallback>
        </mc:AlternateContent>
      </w:r>
    </w:p>
    <w:p w14:paraId="7079B327">
      <w:pPr>
        <w:widowControl/>
        <w:spacing w:line="240" w:lineRule="auto"/>
        <w:jc w:val="center"/>
        <w:rPr>
          <w:rFonts w:eastAsia="仿宋"/>
          <w:b/>
          <w:kern w:val="0"/>
          <w:szCs w:val="24"/>
        </w:rPr>
        <w:sectPr>
          <w:pgSz w:w="16838" w:h="11906" w:orient="landscape"/>
          <w:pgMar w:top="1644" w:right="1440" w:bottom="1644" w:left="1440" w:header="851" w:footer="992" w:gutter="0"/>
          <w:cols w:space="425" w:num="1"/>
          <w:docGrid w:type="lines" w:linePitch="312" w:charSpace="0"/>
        </w:sectPr>
      </w:pPr>
      <w:r>
        <w:rPr>
          <w:rFonts w:eastAsia="仿宋"/>
          <w:b/>
          <w:kern w:val="0"/>
          <w:szCs w:val="24"/>
        </w:rPr>
        <w:drawing>
          <wp:inline distT="0" distB="0" distL="0" distR="0">
            <wp:extent cx="7732395" cy="508000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71" cstate="print">
                      <a:extLst>
                        <a:ext uri="{28A0092B-C50C-407E-A947-70E740481C1C}">
                          <a14:useLocalDpi xmlns:a14="http://schemas.microsoft.com/office/drawing/2010/main" val="0"/>
                        </a:ext>
                      </a:extLst>
                    </a:blip>
                    <a:srcRect t="7161"/>
                    <a:stretch>
                      <a:fillRect/>
                    </a:stretch>
                  </pic:blipFill>
                  <pic:spPr>
                    <a:xfrm>
                      <a:off x="0" y="0"/>
                      <a:ext cx="7733665" cy="5080545"/>
                    </a:xfrm>
                    <a:prstGeom prst="rect">
                      <a:avLst/>
                    </a:prstGeom>
                    <a:ln>
                      <a:noFill/>
                    </a:ln>
                  </pic:spPr>
                </pic:pic>
              </a:graphicData>
            </a:graphic>
          </wp:inline>
        </w:drawing>
      </w:r>
      <w:r>
        <w:rPr>
          <w:rFonts w:eastAsia="仿宋"/>
          <w:b/>
          <w:kern w:val="0"/>
          <w:szCs w:val="24"/>
        </w:rPr>
        <w:br w:type="page"/>
      </w:r>
    </w:p>
    <w:p w14:paraId="7F6CF08E">
      <w:pPr>
        <w:widowControl/>
        <w:spacing w:line="240" w:lineRule="auto"/>
        <w:jc w:val="left"/>
        <w:rPr>
          <w:rFonts w:eastAsia="仿宋"/>
          <w:b/>
          <w:kern w:val="0"/>
          <w:szCs w:val="24"/>
        </w:rPr>
      </w:pPr>
      <w:r>
        <mc:AlternateContent>
          <mc:Choice Requires="wps">
            <w:drawing>
              <wp:anchor distT="0" distB="0" distL="114300" distR="114300" simplePos="0" relativeHeight="251700224" behindDoc="0" locked="0" layoutInCell="1" allowOverlap="1">
                <wp:simplePos x="0" y="0"/>
                <wp:positionH relativeFrom="column">
                  <wp:posOffset>233680</wp:posOffset>
                </wp:positionH>
                <wp:positionV relativeFrom="paragraph">
                  <wp:posOffset>24765</wp:posOffset>
                </wp:positionV>
                <wp:extent cx="5320665" cy="453390"/>
                <wp:effectExtent l="1270" t="0" r="2540" b="0"/>
                <wp:wrapNone/>
                <wp:docPr id="152" name="Text Box 35"/>
                <wp:cNvGraphicFramePr/>
                <a:graphic xmlns:a="http://schemas.openxmlformats.org/drawingml/2006/main">
                  <a:graphicData uri="http://schemas.microsoft.com/office/word/2010/wordprocessingShape">
                    <wps:wsp>
                      <wps:cNvSpPr txBox="1">
                        <a:spLocks noChangeArrowheads="1"/>
                      </wps:cNvSpPr>
                      <wps:spPr bwMode="auto">
                        <a:xfrm>
                          <a:off x="0" y="0"/>
                          <a:ext cx="5320665" cy="453390"/>
                        </a:xfrm>
                        <a:prstGeom prst="rect">
                          <a:avLst/>
                        </a:prstGeom>
                        <a:solidFill>
                          <a:srgbClr val="FFFFFF"/>
                        </a:solidFill>
                        <a:ln>
                          <a:noFill/>
                        </a:ln>
                      </wps:spPr>
                      <wps:txbx>
                        <w:txbxContent>
                          <w:p w14:paraId="696F226F">
                            <w:pPr>
                              <w:widowControl/>
                              <w:jc w:val="center"/>
                              <w:rPr>
                                <w:rFonts w:eastAsia="仿宋"/>
                                <w:b/>
                                <w:sz w:val="28"/>
                                <w:szCs w:val="28"/>
                              </w:rPr>
                            </w:pPr>
                            <w:r>
                              <w:rPr>
                                <w:rFonts w:eastAsia="仿宋"/>
                                <w:b/>
                                <w:sz w:val="28"/>
                                <w:szCs w:val="28"/>
                              </w:rPr>
                              <w:t xml:space="preserve">附图7 </w:t>
                            </w:r>
                            <w:r>
                              <w:rPr>
                                <w:rFonts w:hint="eastAsia" w:eastAsia="仿宋"/>
                                <w:b/>
                                <w:sz w:val="28"/>
                                <w:szCs w:val="28"/>
                              </w:rPr>
                              <w:t>花溪区</w:t>
                            </w:r>
                            <w:r>
                              <w:rPr>
                                <w:rFonts w:eastAsia="仿宋"/>
                                <w:b/>
                                <w:sz w:val="28"/>
                                <w:szCs w:val="28"/>
                              </w:rPr>
                              <w:t>青岩镇海爬井集中式饮用水水源地保护区</w:t>
                            </w:r>
                            <w:r>
                              <w:rPr>
                                <w:rFonts w:hint="eastAsia" w:eastAsia="仿宋"/>
                                <w:b/>
                                <w:sz w:val="28"/>
                                <w:szCs w:val="28"/>
                              </w:rPr>
                              <w:t>划分</w:t>
                            </w:r>
                            <w:r>
                              <w:rPr>
                                <w:rFonts w:eastAsia="仿宋"/>
                                <w:b/>
                                <w:sz w:val="28"/>
                                <w:szCs w:val="28"/>
                              </w:rPr>
                              <w:t>图</w:t>
                            </w:r>
                          </w:p>
                        </w:txbxContent>
                      </wps:txbx>
                      <wps:bodyPr rot="0" vert="horz" wrap="square" lIns="91440" tIns="45720" rIns="91440" bIns="45720" anchor="t" anchorCtr="0" upright="1">
                        <a:noAutofit/>
                      </wps:bodyPr>
                    </wps:wsp>
                  </a:graphicData>
                </a:graphic>
              </wp:anchor>
            </w:drawing>
          </mc:Choice>
          <mc:Fallback>
            <w:pict>
              <v:shape id="Text Box 35" o:spid="_x0000_s1026" o:spt="202" type="#_x0000_t202" style="position:absolute;left:0pt;margin-left:18.4pt;margin-top:1.95pt;height:35.7pt;width:418.95pt;z-index:251700224;mso-width-relative:page;mso-height-relative:page;" fillcolor="#FFFFFF" filled="t" stroked="f" coordsize="21600,21600" o:gfxdata="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G/PJz1gAAAAcB&#10;AAAPAAAAAAAAAAEAIAAAACIAAABkcnMvZG93bnJldi54bWxQSwECFAAUAAAACACHTuJAviDkMx0C&#10;AABABAAADgAAAAAAAAABACAAAAAlAQAAZHJzL2Uyb0RvYy54bWxQSwUGAAAAAAYABgBZAQAAtAUA&#10;AAAA&#10;">
                <v:fill on="t" focussize="0,0"/>
                <v:stroke on="f"/>
                <v:imagedata o:title=""/>
                <o:lock v:ext="edit" aspectratio="f"/>
                <v:textbox>
                  <w:txbxContent>
                    <w:p w14:paraId="696F226F">
                      <w:pPr>
                        <w:widowControl/>
                        <w:jc w:val="center"/>
                        <w:rPr>
                          <w:rFonts w:eastAsia="仿宋"/>
                          <w:b/>
                          <w:sz w:val="28"/>
                          <w:szCs w:val="28"/>
                        </w:rPr>
                      </w:pPr>
                      <w:r>
                        <w:rPr>
                          <w:rFonts w:eastAsia="仿宋"/>
                          <w:b/>
                          <w:sz w:val="28"/>
                          <w:szCs w:val="28"/>
                        </w:rPr>
                        <w:t xml:space="preserve">附图7 </w:t>
                      </w:r>
                      <w:r>
                        <w:rPr>
                          <w:rFonts w:hint="eastAsia" w:eastAsia="仿宋"/>
                          <w:b/>
                          <w:sz w:val="28"/>
                          <w:szCs w:val="28"/>
                        </w:rPr>
                        <w:t>花溪区</w:t>
                      </w:r>
                      <w:r>
                        <w:rPr>
                          <w:rFonts w:eastAsia="仿宋"/>
                          <w:b/>
                          <w:sz w:val="28"/>
                          <w:szCs w:val="28"/>
                        </w:rPr>
                        <w:t>青岩镇海爬井集中式饮用水水源地保护区</w:t>
                      </w:r>
                      <w:r>
                        <w:rPr>
                          <w:rFonts w:hint="eastAsia" w:eastAsia="仿宋"/>
                          <w:b/>
                          <w:sz w:val="28"/>
                          <w:szCs w:val="28"/>
                        </w:rPr>
                        <w:t>划分</w:t>
                      </w:r>
                      <w:r>
                        <w:rPr>
                          <w:rFonts w:eastAsia="仿宋"/>
                          <w:b/>
                          <w:sz w:val="28"/>
                          <w:szCs w:val="28"/>
                        </w:rPr>
                        <w:t>图</w:t>
                      </w:r>
                    </w:p>
                  </w:txbxContent>
                </v:textbox>
              </v:shape>
            </w:pict>
          </mc:Fallback>
        </mc:AlternateContent>
      </w:r>
    </w:p>
    <w:p w14:paraId="702C2072">
      <w:pPr>
        <w:widowControl/>
        <w:spacing w:line="240" w:lineRule="auto"/>
        <w:jc w:val="left"/>
        <w:rPr>
          <w:rFonts w:eastAsia="仿宋"/>
          <w:b/>
          <w:kern w:val="0"/>
          <w:szCs w:val="24"/>
        </w:rPr>
      </w:pPr>
    </w:p>
    <w:p w14:paraId="17ADF630">
      <w:pPr>
        <w:widowControl/>
        <w:spacing w:line="240" w:lineRule="auto"/>
        <w:jc w:val="center"/>
        <w:rPr>
          <w:rFonts w:eastAsia="仿宋"/>
          <w:b/>
          <w:kern w:val="0"/>
          <w:szCs w:val="24"/>
        </w:rPr>
      </w:pPr>
      <w:r>
        <w:rPr>
          <w:rFonts w:hint="eastAsia"/>
        </w:rPr>
        <w:drawing>
          <wp:inline distT="0" distB="0" distL="114300" distR="114300">
            <wp:extent cx="5720715" cy="7772400"/>
            <wp:effectExtent l="0" t="0" r="0" b="0"/>
            <wp:docPr id="23" name="图片 23" descr="05海爬井-1地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05海爬井-1地形"/>
                    <pic:cNvPicPr>
                      <a:picLocks noChangeAspect="1"/>
                    </pic:cNvPicPr>
                  </pic:nvPicPr>
                  <pic:blipFill>
                    <a:blip r:embed="rId72"/>
                    <a:srcRect t="3873"/>
                    <a:stretch>
                      <a:fillRect/>
                    </a:stretch>
                  </pic:blipFill>
                  <pic:spPr>
                    <a:xfrm>
                      <a:off x="0" y="0"/>
                      <a:ext cx="5725002" cy="7777784"/>
                    </a:xfrm>
                    <a:prstGeom prst="rect">
                      <a:avLst/>
                    </a:prstGeom>
                    <a:ln>
                      <a:noFill/>
                    </a:ln>
                  </pic:spPr>
                </pic:pic>
              </a:graphicData>
            </a:graphic>
          </wp:inline>
        </w:drawing>
      </w:r>
    </w:p>
    <w:p w14:paraId="66FB88B2">
      <w:pPr>
        <w:widowControl/>
        <w:spacing w:line="240" w:lineRule="auto"/>
        <w:jc w:val="left"/>
        <w:rPr>
          <w:rFonts w:eastAsia="仿宋"/>
          <w:b/>
          <w:kern w:val="0"/>
          <w:szCs w:val="24"/>
        </w:rPr>
      </w:pPr>
    </w:p>
    <w:p w14:paraId="5734E650">
      <w:pPr>
        <w:widowControl/>
        <w:spacing w:line="240" w:lineRule="auto"/>
        <w:jc w:val="left"/>
        <w:rPr>
          <w:rFonts w:eastAsia="仿宋"/>
          <w:b/>
          <w:kern w:val="0"/>
          <w:szCs w:val="24"/>
        </w:rPr>
      </w:pPr>
    </w:p>
    <w:p w14:paraId="16C0CEFE">
      <w:pPr>
        <w:widowControl/>
        <w:spacing w:line="240" w:lineRule="auto"/>
        <w:jc w:val="left"/>
        <w:rPr>
          <w:rFonts w:eastAsia="仿宋"/>
          <w:b/>
          <w:kern w:val="0"/>
          <w:szCs w:val="24"/>
        </w:rPr>
      </w:pPr>
      <w:r>
        <w:rPr>
          <w:rFonts w:eastAsia="仿宋"/>
          <w:b/>
          <w:kern w:val="0"/>
          <w:szCs w:val="24"/>
        </w:rPr>
        <mc:AlternateContent>
          <mc:Choice Requires="wps">
            <w:drawing>
              <wp:anchor distT="0" distB="0" distL="114300" distR="114300" simplePos="0" relativeHeight="251701248" behindDoc="0" locked="0" layoutInCell="1" allowOverlap="1">
                <wp:simplePos x="0" y="0"/>
                <wp:positionH relativeFrom="column">
                  <wp:posOffset>56515</wp:posOffset>
                </wp:positionH>
                <wp:positionV relativeFrom="paragraph">
                  <wp:posOffset>-6985</wp:posOffset>
                </wp:positionV>
                <wp:extent cx="5438775" cy="453390"/>
                <wp:effectExtent l="0" t="2540" r="4445" b="1270"/>
                <wp:wrapNone/>
                <wp:docPr id="151" name="Text Box 36"/>
                <wp:cNvGraphicFramePr/>
                <a:graphic xmlns:a="http://schemas.openxmlformats.org/drawingml/2006/main">
                  <a:graphicData uri="http://schemas.microsoft.com/office/word/2010/wordprocessingShape">
                    <wps:wsp>
                      <wps:cNvSpPr txBox="1">
                        <a:spLocks noChangeArrowheads="1"/>
                      </wps:cNvSpPr>
                      <wps:spPr bwMode="auto">
                        <a:xfrm>
                          <a:off x="0" y="0"/>
                          <a:ext cx="5438775" cy="453390"/>
                        </a:xfrm>
                        <a:prstGeom prst="rect">
                          <a:avLst/>
                        </a:prstGeom>
                        <a:solidFill>
                          <a:srgbClr val="FFFFFF"/>
                        </a:solidFill>
                        <a:ln>
                          <a:noFill/>
                        </a:ln>
                      </wps:spPr>
                      <wps:txbx>
                        <w:txbxContent>
                          <w:p w14:paraId="24FF3E59">
                            <w:pPr>
                              <w:widowControl/>
                              <w:rPr>
                                <w:rFonts w:eastAsia="仿宋"/>
                                <w:b/>
                                <w:sz w:val="28"/>
                                <w:szCs w:val="28"/>
                              </w:rPr>
                            </w:pPr>
                            <w:r>
                              <w:rPr>
                                <w:rFonts w:eastAsia="仿宋"/>
                                <w:b/>
                                <w:sz w:val="28"/>
                                <w:szCs w:val="28"/>
                              </w:rPr>
                              <w:t xml:space="preserve">附图8 </w:t>
                            </w:r>
                            <w:r>
                              <w:rPr>
                                <w:rFonts w:hint="eastAsia" w:eastAsia="仿宋"/>
                                <w:b/>
                                <w:sz w:val="28"/>
                                <w:szCs w:val="28"/>
                              </w:rPr>
                              <w:t>花溪区</w:t>
                            </w:r>
                            <w:r>
                              <w:rPr>
                                <w:rFonts w:eastAsia="仿宋"/>
                                <w:b/>
                                <w:sz w:val="28"/>
                                <w:szCs w:val="28"/>
                              </w:rPr>
                              <w:t>青岩镇海爬井集中式饮用水水源地保护区</w:t>
                            </w:r>
                            <w:r>
                              <w:rPr>
                                <w:rFonts w:hint="eastAsia" w:eastAsia="仿宋"/>
                                <w:b/>
                                <w:sz w:val="28"/>
                                <w:szCs w:val="28"/>
                              </w:rPr>
                              <w:t>划分影像</w:t>
                            </w:r>
                            <w:r>
                              <w:rPr>
                                <w:rFonts w:eastAsia="仿宋"/>
                                <w:b/>
                                <w:sz w:val="28"/>
                                <w:szCs w:val="28"/>
                              </w:rPr>
                              <w:t>图</w:t>
                            </w:r>
                          </w:p>
                        </w:txbxContent>
                      </wps:txbx>
                      <wps:bodyPr rot="0" vert="horz" wrap="square" lIns="91440" tIns="45720" rIns="91440" bIns="45720" anchor="t" anchorCtr="0" upright="1">
                        <a:noAutofit/>
                      </wps:bodyPr>
                    </wps:wsp>
                  </a:graphicData>
                </a:graphic>
              </wp:anchor>
            </w:drawing>
          </mc:Choice>
          <mc:Fallback>
            <w:pict>
              <v:shape id="Text Box 36" o:spid="_x0000_s1026" o:spt="202" type="#_x0000_t202" style="position:absolute;left:0pt;margin-left:4.45pt;margin-top:-0.55pt;height:35.7pt;width:428.25pt;z-index:251701248;mso-width-relative:page;mso-height-relative:page;" fillcolor="#FFFFFF" filled="t" stroked="f" coordsize="21600,21600" o:gfxdata="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9kbFB1gAAAAcB&#10;AAAPAAAAAAAAAAEAIAAAACIAAABkcnMvZG93bnJldi54bWxQSwECFAAUAAAACACHTuJAyvy6SR0C&#10;AABABAAADgAAAAAAAAABACAAAAAlAQAAZHJzL2Uyb0RvYy54bWxQSwUGAAAAAAYABgBZAQAAtAUA&#10;AAAA&#10;">
                <v:fill on="t" focussize="0,0"/>
                <v:stroke on="f"/>
                <v:imagedata o:title=""/>
                <o:lock v:ext="edit" aspectratio="f"/>
                <v:textbox>
                  <w:txbxContent>
                    <w:p w14:paraId="24FF3E59">
                      <w:pPr>
                        <w:widowControl/>
                        <w:rPr>
                          <w:rFonts w:eastAsia="仿宋"/>
                          <w:b/>
                          <w:sz w:val="28"/>
                          <w:szCs w:val="28"/>
                        </w:rPr>
                      </w:pPr>
                      <w:r>
                        <w:rPr>
                          <w:rFonts w:eastAsia="仿宋"/>
                          <w:b/>
                          <w:sz w:val="28"/>
                          <w:szCs w:val="28"/>
                        </w:rPr>
                        <w:t xml:space="preserve">附图8 </w:t>
                      </w:r>
                      <w:r>
                        <w:rPr>
                          <w:rFonts w:hint="eastAsia" w:eastAsia="仿宋"/>
                          <w:b/>
                          <w:sz w:val="28"/>
                          <w:szCs w:val="28"/>
                        </w:rPr>
                        <w:t>花溪区</w:t>
                      </w:r>
                      <w:r>
                        <w:rPr>
                          <w:rFonts w:eastAsia="仿宋"/>
                          <w:b/>
                          <w:sz w:val="28"/>
                          <w:szCs w:val="28"/>
                        </w:rPr>
                        <w:t>青岩镇海爬井集中式饮用水水源地保护区</w:t>
                      </w:r>
                      <w:r>
                        <w:rPr>
                          <w:rFonts w:hint="eastAsia" w:eastAsia="仿宋"/>
                          <w:b/>
                          <w:sz w:val="28"/>
                          <w:szCs w:val="28"/>
                        </w:rPr>
                        <w:t>划分影像</w:t>
                      </w:r>
                      <w:r>
                        <w:rPr>
                          <w:rFonts w:eastAsia="仿宋"/>
                          <w:b/>
                          <w:sz w:val="28"/>
                          <w:szCs w:val="28"/>
                        </w:rPr>
                        <w:t>图</w:t>
                      </w:r>
                    </w:p>
                  </w:txbxContent>
                </v:textbox>
              </v:shape>
            </w:pict>
          </mc:Fallback>
        </mc:AlternateContent>
      </w:r>
    </w:p>
    <w:p w14:paraId="6D4268E9">
      <w:pPr>
        <w:widowControl/>
        <w:spacing w:line="240" w:lineRule="auto"/>
        <w:jc w:val="left"/>
        <w:rPr>
          <w:rFonts w:eastAsia="仿宋"/>
          <w:b/>
          <w:kern w:val="0"/>
          <w:szCs w:val="24"/>
        </w:rPr>
      </w:pPr>
    </w:p>
    <w:p w14:paraId="22191284">
      <w:pPr>
        <w:widowControl/>
        <w:spacing w:line="240" w:lineRule="auto"/>
        <w:jc w:val="left"/>
        <w:rPr>
          <w:rFonts w:eastAsia="仿宋"/>
          <w:b/>
          <w:kern w:val="0"/>
          <w:szCs w:val="24"/>
        </w:rPr>
      </w:pPr>
      <w:r>
        <w:rPr>
          <w:rFonts w:hint="eastAsia"/>
        </w:rPr>
        <w:drawing>
          <wp:inline distT="0" distB="0" distL="114300" distR="114300">
            <wp:extent cx="5625465" cy="7654925"/>
            <wp:effectExtent l="0" t="0" r="0" b="0"/>
            <wp:docPr id="24" name="图片 24" descr="05海爬井-2影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05海爬井-2影像"/>
                    <pic:cNvPicPr>
                      <a:picLocks noChangeAspect="1"/>
                    </pic:cNvPicPr>
                  </pic:nvPicPr>
                  <pic:blipFill>
                    <a:blip r:embed="rId73"/>
                    <a:srcRect t="3712"/>
                    <a:stretch>
                      <a:fillRect/>
                    </a:stretch>
                  </pic:blipFill>
                  <pic:spPr>
                    <a:xfrm>
                      <a:off x="0" y="0"/>
                      <a:ext cx="5627591" cy="7658000"/>
                    </a:xfrm>
                    <a:prstGeom prst="rect">
                      <a:avLst/>
                    </a:prstGeom>
                    <a:ln>
                      <a:noFill/>
                    </a:ln>
                  </pic:spPr>
                </pic:pic>
              </a:graphicData>
            </a:graphic>
          </wp:inline>
        </w:drawing>
      </w:r>
    </w:p>
    <w:p w14:paraId="1976DCE1">
      <w:pPr>
        <w:widowControl/>
        <w:spacing w:line="240" w:lineRule="auto"/>
        <w:jc w:val="left"/>
        <w:rPr>
          <w:rFonts w:eastAsia="仿宋"/>
          <w:b/>
          <w:kern w:val="0"/>
          <w:szCs w:val="24"/>
        </w:rPr>
        <w:sectPr>
          <w:pgSz w:w="11906" w:h="16838"/>
          <w:pgMar w:top="1440" w:right="1644" w:bottom="1440" w:left="1644" w:header="851" w:footer="992" w:gutter="0"/>
          <w:cols w:space="425" w:num="1"/>
          <w:docGrid w:type="lines" w:linePitch="312" w:charSpace="0"/>
        </w:sectPr>
      </w:pPr>
      <w:r>
        <w:rPr>
          <w:rFonts w:eastAsia="仿宋"/>
          <w:b/>
          <w:kern w:val="0"/>
          <w:szCs w:val="24"/>
        </w:rPr>
        <w:br w:type="page"/>
      </w:r>
    </w:p>
    <w:p w14:paraId="049EC396">
      <w:pPr>
        <w:widowControl/>
        <w:spacing w:line="240" w:lineRule="auto"/>
        <w:jc w:val="left"/>
        <w:rPr>
          <w:rFonts w:eastAsia="仿宋"/>
          <w:b/>
          <w:kern w:val="0"/>
          <w:szCs w:val="24"/>
        </w:rPr>
      </w:pPr>
      <w:r>
        <w:rPr>
          <w:rFonts w:eastAsia="仿宋"/>
          <w:b/>
          <w:kern w:val="0"/>
          <w:szCs w:val="24"/>
        </w:rPr>
        <mc:AlternateContent>
          <mc:Choice Requires="wps">
            <w:drawing>
              <wp:anchor distT="0" distB="0" distL="114300" distR="114300" simplePos="0" relativeHeight="251702272" behindDoc="0" locked="0" layoutInCell="1" allowOverlap="1">
                <wp:simplePos x="0" y="0"/>
                <wp:positionH relativeFrom="column">
                  <wp:posOffset>1922780</wp:posOffset>
                </wp:positionH>
                <wp:positionV relativeFrom="paragraph">
                  <wp:posOffset>-161290</wp:posOffset>
                </wp:positionV>
                <wp:extent cx="5438775" cy="453390"/>
                <wp:effectExtent l="0" t="0" r="1270" b="0"/>
                <wp:wrapNone/>
                <wp:docPr id="150" name="Text Box 37"/>
                <wp:cNvGraphicFramePr/>
                <a:graphic xmlns:a="http://schemas.openxmlformats.org/drawingml/2006/main">
                  <a:graphicData uri="http://schemas.microsoft.com/office/word/2010/wordprocessingShape">
                    <wps:wsp>
                      <wps:cNvSpPr txBox="1">
                        <a:spLocks noChangeArrowheads="1"/>
                      </wps:cNvSpPr>
                      <wps:spPr bwMode="auto">
                        <a:xfrm>
                          <a:off x="0" y="0"/>
                          <a:ext cx="5438775" cy="453390"/>
                        </a:xfrm>
                        <a:prstGeom prst="rect">
                          <a:avLst/>
                        </a:prstGeom>
                        <a:solidFill>
                          <a:srgbClr val="FFFFFF"/>
                        </a:solidFill>
                        <a:ln>
                          <a:noFill/>
                        </a:ln>
                      </wps:spPr>
                      <wps:txbx>
                        <w:txbxContent>
                          <w:p w14:paraId="426759C4">
                            <w:pPr>
                              <w:widowControl/>
                              <w:rPr>
                                <w:rFonts w:eastAsia="仿宋"/>
                                <w:b/>
                                <w:sz w:val="28"/>
                                <w:szCs w:val="28"/>
                              </w:rPr>
                            </w:pPr>
                            <w:r>
                              <w:rPr>
                                <w:rFonts w:eastAsia="仿宋"/>
                                <w:b/>
                                <w:sz w:val="28"/>
                                <w:szCs w:val="28"/>
                              </w:rPr>
                              <w:t xml:space="preserve">附图9 </w:t>
                            </w:r>
                            <w:r>
                              <w:rPr>
                                <w:rFonts w:hint="eastAsia" w:eastAsia="仿宋"/>
                                <w:b/>
                                <w:sz w:val="28"/>
                                <w:szCs w:val="28"/>
                              </w:rPr>
                              <w:t>花溪区</w:t>
                            </w:r>
                            <w:r>
                              <w:rPr>
                                <w:rFonts w:eastAsia="仿宋"/>
                                <w:b/>
                                <w:sz w:val="28"/>
                                <w:szCs w:val="28"/>
                              </w:rPr>
                              <w:t>青岩镇</w:t>
                            </w:r>
                            <w:r>
                              <w:rPr>
                                <w:rFonts w:hint="eastAsia" w:eastAsia="仿宋"/>
                                <w:b/>
                                <w:sz w:val="28"/>
                                <w:szCs w:val="28"/>
                              </w:rPr>
                              <w:t>龙井沟</w:t>
                            </w:r>
                            <w:r>
                              <w:rPr>
                                <w:rFonts w:eastAsia="仿宋"/>
                                <w:b/>
                                <w:sz w:val="28"/>
                                <w:szCs w:val="28"/>
                              </w:rPr>
                              <w:t>集中式饮用水水源地保护区</w:t>
                            </w:r>
                            <w:r>
                              <w:rPr>
                                <w:rFonts w:hint="eastAsia" w:eastAsia="仿宋"/>
                                <w:b/>
                                <w:sz w:val="28"/>
                                <w:szCs w:val="28"/>
                              </w:rPr>
                              <w:t>划分</w:t>
                            </w:r>
                            <w:r>
                              <w:rPr>
                                <w:rFonts w:eastAsia="仿宋"/>
                                <w:b/>
                                <w:sz w:val="28"/>
                                <w:szCs w:val="28"/>
                              </w:rPr>
                              <w:t>图</w:t>
                            </w:r>
                          </w:p>
                        </w:txbxContent>
                      </wps:txbx>
                      <wps:bodyPr rot="0" vert="horz" wrap="square" lIns="91440" tIns="45720" rIns="91440" bIns="45720" anchor="t" anchorCtr="0" upright="1">
                        <a:noAutofit/>
                      </wps:bodyPr>
                    </wps:wsp>
                  </a:graphicData>
                </a:graphic>
              </wp:anchor>
            </w:drawing>
          </mc:Choice>
          <mc:Fallback>
            <w:pict>
              <v:shape id="Text Box 37" o:spid="_x0000_s1026" o:spt="202" type="#_x0000_t202" style="position:absolute;left:0pt;margin-left:151.4pt;margin-top:-12.7pt;height:35.7pt;width:428.25pt;z-index:251702272;mso-width-relative:page;mso-height-relative:page;" fillcolor="#FFFFFF" filled="t" stroked="f" coordsize="21600,21600" o:gfxdata="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OsKbv2QAA&#10;AAsBAAAPAAAAAAAAAAEAIAAAACIAAABkcnMvZG93bnJldi54bWxQSwECFAAUAAAACACHTuJA5BmC&#10;th0CAABABAAADgAAAAAAAAABACAAAAAoAQAAZHJzL2Uyb0RvYy54bWxQSwUGAAAAAAYABgBZAQAA&#10;twUAAAAA&#10;">
                <v:fill on="t" focussize="0,0"/>
                <v:stroke on="f"/>
                <v:imagedata o:title=""/>
                <o:lock v:ext="edit" aspectratio="f"/>
                <v:textbox>
                  <w:txbxContent>
                    <w:p w14:paraId="426759C4">
                      <w:pPr>
                        <w:widowControl/>
                        <w:rPr>
                          <w:rFonts w:eastAsia="仿宋"/>
                          <w:b/>
                          <w:sz w:val="28"/>
                          <w:szCs w:val="28"/>
                        </w:rPr>
                      </w:pPr>
                      <w:r>
                        <w:rPr>
                          <w:rFonts w:eastAsia="仿宋"/>
                          <w:b/>
                          <w:sz w:val="28"/>
                          <w:szCs w:val="28"/>
                        </w:rPr>
                        <w:t xml:space="preserve">附图9 </w:t>
                      </w:r>
                      <w:r>
                        <w:rPr>
                          <w:rFonts w:hint="eastAsia" w:eastAsia="仿宋"/>
                          <w:b/>
                          <w:sz w:val="28"/>
                          <w:szCs w:val="28"/>
                        </w:rPr>
                        <w:t>花溪区</w:t>
                      </w:r>
                      <w:r>
                        <w:rPr>
                          <w:rFonts w:eastAsia="仿宋"/>
                          <w:b/>
                          <w:sz w:val="28"/>
                          <w:szCs w:val="28"/>
                        </w:rPr>
                        <w:t>青岩镇</w:t>
                      </w:r>
                      <w:r>
                        <w:rPr>
                          <w:rFonts w:hint="eastAsia" w:eastAsia="仿宋"/>
                          <w:b/>
                          <w:sz w:val="28"/>
                          <w:szCs w:val="28"/>
                        </w:rPr>
                        <w:t>龙井沟</w:t>
                      </w:r>
                      <w:r>
                        <w:rPr>
                          <w:rFonts w:eastAsia="仿宋"/>
                          <w:b/>
                          <w:sz w:val="28"/>
                          <w:szCs w:val="28"/>
                        </w:rPr>
                        <w:t>集中式饮用水水源地保护区</w:t>
                      </w:r>
                      <w:r>
                        <w:rPr>
                          <w:rFonts w:hint="eastAsia" w:eastAsia="仿宋"/>
                          <w:b/>
                          <w:sz w:val="28"/>
                          <w:szCs w:val="28"/>
                        </w:rPr>
                        <w:t>划分</w:t>
                      </w:r>
                      <w:r>
                        <w:rPr>
                          <w:rFonts w:eastAsia="仿宋"/>
                          <w:b/>
                          <w:sz w:val="28"/>
                          <w:szCs w:val="28"/>
                        </w:rPr>
                        <w:t>图</w:t>
                      </w:r>
                    </w:p>
                  </w:txbxContent>
                </v:textbox>
              </v:shape>
            </w:pict>
          </mc:Fallback>
        </mc:AlternateContent>
      </w:r>
    </w:p>
    <w:p w14:paraId="4A5B6E15">
      <w:pPr>
        <w:widowControl/>
        <w:spacing w:line="240" w:lineRule="auto"/>
        <w:jc w:val="center"/>
        <w:rPr>
          <w:rFonts w:eastAsia="仿宋"/>
          <w:b/>
          <w:kern w:val="0"/>
          <w:szCs w:val="24"/>
        </w:rPr>
      </w:pPr>
      <w:r>
        <w:rPr>
          <w:rFonts w:hint="eastAsia"/>
        </w:rPr>
        <w:drawing>
          <wp:inline distT="0" distB="0" distL="114300" distR="114300">
            <wp:extent cx="7642860" cy="5032375"/>
            <wp:effectExtent l="0" t="0" r="0" b="0"/>
            <wp:docPr id="31" name="图片 31" descr="06龙井沟-1地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06龙井沟-1地形"/>
                    <pic:cNvPicPr>
                      <a:picLocks noChangeAspect="1"/>
                    </pic:cNvPicPr>
                  </pic:nvPicPr>
                  <pic:blipFill>
                    <a:blip r:embed="rId74"/>
                    <a:srcRect t="6951"/>
                    <a:stretch>
                      <a:fillRect/>
                    </a:stretch>
                  </pic:blipFill>
                  <pic:spPr>
                    <a:xfrm>
                      <a:off x="0" y="0"/>
                      <a:ext cx="7652251" cy="5038326"/>
                    </a:xfrm>
                    <a:prstGeom prst="rect">
                      <a:avLst/>
                    </a:prstGeom>
                    <a:ln>
                      <a:noFill/>
                    </a:ln>
                  </pic:spPr>
                </pic:pic>
              </a:graphicData>
            </a:graphic>
          </wp:inline>
        </w:drawing>
      </w:r>
    </w:p>
    <w:p w14:paraId="0071452E">
      <w:pPr>
        <w:widowControl/>
        <w:spacing w:line="240" w:lineRule="auto"/>
        <w:jc w:val="left"/>
        <w:rPr>
          <w:rFonts w:eastAsia="仿宋"/>
          <w:b/>
          <w:kern w:val="0"/>
          <w:szCs w:val="24"/>
        </w:rPr>
      </w:pPr>
      <w:r>
        <w:rPr>
          <w:rFonts w:eastAsia="仿宋"/>
          <w:b/>
          <w:kern w:val="0"/>
          <w:szCs w:val="24"/>
        </w:rPr>
        <mc:AlternateContent>
          <mc:Choice Requires="wps">
            <w:drawing>
              <wp:anchor distT="0" distB="0" distL="114300" distR="114300" simplePos="0" relativeHeight="251703296" behindDoc="0" locked="0" layoutInCell="1" allowOverlap="1">
                <wp:simplePos x="0" y="0"/>
                <wp:positionH relativeFrom="column">
                  <wp:posOffset>1660525</wp:posOffset>
                </wp:positionH>
                <wp:positionV relativeFrom="paragraph">
                  <wp:posOffset>-210820</wp:posOffset>
                </wp:positionV>
                <wp:extent cx="5728970" cy="453390"/>
                <wp:effectExtent l="3175" t="4445" r="1905" b="0"/>
                <wp:wrapNone/>
                <wp:docPr id="149" name="Text Box 38"/>
                <wp:cNvGraphicFramePr/>
                <a:graphic xmlns:a="http://schemas.openxmlformats.org/drawingml/2006/main">
                  <a:graphicData uri="http://schemas.microsoft.com/office/word/2010/wordprocessingShape">
                    <wps:wsp>
                      <wps:cNvSpPr txBox="1">
                        <a:spLocks noChangeArrowheads="1"/>
                      </wps:cNvSpPr>
                      <wps:spPr bwMode="auto">
                        <a:xfrm>
                          <a:off x="0" y="0"/>
                          <a:ext cx="5728970" cy="453390"/>
                        </a:xfrm>
                        <a:prstGeom prst="rect">
                          <a:avLst/>
                        </a:prstGeom>
                        <a:solidFill>
                          <a:srgbClr val="FFFFFF"/>
                        </a:solidFill>
                        <a:ln>
                          <a:noFill/>
                        </a:ln>
                      </wps:spPr>
                      <wps:txbx>
                        <w:txbxContent>
                          <w:p w14:paraId="04C17EB9">
                            <w:pPr>
                              <w:widowControl/>
                              <w:rPr>
                                <w:rFonts w:eastAsia="仿宋"/>
                                <w:b/>
                                <w:sz w:val="28"/>
                                <w:szCs w:val="28"/>
                              </w:rPr>
                            </w:pPr>
                            <w:r>
                              <w:rPr>
                                <w:rFonts w:eastAsia="仿宋"/>
                                <w:b/>
                                <w:sz w:val="28"/>
                                <w:szCs w:val="28"/>
                              </w:rPr>
                              <w:t xml:space="preserve">附图10 </w:t>
                            </w:r>
                            <w:r>
                              <w:rPr>
                                <w:rFonts w:hint="eastAsia" w:eastAsia="仿宋"/>
                                <w:b/>
                                <w:sz w:val="28"/>
                                <w:szCs w:val="28"/>
                              </w:rPr>
                              <w:t>花溪区</w:t>
                            </w:r>
                            <w:r>
                              <w:rPr>
                                <w:rFonts w:eastAsia="仿宋"/>
                                <w:b/>
                                <w:sz w:val="28"/>
                                <w:szCs w:val="28"/>
                              </w:rPr>
                              <w:t>青岩镇</w:t>
                            </w:r>
                            <w:r>
                              <w:rPr>
                                <w:rFonts w:hint="eastAsia" w:eastAsia="仿宋"/>
                                <w:b/>
                                <w:sz w:val="28"/>
                                <w:szCs w:val="28"/>
                              </w:rPr>
                              <w:t>龙井沟</w:t>
                            </w:r>
                            <w:r>
                              <w:rPr>
                                <w:rFonts w:eastAsia="仿宋"/>
                                <w:b/>
                                <w:sz w:val="28"/>
                                <w:szCs w:val="28"/>
                              </w:rPr>
                              <w:t>集中式饮用水水源地保护区</w:t>
                            </w:r>
                            <w:r>
                              <w:rPr>
                                <w:rFonts w:hint="eastAsia" w:eastAsia="仿宋"/>
                                <w:b/>
                                <w:sz w:val="28"/>
                                <w:szCs w:val="28"/>
                              </w:rPr>
                              <w:t>划分影像</w:t>
                            </w:r>
                            <w:r>
                              <w:rPr>
                                <w:rFonts w:eastAsia="仿宋"/>
                                <w:b/>
                                <w:sz w:val="28"/>
                                <w:szCs w:val="28"/>
                              </w:rPr>
                              <w:t>图</w:t>
                            </w:r>
                          </w:p>
                        </w:txbxContent>
                      </wps:txbx>
                      <wps:bodyPr rot="0" vert="horz" wrap="square" lIns="91440" tIns="45720" rIns="91440" bIns="45720" anchor="t" anchorCtr="0" upright="1">
                        <a:noAutofit/>
                      </wps:bodyPr>
                    </wps:wsp>
                  </a:graphicData>
                </a:graphic>
              </wp:anchor>
            </w:drawing>
          </mc:Choice>
          <mc:Fallback>
            <w:pict>
              <v:shape id="Text Box 38" o:spid="_x0000_s1026" o:spt="202" type="#_x0000_t202" style="position:absolute;left:0pt;margin-left:130.75pt;margin-top:-16.6pt;height:35.7pt;width:451.1pt;z-index:251703296;mso-width-relative:page;mso-height-relative:page;" fillcolor="#FFFFFF" filled="t" stroked="f" coordsize="21600,21600" o:gfxdata="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CxnXOrZAAAA&#10;CwEAAA8AAAAAAAAAAQAgAAAAIgAAAGRycy9kb3ducmV2LnhtbFBLAQIUABQAAAAIAIdO4kDW6Am1&#10;HAIAAEAEAAAOAAAAAAAAAAEAIAAAACgBAABkcnMvZTJvRG9jLnhtbFBLBQYAAAAABgAGAFkBAAC2&#10;BQAAAAA=&#10;">
                <v:fill on="t" focussize="0,0"/>
                <v:stroke on="f"/>
                <v:imagedata o:title=""/>
                <o:lock v:ext="edit" aspectratio="f"/>
                <v:textbox>
                  <w:txbxContent>
                    <w:p w14:paraId="04C17EB9">
                      <w:pPr>
                        <w:widowControl/>
                        <w:rPr>
                          <w:rFonts w:eastAsia="仿宋"/>
                          <w:b/>
                          <w:sz w:val="28"/>
                          <w:szCs w:val="28"/>
                        </w:rPr>
                      </w:pPr>
                      <w:r>
                        <w:rPr>
                          <w:rFonts w:eastAsia="仿宋"/>
                          <w:b/>
                          <w:sz w:val="28"/>
                          <w:szCs w:val="28"/>
                        </w:rPr>
                        <w:t xml:space="preserve">附图10 </w:t>
                      </w:r>
                      <w:r>
                        <w:rPr>
                          <w:rFonts w:hint="eastAsia" w:eastAsia="仿宋"/>
                          <w:b/>
                          <w:sz w:val="28"/>
                          <w:szCs w:val="28"/>
                        </w:rPr>
                        <w:t>花溪区</w:t>
                      </w:r>
                      <w:r>
                        <w:rPr>
                          <w:rFonts w:eastAsia="仿宋"/>
                          <w:b/>
                          <w:sz w:val="28"/>
                          <w:szCs w:val="28"/>
                        </w:rPr>
                        <w:t>青岩镇</w:t>
                      </w:r>
                      <w:r>
                        <w:rPr>
                          <w:rFonts w:hint="eastAsia" w:eastAsia="仿宋"/>
                          <w:b/>
                          <w:sz w:val="28"/>
                          <w:szCs w:val="28"/>
                        </w:rPr>
                        <w:t>龙井沟</w:t>
                      </w:r>
                      <w:r>
                        <w:rPr>
                          <w:rFonts w:eastAsia="仿宋"/>
                          <w:b/>
                          <w:sz w:val="28"/>
                          <w:szCs w:val="28"/>
                        </w:rPr>
                        <w:t>集中式饮用水水源地保护区</w:t>
                      </w:r>
                      <w:r>
                        <w:rPr>
                          <w:rFonts w:hint="eastAsia" w:eastAsia="仿宋"/>
                          <w:b/>
                          <w:sz w:val="28"/>
                          <w:szCs w:val="28"/>
                        </w:rPr>
                        <w:t>划分影像</w:t>
                      </w:r>
                      <w:r>
                        <w:rPr>
                          <w:rFonts w:eastAsia="仿宋"/>
                          <w:b/>
                          <w:sz w:val="28"/>
                          <w:szCs w:val="28"/>
                        </w:rPr>
                        <w:t>图</w:t>
                      </w:r>
                    </w:p>
                  </w:txbxContent>
                </v:textbox>
              </v:shape>
            </w:pict>
          </mc:Fallback>
        </mc:AlternateContent>
      </w:r>
    </w:p>
    <w:p w14:paraId="5875EA16">
      <w:pPr>
        <w:widowControl/>
        <w:spacing w:line="240" w:lineRule="auto"/>
        <w:jc w:val="center"/>
        <w:rPr>
          <w:rFonts w:eastAsia="仿宋"/>
          <w:b/>
          <w:kern w:val="0"/>
          <w:szCs w:val="24"/>
        </w:rPr>
      </w:pPr>
      <w:r>
        <w:rPr>
          <w:rFonts w:hint="eastAsia"/>
        </w:rPr>
        <w:drawing>
          <wp:inline distT="0" distB="0" distL="114300" distR="114300">
            <wp:extent cx="7853680" cy="5135245"/>
            <wp:effectExtent l="0" t="0" r="0" b="0"/>
            <wp:docPr id="32" name="图片 32" descr="06龙井沟-2影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06龙井沟-2影像"/>
                    <pic:cNvPicPr>
                      <a:picLocks noChangeAspect="1"/>
                    </pic:cNvPicPr>
                  </pic:nvPicPr>
                  <pic:blipFill>
                    <a:blip r:embed="rId75"/>
                    <a:srcRect t="6612" b="976"/>
                    <a:stretch>
                      <a:fillRect/>
                    </a:stretch>
                  </pic:blipFill>
                  <pic:spPr>
                    <a:xfrm>
                      <a:off x="0" y="0"/>
                      <a:ext cx="7864922" cy="5142815"/>
                    </a:xfrm>
                    <a:prstGeom prst="rect">
                      <a:avLst/>
                    </a:prstGeom>
                    <a:ln>
                      <a:noFill/>
                    </a:ln>
                  </pic:spPr>
                </pic:pic>
              </a:graphicData>
            </a:graphic>
          </wp:inline>
        </w:drawing>
      </w:r>
    </w:p>
    <w:p w14:paraId="76DC3769">
      <w:pPr>
        <w:widowControl/>
        <w:spacing w:line="240" w:lineRule="auto"/>
        <w:jc w:val="left"/>
        <w:rPr>
          <w:rFonts w:eastAsia="仿宋"/>
          <w:b/>
          <w:kern w:val="0"/>
          <w:szCs w:val="24"/>
        </w:rPr>
      </w:pPr>
      <w:r>
        <w:rPr>
          <w:rFonts w:eastAsia="仿宋"/>
          <w:b/>
          <w:kern w:val="0"/>
          <w:szCs w:val="24"/>
        </w:rPr>
        <mc:AlternateContent>
          <mc:Choice Requires="wps">
            <w:drawing>
              <wp:anchor distT="0" distB="0" distL="114300" distR="114300" simplePos="0" relativeHeight="251704320" behindDoc="0" locked="0" layoutInCell="1" allowOverlap="1">
                <wp:simplePos x="0" y="0"/>
                <wp:positionH relativeFrom="column">
                  <wp:posOffset>2075180</wp:posOffset>
                </wp:positionH>
                <wp:positionV relativeFrom="paragraph">
                  <wp:posOffset>-8890</wp:posOffset>
                </wp:positionV>
                <wp:extent cx="5438775" cy="453390"/>
                <wp:effectExtent l="0" t="0" r="1270" b="0"/>
                <wp:wrapNone/>
                <wp:docPr id="148" name="Text Box 39"/>
                <wp:cNvGraphicFramePr/>
                <a:graphic xmlns:a="http://schemas.openxmlformats.org/drawingml/2006/main">
                  <a:graphicData uri="http://schemas.microsoft.com/office/word/2010/wordprocessingShape">
                    <wps:wsp>
                      <wps:cNvSpPr txBox="1">
                        <a:spLocks noChangeArrowheads="1"/>
                      </wps:cNvSpPr>
                      <wps:spPr bwMode="auto">
                        <a:xfrm>
                          <a:off x="0" y="0"/>
                          <a:ext cx="5438775" cy="453390"/>
                        </a:xfrm>
                        <a:prstGeom prst="rect">
                          <a:avLst/>
                        </a:prstGeom>
                        <a:solidFill>
                          <a:srgbClr val="FFFFFF"/>
                        </a:solidFill>
                        <a:ln>
                          <a:noFill/>
                        </a:ln>
                      </wps:spPr>
                      <wps:txbx>
                        <w:txbxContent>
                          <w:p w14:paraId="4300A1BF">
                            <w:pPr>
                              <w:widowControl/>
                              <w:rPr>
                                <w:rFonts w:eastAsia="仿宋"/>
                                <w:b/>
                                <w:sz w:val="28"/>
                                <w:szCs w:val="28"/>
                              </w:rPr>
                            </w:pPr>
                            <w:r>
                              <w:rPr>
                                <w:rFonts w:eastAsia="仿宋"/>
                                <w:b/>
                                <w:sz w:val="28"/>
                                <w:szCs w:val="28"/>
                              </w:rPr>
                              <w:t xml:space="preserve">附图11 </w:t>
                            </w:r>
                            <w:r>
                              <w:rPr>
                                <w:rFonts w:hint="eastAsia" w:eastAsia="仿宋"/>
                                <w:b/>
                                <w:sz w:val="28"/>
                                <w:szCs w:val="28"/>
                              </w:rPr>
                              <w:t>花溪区</w:t>
                            </w:r>
                            <w:r>
                              <w:rPr>
                                <w:rFonts w:eastAsia="仿宋"/>
                                <w:b/>
                                <w:sz w:val="28"/>
                                <w:szCs w:val="28"/>
                              </w:rPr>
                              <w:t>青岩镇</w:t>
                            </w:r>
                            <w:r>
                              <w:rPr>
                                <w:rFonts w:hint="eastAsia" w:eastAsia="仿宋"/>
                                <w:b/>
                                <w:sz w:val="28"/>
                                <w:szCs w:val="28"/>
                              </w:rPr>
                              <w:t>龙潭</w:t>
                            </w:r>
                            <w:r>
                              <w:rPr>
                                <w:rFonts w:eastAsia="仿宋"/>
                                <w:b/>
                                <w:sz w:val="28"/>
                                <w:szCs w:val="28"/>
                              </w:rPr>
                              <w:t>集中式饮用水水源地保护区</w:t>
                            </w:r>
                            <w:r>
                              <w:rPr>
                                <w:rFonts w:hint="eastAsia" w:eastAsia="仿宋"/>
                                <w:b/>
                                <w:sz w:val="28"/>
                                <w:szCs w:val="28"/>
                              </w:rPr>
                              <w:t>划分</w:t>
                            </w:r>
                            <w:r>
                              <w:rPr>
                                <w:rFonts w:eastAsia="仿宋"/>
                                <w:b/>
                                <w:sz w:val="28"/>
                                <w:szCs w:val="28"/>
                              </w:rPr>
                              <w:t>图</w:t>
                            </w:r>
                          </w:p>
                        </w:txbxContent>
                      </wps:txbx>
                      <wps:bodyPr rot="0" vert="horz" wrap="square" lIns="91440" tIns="45720" rIns="91440" bIns="45720" anchor="t" anchorCtr="0" upright="1">
                        <a:noAutofit/>
                      </wps:bodyPr>
                    </wps:wsp>
                  </a:graphicData>
                </a:graphic>
              </wp:anchor>
            </w:drawing>
          </mc:Choice>
          <mc:Fallback>
            <w:pict>
              <v:shape id="Text Box 39" o:spid="_x0000_s1026" o:spt="202" type="#_x0000_t202" style="position:absolute;left:0pt;margin-left:163.4pt;margin-top:-0.7pt;height:35.7pt;width:428.25pt;z-index:251704320;mso-width-relative:page;mso-height-relative:page;" fillcolor="#FFFFFF" filled="t" stroked="f" coordsize="21600,21600" o:gfxdata="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KZoZlfYAAAA&#10;CgEAAA8AAAAAAAAAAQAgAAAAIgAAAGRycy9kb3ducmV2LnhtbFBLAQIUABQAAAAIAIdO4kC6J3wp&#10;HQIAAEAEAAAOAAAAAAAAAAEAIAAAACcBAABkcnMvZTJvRG9jLnhtbFBLBQYAAAAABgAGAFkBAAC2&#10;BQAAAAA=&#10;">
                <v:fill on="t" focussize="0,0"/>
                <v:stroke on="f"/>
                <v:imagedata o:title=""/>
                <o:lock v:ext="edit" aspectratio="f"/>
                <v:textbox>
                  <w:txbxContent>
                    <w:p w14:paraId="4300A1BF">
                      <w:pPr>
                        <w:widowControl/>
                        <w:rPr>
                          <w:rFonts w:eastAsia="仿宋"/>
                          <w:b/>
                          <w:sz w:val="28"/>
                          <w:szCs w:val="28"/>
                        </w:rPr>
                      </w:pPr>
                      <w:r>
                        <w:rPr>
                          <w:rFonts w:eastAsia="仿宋"/>
                          <w:b/>
                          <w:sz w:val="28"/>
                          <w:szCs w:val="28"/>
                        </w:rPr>
                        <w:t xml:space="preserve">附图11 </w:t>
                      </w:r>
                      <w:r>
                        <w:rPr>
                          <w:rFonts w:hint="eastAsia" w:eastAsia="仿宋"/>
                          <w:b/>
                          <w:sz w:val="28"/>
                          <w:szCs w:val="28"/>
                        </w:rPr>
                        <w:t>花溪区</w:t>
                      </w:r>
                      <w:r>
                        <w:rPr>
                          <w:rFonts w:eastAsia="仿宋"/>
                          <w:b/>
                          <w:sz w:val="28"/>
                          <w:szCs w:val="28"/>
                        </w:rPr>
                        <w:t>青岩镇</w:t>
                      </w:r>
                      <w:r>
                        <w:rPr>
                          <w:rFonts w:hint="eastAsia" w:eastAsia="仿宋"/>
                          <w:b/>
                          <w:sz w:val="28"/>
                          <w:szCs w:val="28"/>
                        </w:rPr>
                        <w:t>龙潭</w:t>
                      </w:r>
                      <w:r>
                        <w:rPr>
                          <w:rFonts w:eastAsia="仿宋"/>
                          <w:b/>
                          <w:sz w:val="28"/>
                          <w:szCs w:val="28"/>
                        </w:rPr>
                        <w:t>集中式饮用水水源地保护区</w:t>
                      </w:r>
                      <w:r>
                        <w:rPr>
                          <w:rFonts w:hint="eastAsia" w:eastAsia="仿宋"/>
                          <w:b/>
                          <w:sz w:val="28"/>
                          <w:szCs w:val="28"/>
                        </w:rPr>
                        <w:t>划分</w:t>
                      </w:r>
                      <w:r>
                        <w:rPr>
                          <w:rFonts w:eastAsia="仿宋"/>
                          <w:b/>
                          <w:sz w:val="28"/>
                          <w:szCs w:val="28"/>
                        </w:rPr>
                        <w:t>图</w:t>
                      </w:r>
                    </w:p>
                  </w:txbxContent>
                </v:textbox>
              </v:shape>
            </w:pict>
          </mc:Fallback>
        </mc:AlternateContent>
      </w:r>
    </w:p>
    <w:p w14:paraId="17F81CB4">
      <w:pPr>
        <w:widowControl/>
        <w:spacing w:line="240" w:lineRule="auto"/>
        <w:jc w:val="left"/>
        <w:rPr>
          <w:rFonts w:eastAsia="仿宋"/>
          <w:b/>
          <w:kern w:val="0"/>
          <w:szCs w:val="24"/>
        </w:rPr>
      </w:pPr>
    </w:p>
    <w:p w14:paraId="70B2E899">
      <w:pPr>
        <w:widowControl/>
        <w:spacing w:line="240" w:lineRule="auto"/>
        <w:jc w:val="center"/>
        <w:rPr>
          <w:rFonts w:eastAsia="仿宋"/>
          <w:b/>
          <w:kern w:val="0"/>
          <w:szCs w:val="24"/>
        </w:rPr>
      </w:pPr>
      <w:r>
        <w:rPr>
          <w:rFonts w:hint="eastAsia"/>
        </w:rPr>
        <w:drawing>
          <wp:inline distT="0" distB="0" distL="114300" distR="114300">
            <wp:extent cx="7437755" cy="4901565"/>
            <wp:effectExtent l="0" t="0" r="0" b="0"/>
            <wp:docPr id="33" name="图片 33" descr="07龙潭-1地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07龙潭-1地形"/>
                    <pic:cNvPicPr>
                      <a:picLocks noChangeAspect="1"/>
                    </pic:cNvPicPr>
                  </pic:nvPicPr>
                  <pic:blipFill>
                    <a:blip r:embed="rId76"/>
                    <a:srcRect t="6612" r="770" b="976"/>
                    <a:stretch>
                      <a:fillRect/>
                    </a:stretch>
                  </pic:blipFill>
                  <pic:spPr>
                    <a:xfrm>
                      <a:off x="0" y="0"/>
                      <a:ext cx="7450414" cy="4909572"/>
                    </a:xfrm>
                    <a:prstGeom prst="rect">
                      <a:avLst/>
                    </a:prstGeom>
                    <a:ln>
                      <a:noFill/>
                    </a:ln>
                  </pic:spPr>
                </pic:pic>
              </a:graphicData>
            </a:graphic>
          </wp:inline>
        </w:drawing>
      </w:r>
    </w:p>
    <w:p w14:paraId="50321A82">
      <w:pPr>
        <w:widowControl/>
        <w:spacing w:line="240" w:lineRule="auto"/>
        <w:jc w:val="center"/>
        <w:rPr>
          <w:rFonts w:eastAsia="仿宋"/>
          <w:b/>
          <w:kern w:val="0"/>
          <w:szCs w:val="24"/>
        </w:rPr>
      </w:pPr>
      <w:r>
        <w:rPr>
          <w:rFonts w:eastAsia="仿宋"/>
          <w:b/>
          <w:kern w:val="0"/>
          <w:szCs w:val="24"/>
        </w:rPr>
        <mc:AlternateContent>
          <mc:Choice Requires="wps">
            <w:drawing>
              <wp:anchor distT="0" distB="0" distL="114300" distR="114300" simplePos="0" relativeHeight="251705344" behindDoc="0" locked="0" layoutInCell="1" allowOverlap="1">
                <wp:simplePos x="0" y="0"/>
                <wp:positionH relativeFrom="column">
                  <wp:posOffset>1812290</wp:posOffset>
                </wp:positionH>
                <wp:positionV relativeFrom="paragraph">
                  <wp:posOffset>-115570</wp:posOffset>
                </wp:positionV>
                <wp:extent cx="5438775" cy="453390"/>
                <wp:effectExtent l="2540" t="4445" r="0" b="0"/>
                <wp:wrapNone/>
                <wp:docPr id="147" name="Text Box 40"/>
                <wp:cNvGraphicFramePr/>
                <a:graphic xmlns:a="http://schemas.openxmlformats.org/drawingml/2006/main">
                  <a:graphicData uri="http://schemas.microsoft.com/office/word/2010/wordprocessingShape">
                    <wps:wsp>
                      <wps:cNvSpPr txBox="1">
                        <a:spLocks noChangeArrowheads="1"/>
                      </wps:cNvSpPr>
                      <wps:spPr bwMode="auto">
                        <a:xfrm>
                          <a:off x="0" y="0"/>
                          <a:ext cx="5438775" cy="453390"/>
                        </a:xfrm>
                        <a:prstGeom prst="rect">
                          <a:avLst/>
                        </a:prstGeom>
                        <a:solidFill>
                          <a:srgbClr val="FFFFFF"/>
                        </a:solidFill>
                        <a:ln>
                          <a:noFill/>
                        </a:ln>
                      </wps:spPr>
                      <wps:txbx>
                        <w:txbxContent>
                          <w:p w14:paraId="326E8C53">
                            <w:pPr>
                              <w:widowControl/>
                              <w:rPr>
                                <w:rFonts w:eastAsia="仿宋"/>
                                <w:b/>
                                <w:sz w:val="28"/>
                                <w:szCs w:val="28"/>
                              </w:rPr>
                            </w:pPr>
                            <w:r>
                              <w:rPr>
                                <w:rFonts w:eastAsia="仿宋"/>
                                <w:b/>
                                <w:sz w:val="28"/>
                                <w:szCs w:val="28"/>
                              </w:rPr>
                              <w:t xml:space="preserve">附图12 </w:t>
                            </w:r>
                            <w:r>
                              <w:rPr>
                                <w:rFonts w:hint="eastAsia" w:eastAsia="仿宋"/>
                                <w:b/>
                                <w:sz w:val="28"/>
                                <w:szCs w:val="28"/>
                              </w:rPr>
                              <w:t>花溪区</w:t>
                            </w:r>
                            <w:r>
                              <w:rPr>
                                <w:rFonts w:eastAsia="仿宋"/>
                                <w:b/>
                                <w:sz w:val="28"/>
                                <w:szCs w:val="28"/>
                              </w:rPr>
                              <w:t>青岩镇</w:t>
                            </w:r>
                            <w:r>
                              <w:rPr>
                                <w:rFonts w:hint="eastAsia" w:eastAsia="仿宋"/>
                                <w:b/>
                                <w:sz w:val="28"/>
                                <w:szCs w:val="28"/>
                              </w:rPr>
                              <w:t>龙潭</w:t>
                            </w:r>
                            <w:r>
                              <w:rPr>
                                <w:rFonts w:eastAsia="仿宋"/>
                                <w:b/>
                                <w:sz w:val="28"/>
                                <w:szCs w:val="28"/>
                              </w:rPr>
                              <w:t>集中式饮用水水源地保护区</w:t>
                            </w:r>
                            <w:r>
                              <w:rPr>
                                <w:rFonts w:hint="eastAsia" w:eastAsia="仿宋"/>
                                <w:b/>
                                <w:sz w:val="28"/>
                                <w:szCs w:val="28"/>
                              </w:rPr>
                              <w:t>划分影像</w:t>
                            </w:r>
                            <w:r>
                              <w:rPr>
                                <w:rFonts w:eastAsia="仿宋"/>
                                <w:b/>
                                <w:sz w:val="28"/>
                                <w:szCs w:val="28"/>
                              </w:rPr>
                              <w:t>图</w:t>
                            </w:r>
                          </w:p>
                        </w:txbxContent>
                      </wps:txbx>
                      <wps:bodyPr rot="0" vert="horz" wrap="square" lIns="91440" tIns="45720" rIns="91440" bIns="45720" anchor="t" anchorCtr="0" upright="1">
                        <a:noAutofit/>
                      </wps:bodyPr>
                    </wps:wsp>
                  </a:graphicData>
                </a:graphic>
              </wp:anchor>
            </w:drawing>
          </mc:Choice>
          <mc:Fallback>
            <w:pict>
              <v:shape id="Text Box 40" o:spid="_x0000_s1026" o:spt="202" type="#_x0000_t202" style="position:absolute;left:0pt;margin-left:142.7pt;margin-top:-9.1pt;height:35.7pt;width:428.25pt;z-index:251705344;mso-width-relative:page;mso-height-relative:page;" fillcolor="#FFFFFF" filled="t" stroked="f" coordsize="21600,21600" o:gfxdata="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hbTFI2QAA&#10;AAsBAAAPAAAAAAAAAAEAIAAAACIAAABkcnMvZG93bnJldi54bWxQSwECFAAUAAAACACHTuJArT0j&#10;yB0CAABABAAADgAAAAAAAAABACAAAAAoAQAAZHJzL2Uyb0RvYy54bWxQSwUGAAAAAAYABgBZAQAA&#10;twUAAAAA&#10;">
                <v:fill on="t" focussize="0,0"/>
                <v:stroke on="f"/>
                <v:imagedata o:title=""/>
                <o:lock v:ext="edit" aspectratio="f"/>
                <v:textbox>
                  <w:txbxContent>
                    <w:p w14:paraId="326E8C53">
                      <w:pPr>
                        <w:widowControl/>
                        <w:rPr>
                          <w:rFonts w:eastAsia="仿宋"/>
                          <w:b/>
                          <w:sz w:val="28"/>
                          <w:szCs w:val="28"/>
                        </w:rPr>
                      </w:pPr>
                      <w:r>
                        <w:rPr>
                          <w:rFonts w:eastAsia="仿宋"/>
                          <w:b/>
                          <w:sz w:val="28"/>
                          <w:szCs w:val="28"/>
                        </w:rPr>
                        <w:t xml:space="preserve">附图12 </w:t>
                      </w:r>
                      <w:r>
                        <w:rPr>
                          <w:rFonts w:hint="eastAsia" w:eastAsia="仿宋"/>
                          <w:b/>
                          <w:sz w:val="28"/>
                          <w:szCs w:val="28"/>
                        </w:rPr>
                        <w:t>花溪区</w:t>
                      </w:r>
                      <w:r>
                        <w:rPr>
                          <w:rFonts w:eastAsia="仿宋"/>
                          <w:b/>
                          <w:sz w:val="28"/>
                          <w:szCs w:val="28"/>
                        </w:rPr>
                        <w:t>青岩镇</w:t>
                      </w:r>
                      <w:r>
                        <w:rPr>
                          <w:rFonts w:hint="eastAsia" w:eastAsia="仿宋"/>
                          <w:b/>
                          <w:sz w:val="28"/>
                          <w:szCs w:val="28"/>
                        </w:rPr>
                        <w:t>龙潭</w:t>
                      </w:r>
                      <w:r>
                        <w:rPr>
                          <w:rFonts w:eastAsia="仿宋"/>
                          <w:b/>
                          <w:sz w:val="28"/>
                          <w:szCs w:val="28"/>
                        </w:rPr>
                        <w:t>集中式饮用水水源地保护区</w:t>
                      </w:r>
                      <w:r>
                        <w:rPr>
                          <w:rFonts w:hint="eastAsia" w:eastAsia="仿宋"/>
                          <w:b/>
                          <w:sz w:val="28"/>
                          <w:szCs w:val="28"/>
                        </w:rPr>
                        <w:t>划分影像</w:t>
                      </w:r>
                      <w:r>
                        <w:rPr>
                          <w:rFonts w:eastAsia="仿宋"/>
                          <w:b/>
                          <w:sz w:val="28"/>
                          <w:szCs w:val="28"/>
                        </w:rPr>
                        <w:t>图</w:t>
                      </w:r>
                    </w:p>
                  </w:txbxContent>
                </v:textbox>
              </v:shape>
            </w:pict>
          </mc:Fallback>
        </mc:AlternateContent>
      </w:r>
    </w:p>
    <w:p w14:paraId="34BE0A49">
      <w:pPr>
        <w:widowControl/>
        <w:spacing w:line="240" w:lineRule="auto"/>
        <w:jc w:val="center"/>
        <w:rPr>
          <w:rFonts w:eastAsia="仿宋"/>
          <w:b/>
          <w:kern w:val="0"/>
          <w:szCs w:val="24"/>
        </w:rPr>
      </w:pPr>
      <w:r>
        <w:rPr>
          <w:rFonts w:hint="eastAsia"/>
        </w:rPr>
        <w:drawing>
          <wp:inline distT="0" distB="0" distL="114300" distR="114300">
            <wp:extent cx="7763510" cy="5103495"/>
            <wp:effectExtent l="0" t="0" r="0" b="0"/>
            <wp:docPr id="9" name="图片 9" descr="07龙潭-2影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07龙潭-2影像"/>
                    <pic:cNvPicPr>
                      <a:picLocks noChangeAspect="1"/>
                    </pic:cNvPicPr>
                  </pic:nvPicPr>
                  <pic:blipFill>
                    <a:blip r:embed="rId77"/>
                    <a:srcRect t="6951" r="898" b="981"/>
                    <a:stretch>
                      <a:fillRect/>
                    </a:stretch>
                  </pic:blipFill>
                  <pic:spPr>
                    <a:xfrm>
                      <a:off x="0" y="0"/>
                      <a:ext cx="7784197" cy="5117003"/>
                    </a:xfrm>
                    <a:prstGeom prst="rect">
                      <a:avLst/>
                    </a:prstGeom>
                    <a:ln>
                      <a:noFill/>
                    </a:ln>
                  </pic:spPr>
                </pic:pic>
              </a:graphicData>
            </a:graphic>
          </wp:inline>
        </w:drawing>
      </w:r>
    </w:p>
    <w:p w14:paraId="777C54AB">
      <w:pPr>
        <w:widowControl/>
        <w:spacing w:line="240" w:lineRule="auto"/>
        <w:jc w:val="center"/>
        <w:rPr>
          <w:rFonts w:eastAsia="仿宋"/>
          <w:b/>
          <w:kern w:val="0"/>
          <w:szCs w:val="24"/>
        </w:rPr>
      </w:pPr>
      <w:r>
        <w:rPr>
          <w:rFonts w:eastAsia="仿宋"/>
          <w:b/>
          <w:kern w:val="0"/>
          <w:szCs w:val="24"/>
        </w:rPr>
        <mc:AlternateContent>
          <mc:Choice Requires="wps">
            <w:drawing>
              <wp:anchor distT="0" distB="0" distL="114300" distR="114300" simplePos="0" relativeHeight="251706368" behindDoc="0" locked="0" layoutInCell="1" allowOverlap="1">
                <wp:simplePos x="0" y="0"/>
                <wp:positionH relativeFrom="column">
                  <wp:posOffset>1698625</wp:posOffset>
                </wp:positionH>
                <wp:positionV relativeFrom="paragraph">
                  <wp:posOffset>-51435</wp:posOffset>
                </wp:positionV>
                <wp:extent cx="6254115" cy="453390"/>
                <wp:effectExtent l="3175" t="1905" r="635" b="1905"/>
                <wp:wrapNone/>
                <wp:docPr id="146" name="Text Box 41"/>
                <wp:cNvGraphicFramePr/>
                <a:graphic xmlns:a="http://schemas.openxmlformats.org/drawingml/2006/main">
                  <a:graphicData uri="http://schemas.microsoft.com/office/word/2010/wordprocessingShape">
                    <wps:wsp>
                      <wps:cNvSpPr txBox="1">
                        <a:spLocks noChangeArrowheads="1"/>
                      </wps:cNvSpPr>
                      <wps:spPr bwMode="auto">
                        <a:xfrm>
                          <a:off x="0" y="0"/>
                          <a:ext cx="6254115" cy="453390"/>
                        </a:xfrm>
                        <a:prstGeom prst="rect">
                          <a:avLst/>
                        </a:prstGeom>
                        <a:solidFill>
                          <a:srgbClr val="FFFFFF"/>
                        </a:solidFill>
                        <a:ln>
                          <a:noFill/>
                        </a:ln>
                      </wps:spPr>
                      <wps:txbx>
                        <w:txbxContent>
                          <w:p w14:paraId="7A38C72E">
                            <w:pPr>
                              <w:widowControl/>
                              <w:rPr>
                                <w:rFonts w:eastAsia="仿宋"/>
                                <w:b/>
                                <w:sz w:val="28"/>
                                <w:szCs w:val="28"/>
                              </w:rPr>
                            </w:pPr>
                            <w:r>
                              <w:rPr>
                                <w:rFonts w:eastAsia="仿宋"/>
                                <w:b/>
                                <w:sz w:val="28"/>
                                <w:szCs w:val="28"/>
                              </w:rPr>
                              <w:t xml:space="preserve">附图13 </w:t>
                            </w:r>
                            <w:r>
                              <w:rPr>
                                <w:rFonts w:hint="eastAsia" w:eastAsia="仿宋"/>
                                <w:b/>
                                <w:sz w:val="28"/>
                                <w:szCs w:val="28"/>
                              </w:rPr>
                              <w:t>花溪区</w:t>
                            </w:r>
                            <w:r>
                              <w:rPr>
                                <w:rFonts w:eastAsia="仿宋"/>
                                <w:b/>
                                <w:sz w:val="28"/>
                                <w:szCs w:val="28"/>
                              </w:rPr>
                              <w:t>燕楼</w:t>
                            </w:r>
                            <w:r>
                              <w:rPr>
                                <w:rFonts w:hint="eastAsia" w:eastAsia="仿宋"/>
                                <w:b/>
                                <w:sz w:val="28"/>
                                <w:szCs w:val="28"/>
                              </w:rPr>
                              <w:t>镇</w:t>
                            </w:r>
                            <w:r>
                              <w:rPr>
                                <w:rFonts w:eastAsia="仿宋"/>
                                <w:b/>
                                <w:sz w:val="28"/>
                                <w:szCs w:val="28"/>
                              </w:rPr>
                              <w:t>燕鲁小燕河集中式饮用水水源地保护区</w:t>
                            </w:r>
                            <w:r>
                              <w:rPr>
                                <w:rFonts w:hint="eastAsia" w:eastAsia="仿宋"/>
                                <w:b/>
                                <w:sz w:val="28"/>
                                <w:szCs w:val="28"/>
                              </w:rPr>
                              <w:t>划分</w:t>
                            </w:r>
                            <w:r>
                              <w:rPr>
                                <w:rFonts w:eastAsia="仿宋"/>
                                <w:b/>
                                <w:sz w:val="28"/>
                                <w:szCs w:val="28"/>
                              </w:rPr>
                              <w:t>图</w:t>
                            </w:r>
                          </w:p>
                        </w:txbxContent>
                      </wps:txbx>
                      <wps:bodyPr rot="0" vert="horz" wrap="square" lIns="91440" tIns="45720" rIns="91440" bIns="45720" anchor="t" anchorCtr="0" upright="1">
                        <a:noAutofit/>
                      </wps:bodyPr>
                    </wps:wsp>
                  </a:graphicData>
                </a:graphic>
              </wp:anchor>
            </w:drawing>
          </mc:Choice>
          <mc:Fallback>
            <w:pict>
              <v:shape id="Text Box 41" o:spid="_x0000_s1026" o:spt="202" type="#_x0000_t202" style="position:absolute;left:0pt;margin-left:133.75pt;margin-top:-4.05pt;height:35.7pt;width:492.45pt;z-index:251706368;mso-width-relative:page;mso-height-relative:page;" fillcolor="#FFFFFF" filled="t" stroked="f" coordsize="21600,21600" o:gfxdata="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ZCCt92AAA&#10;AAoBAAAPAAAAAAAAAAEAIAAAACIAAABkcnMvZG93bnJldi54bWxQSwECFAAUAAAACACHTuJAmIUB&#10;bx4CAABABAAADgAAAAAAAAABACAAAAAnAQAAZHJzL2Uyb0RvYy54bWxQSwUGAAAAAAYABgBZAQAA&#10;twUAAAAA&#10;">
                <v:fill on="t" focussize="0,0"/>
                <v:stroke on="f"/>
                <v:imagedata o:title=""/>
                <o:lock v:ext="edit" aspectratio="f"/>
                <v:textbox>
                  <w:txbxContent>
                    <w:p w14:paraId="7A38C72E">
                      <w:pPr>
                        <w:widowControl/>
                        <w:rPr>
                          <w:rFonts w:eastAsia="仿宋"/>
                          <w:b/>
                          <w:sz w:val="28"/>
                          <w:szCs w:val="28"/>
                        </w:rPr>
                      </w:pPr>
                      <w:r>
                        <w:rPr>
                          <w:rFonts w:eastAsia="仿宋"/>
                          <w:b/>
                          <w:sz w:val="28"/>
                          <w:szCs w:val="28"/>
                        </w:rPr>
                        <w:t xml:space="preserve">附图13 </w:t>
                      </w:r>
                      <w:r>
                        <w:rPr>
                          <w:rFonts w:hint="eastAsia" w:eastAsia="仿宋"/>
                          <w:b/>
                          <w:sz w:val="28"/>
                          <w:szCs w:val="28"/>
                        </w:rPr>
                        <w:t>花溪区</w:t>
                      </w:r>
                      <w:r>
                        <w:rPr>
                          <w:rFonts w:eastAsia="仿宋"/>
                          <w:b/>
                          <w:sz w:val="28"/>
                          <w:szCs w:val="28"/>
                        </w:rPr>
                        <w:t>燕楼</w:t>
                      </w:r>
                      <w:r>
                        <w:rPr>
                          <w:rFonts w:hint="eastAsia" w:eastAsia="仿宋"/>
                          <w:b/>
                          <w:sz w:val="28"/>
                          <w:szCs w:val="28"/>
                        </w:rPr>
                        <w:t>镇</w:t>
                      </w:r>
                      <w:r>
                        <w:rPr>
                          <w:rFonts w:eastAsia="仿宋"/>
                          <w:b/>
                          <w:sz w:val="28"/>
                          <w:szCs w:val="28"/>
                        </w:rPr>
                        <w:t>燕鲁小燕河集中式饮用水水源地保护区</w:t>
                      </w:r>
                      <w:r>
                        <w:rPr>
                          <w:rFonts w:hint="eastAsia" w:eastAsia="仿宋"/>
                          <w:b/>
                          <w:sz w:val="28"/>
                          <w:szCs w:val="28"/>
                        </w:rPr>
                        <w:t>划分</w:t>
                      </w:r>
                      <w:r>
                        <w:rPr>
                          <w:rFonts w:eastAsia="仿宋"/>
                          <w:b/>
                          <w:sz w:val="28"/>
                          <w:szCs w:val="28"/>
                        </w:rPr>
                        <w:t>图</w:t>
                      </w:r>
                    </w:p>
                  </w:txbxContent>
                </v:textbox>
              </v:shape>
            </w:pict>
          </mc:Fallback>
        </mc:AlternateContent>
      </w:r>
    </w:p>
    <w:p w14:paraId="33F21A77">
      <w:pPr>
        <w:widowControl/>
        <w:spacing w:line="240" w:lineRule="auto"/>
        <w:jc w:val="center"/>
        <w:rPr>
          <w:rFonts w:eastAsia="仿宋"/>
          <w:b/>
          <w:kern w:val="0"/>
          <w:szCs w:val="24"/>
        </w:rPr>
      </w:pPr>
    </w:p>
    <w:p w14:paraId="50A117C4">
      <w:pPr>
        <w:widowControl/>
        <w:spacing w:line="240" w:lineRule="auto"/>
        <w:jc w:val="center"/>
        <w:rPr>
          <w:rFonts w:eastAsia="仿宋"/>
          <w:b/>
          <w:kern w:val="0"/>
          <w:szCs w:val="24"/>
        </w:rPr>
      </w:pPr>
      <w:r>
        <w:rPr>
          <w:rFonts w:hint="eastAsia"/>
        </w:rPr>
        <w:drawing>
          <wp:inline distT="0" distB="0" distL="0" distR="0">
            <wp:extent cx="7364730" cy="4859020"/>
            <wp:effectExtent l="0" t="0" r="0" b="0"/>
            <wp:docPr id="34" name="图片 34" descr="03燕鲁小燕河-1地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03燕鲁小燕河-1地形"/>
                    <pic:cNvPicPr>
                      <a:picLocks noChangeAspect="1" noChangeArrowheads="1"/>
                    </pic:cNvPicPr>
                  </pic:nvPicPr>
                  <pic:blipFill>
                    <a:blip r:embed="rId78" cstate="print">
                      <a:extLst>
                        <a:ext uri="{28A0092B-C50C-407E-A947-70E740481C1C}">
                          <a14:useLocalDpi xmlns:a14="http://schemas.microsoft.com/office/drawing/2010/main" val="0"/>
                        </a:ext>
                      </a:extLst>
                    </a:blip>
                    <a:srcRect l="688" t="6800" r="733" b="1277"/>
                    <a:stretch>
                      <a:fillRect/>
                    </a:stretch>
                  </pic:blipFill>
                  <pic:spPr>
                    <a:xfrm>
                      <a:off x="0" y="0"/>
                      <a:ext cx="7374994" cy="4865840"/>
                    </a:xfrm>
                    <a:prstGeom prst="rect">
                      <a:avLst/>
                    </a:prstGeom>
                    <a:noFill/>
                    <a:ln>
                      <a:noFill/>
                    </a:ln>
                  </pic:spPr>
                </pic:pic>
              </a:graphicData>
            </a:graphic>
          </wp:inline>
        </w:drawing>
      </w:r>
    </w:p>
    <w:p w14:paraId="2791DFB5">
      <w:pPr>
        <w:widowControl/>
        <w:spacing w:line="240" w:lineRule="auto"/>
        <w:jc w:val="center"/>
        <w:rPr>
          <w:rFonts w:eastAsia="仿宋"/>
          <w:b/>
          <w:kern w:val="0"/>
          <w:szCs w:val="24"/>
        </w:rPr>
      </w:pPr>
      <w:r>
        <w:rPr>
          <w:rFonts w:eastAsia="仿宋"/>
          <w:b/>
          <w:kern w:val="0"/>
          <w:szCs w:val="24"/>
        </w:rPr>
        <mc:AlternateContent>
          <mc:Choice Requires="wps">
            <w:drawing>
              <wp:anchor distT="0" distB="0" distL="114300" distR="114300" simplePos="0" relativeHeight="251707392" behindDoc="0" locked="0" layoutInCell="1" allowOverlap="1">
                <wp:simplePos x="0" y="0"/>
                <wp:positionH relativeFrom="column">
                  <wp:posOffset>1489710</wp:posOffset>
                </wp:positionH>
                <wp:positionV relativeFrom="paragraph">
                  <wp:posOffset>-210820</wp:posOffset>
                </wp:positionV>
                <wp:extent cx="6254115" cy="453390"/>
                <wp:effectExtent l="3810" t="4445" r="0" b="0"/>
                <wp:wrapNone/>
                <wp:docPr id="145" name="Text Box 42"/>
                <wp:cNvGraphicFramePr/>
                <a:graphic xmlns:a="http://schemas.openxmlformats.org/drawingml/2006/main">
                  <a:graphicData uri="http://schemas.microsoft.com/office/word/2010/wordprocessingShape">
                    <wps:wsp>
                      <wps:cNvSpPr txBox="1">
                        <a:spLocks noChangeArrowheads="1"/>
                      </wps:cNvSpPr>
                      <wps:spPr bwMode="auto">
                        <a:xfrm>
                          <a:off x="0" y="0"/>
                          <a:ext cx="6254115" cy="453390"/>
                        </a:xfrm>
                        <a:prstGeom prst="rect">
                          <a:avLst/>
                        </a:prstGeom>
                        <a:solidFill>
                          <a:srgbClr val="FFFFFF"/>
                        </a:solidFill>
                        <a:ln>
                          <a:noFill/>
                        </a:ln>
                      </wps:spPr>
                      <wps:txbx>
                        <w:txbxContent>
                          <w:p w14:paraId="73748AB3">
                            <w:pPr>
                              <w:widowControl/>
                              <w:rPr>
                                <w:rFonts w:eastAsia="仿宋"/>
                                <w:b/>
                                <w:sz w:val="28"/>
                                <w:szCs w:val="28"/>
                              </w:rPr>
                            </w:pPr>
                            <w:r>
                              <w:rPr>
                                <w:rFonts w:eastAsia="仿宋"/>
                                <w:b/>
                                <w:sz w:val="28"/>
                                <w:szCs w:val="28"/>
                              </w:rPr>
                              <w:t xml:space="preserve">附图14 </w:t>
                            </w:r>
                            <w:r>
                              <w:rPr>
                                <w:rFonts w:hint="eastAsia" w:eastAsia="仿宋"/>
                                <w:b/>
                                <w:sz w:val="28"/>
                                <w:szCs w:val="28"/>
                              </w:rPr>
                              <w:t>花溪区</w:t>
                            </w:r>
                            <w:r>
                              <w:rPr>
                                <w:rFonts w:eastAsia="仿宋"/>
                                <w:b/>
                                <w:sz w:val="28"/>
                                <w:szCs w:val="28"/>
                              </w:rPr>
                              <w:t>燕楼</w:t>
                            </w:r>
                            <w:r>
                              <w:rPr>
                                <w:rFonts w:hint="eastAsia" w:eastAsia="仿宋"/>
                                <w:b/>
                                <w:sz w:val="28"/>
                                <w:szCs w:val="28"/>
                              </w:rPr>
                              <w:t>镇</w:t>
                            </w:r>
                            <w:r>
                              <w:rPr>
                                <w:rFonts w:eastAsia="仿宋"/>
                                <w:b/>
                                <w:sz w:val="28"/>
                                <w:szCs w:val="28"/>
                              </w:rPr>
                              <w:t>燕鲁小燕河集中式饮用水水源地保护区</w:t>
                            </w:r>
                            <w:r>
                              <w:rPr>
                                <w:rFonts w:hint="eastAsia" w:eastAsia="仿宋"/>
                                <w:b/>
                                <w:sz w:val="28"/>
                                <w:szCs w:val="28"/>
                              </w:rPr>
                              <w:t>划分影像</w:t>
                            </w:r>
                            <w:r>
                              <w:rPr>
                                <w:rFonts w:eastAsia="仿宋"/>
                                <w:b/>
                                <w:sz w:val="28"/>
                                <w:szCs w:val="28"/>
                              </w:rPr>
                              <w:t>图</w:t>
                            </w:r>
                          </w:p>
                        </w:txbxContent>
                      </wps:txbx>
                      <wps:bodyPr rot="0" vert="horz" wrap="square" lIns="91440" tIns="45720" rIns="91440" bIns="45720" anchor="t" anchorCtr="0" upright="1">
                        <a:noAutofit/>
                      </wps:bodyPr>
                    </wps:wsp>
                  </a:graphicData>
                </a:graphic>
              </wp:anchor>
            </w:drawing>
          </mc:Choice>
          <mc:Fallback>
            <w:pict>
              <v:shape id="Text Box 42" o:spid="_x0000_s1026" o:spt="202" type="#_x0000_t202" style="position:absolute;left:0pt;margin-left:117.3pt;margin-top:-16.6pt;height:35.7pt;width:492.45pt;z-index:251707392;mso-width-relative:page;mso-height-relative:page;" fillcolor="#FFFFFF" filled="t" stroked="f" coordsize="21600,21600" o:gfxdata="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wvIfT2QAA&#10;AAsBAAAPAAAAAAAAAAEAIAAAACIAAABkcnMvZG93bnJldi54bWxQSwECFAAUAAAACACHTuJAq6w5&#10;tR0CAABABAAADgAAAAAAAAABACAAAAAoAQAAZHJzL2Uyb0RvYy54bWxQSwUGAAAAAAYABgBZAQAA&#10;twUAAAAA&#10;">
                <v:fill on="t" focussize="0,0"/>
                <v:stroke on="f"/>
                <v:imagedata o:title=""/>
                <o:lock v:ext="edit" aspectratio="f"/>
                <v:textbox>
                  <w:txbxContent>
                    <w:p w14:paraId="73748AB3">
                      <w:pPr>
                        <w:widowControl/>
                        <w:rPr>
                          <w:rFonts w:eastAsia="仿宋"/>
                          <w:b/>
                          <w:sz w:val="28"/>
                          <w:szCs w:val="28"/>
                        </w:rPr>
                      </w:pPr>
                      <w:r>
                        <w:rPr>
                          <w:rFonts w:eastAsia="仿宋"/>
                          <w:b/>
                          <w:sz w:val="28"/>
                          <w:szCs w:val="28"/>
                        </w:rPr>
                        <w:t xml:space="preserve">附图14 </w:t>
                      </w:r>
                      <w:r>
                        <w:rPr>
                          <w:rFonts w:hint="eastAsia" w:eastAsia="仿宋"/>
                          <w:b/>
                          <w:sz w:val="28"/>
                          <w:szCs w:val="28"/>
                        </w:rPr>
                        <w:t>花溪区</w:t>
                      </w:r>
                      <w:r>
                        <w:rPr>
                          <w:rFonts w:eastAsia="仿宋"/>
                          <w:b/>
                          <w:sz w:val="28"/>
                          <w:szCs w:val="28"/>
                        </w:rPr>
                        <w:t>燕楼</w:t>
                      </w:r>
                      <w:r>
                        <w:rPr>
                          <w:rFonts w:hint="eastAsia" w:eastAsia="仿宋"/>
                          <w:b/>
                          <w:sz w:val="28"/>
                          <w:szCs w:val="28"/>
                        </w:rPr>
                        <w:t>镇</w:t>
                      </w:r>
                      <w:r>
                        <w:rPr>
                          <w:rFonts w:eastAsia="仿宋"/>
                          <w:b/>
                          <w:sz w:val="28"/>
                          <w:szCs w:val="28"/>
                        </w:rPr>
                        <w:t>燕鲁小燕河集中式饮用水水源地保护区</w:t>
                      </w:r>
                      <w:r>
                        <w:rPr>
                          <w:rFonts w:hint="eastAsia" w:eastAsia="仿宋"/>
                          <w:b/>
                          <w:sz w:val="28"/>
                          <w:szCs w:val="28"/>
                        </w:rPr>
                        <w:t>划分影像</w:t>
                      </w:r>
                      <w:r>
                        <w:rPr>
                          <w:rFonts w:eastAsia="仿宋"/>
                          <w:b/>
                          <w:sz w:val="28"/>
                          <w:szCs w:val="28"/>
                        </w:rPr>
                        <w:t>图</w:t>
                      </w:r>
                    </w:p>
                  </w:txbxContent>
                </v:textbox>
              </v:shape>
            </w:pict>
          </mc:Fallback>
        </mc:AlternateContent>
      </w:r>
    </w:p>
    <w:p w14:paraId="3BCA17CA">
      <w:pPr>
        <w:widowControl/>
        <w:spacing w:line="240" w:lineRule="auto"/>
        <w:jc w:val="center"/>
        <w:rPr>
          <w:rFonts w:eastAsia="仿宋"/>
          <w:b/>
          <w:kern w:val="0"/>
          <w:szCs w:val="24"/>
        </w:rPr>
      </w:pPr>
      <w:r>
        <w:rPr>
          <w:rFonts w:hint="eastAsia"/>
        </w:rPr>
        <w:drawing>
          <wp:inline distT="0" distB="0" distL="0" distR="0">
            <wp:extent cx="7515225" cy="4901565"/>
            <wp:effectExtent l="0" t="0" r="0" b="0"/>
            <wp:docPr id="35" name="图片 35" descr="03燕鲁小燕河-2影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03燕鲁小燕河-2影像"/>
                    <pic:cNvPicPr>
                      <a:picLocks noChangeAspect="1" noChangeArrowheads="1"/>
                    </pic:cNvPicPr>
                  </pic:nvPicPr>
                  <pic:blipFill>
                    <a:blip r:embed="rId79" cstate="print">
                      <a:extLst>
                        <a:ext uri="{28A0092B-C50C-407E-A947-70E740481C1C}">
                          <a14:useLocalDpi xmlns:a14="http://schemas.microsoft.com/office/drawing/2010/main" val="0"/>
                        </a:ext>
                      </a:extLst>
                    </a:blip>
                    <a:srcRect t="6800" b="1093"/>
                    <a:stretch>
                      <a:fillRect/>
                    </a:stretch>
                  </pic:blipFill>
                  <pic:spPr>
                    <a:xfrm>
                      <a:off x="0" y="0"/>
                      <a:ext cx="7515725" cy="4901609"/>
                    </a:xfrm>
                    <a:prstGeom prst="rect">
                      <a:avLst/>
                    </a:prstGeom>
                    <a:noFill/>
                    <a:ln>
                      <a:noFill/>
                    </a:ln>
                  </pic:spPr>
                </pic:pic>
              </a:graphicData>
            </a:graphic>
          </wp:inline>
        </w:drawing>
      </w:r>
    </w:p>
    <w:p w14:paraId="558C570E">
      <w:pPr>
        <w:widowControl/>
        <w:spacing w:line="240" w:lineRule="auto"/>
        <w:jc w:val="left"/>
        <w:rPr>
          <w:rFonts w:eastAsia="仿宋"/>
          <w:b/>
          <w:kern w:val="0"/>
          <w:szCs w:val="24"/>
        </w:rPr>
        <w:sectPr>
          <w:pgSz w:w="16838" w:h="11906" w:orient="landscape"/>
          <w:pgMar w:top="1644" w:right="1440" w:bottom="1644" w:left="1440" w:header="851" w:footer="992" w:gutter="0"/>
          <w:cols w:space="425" w:num="1"/>
          <w:docGrid w:type="lines" w:linePitch="312" w:charSpace="0"/>
        </w:sectPr>
      </w:pPr>
      <w:r>
        <w:rPr>
          <w:rFonts w:eastAsia="仿宋"/>
          <w:b/>
          <w:kern w:val="0"/>
          <w:szCs w:val="24"/>
        </w:rPr>
        <w:br w:type="page"/>
      </w:r>
    </w:p>
    <w:p w14:paraId="713D7438">
      <w:pPr>
        <w:widowControl/>
        <w:spacing w:line="240" w:lineRule="auto"/>
        <w:jc w:val="left"/>
        <w:rPr>
          <w:rFonts w:eastAsia="仿宋"/>
          <w:b/>
          <w:kern w:val="0"/>
          <w:szCs w:val="24"/>
        </w:rPr>
      </w:pPr>
      <w:r>
        <w:rPr>
          <w:rFonts w:eastAsia="仿宋"/>
          <w:b/>
          <w:kern w:val="0"/>
          <w:szCs w:val="24"/>
        </w:rPr>
        <mc:AlternateContent>
          <mc:Choice Requires="wps">
            <w:drawing>
              <wp:anchor distT="0" distB="0" distL="114300" distR="114300" simplePos="0" relativeHeight="251708416" behindDoc="0" locked="0" layoutInCell="1" allowOverlap="1">
                <wp:simplePos x="0" y="0"/>
                <wp:positionH relativeFrom="column">
                  <wp:posOffset>-28575</wp:posOffset>
                </wp:positionH>
                <wp:positionV relativeFrom="paragraph">
                  <wp:posOffset>8255</wp:posOffset>
                </wp:positionV>
                <wp:extent cx="5523865" cy="454025"/>
                <wp:effectExtent l="0" t="0" r="4445" b="4445"/>
                <wp:wrapNone/>
                <wp:docPr id="144" name="Text Box 46"/>
                <wp:cNvGraphicFramePr/>
                <a:graphic xmlns:a="http://schemas.openxmlformats.org/drawingml/2006/main">
                  <a:graphicData uri="http://schemas.microsoft.com/office/word/2010/wordprocessingShape">
                    <wps:wsp>
                      <wps:cNvSpPr txBox="1">
                        <a:spLocks noChangeArrowheads="1"/>
                      </wps:cNvSpPr>
                      <wps:spPr bwMode="auto">
                        <a:xfrm>
                          <a:off x="0" y="0"/>
                          <a:ext cx="5523865" cy="454025"/>
                        </a:xfrm>
                        <a:prstGeom prst="rect">
                          <a:avLst/>
                        </a:prstGeom>
                        <a:solidFill>
                          <a:srgbClr val="FFFFFF"/>
                        </a:solidFill>
                        <a:ln>
                          <a:noFill/>
                        </a:ln>
                      </wps:spPr>
                      <wps:txbx>
                        <w:txbxContent>
                          <w:p w14:paraId="60821875">
                            <w:pPr>
                              <w:widowControl/>
                              <w:jc w:val="center"/>
                              <w:rPr>
                                <w:rFonts w:eastAsia="仿宋"/>
                                <w:b/>
                                <w:sz w:val="28"/>
                                <w:szCs w:val="28"/>
                              </w:rPr>
                            </w:pPr>
                            <w:r>
                              <w:rPr>
                                <w:rFonts w:eastAsia="仿宋"/>
                                <w:b/>
                                <w:sz w:val="28"/>
                                <w:szCs w:val="28"/>
                              </w:rPr>
                              <w:t xml:space="preserve">附图15 </w:t>
                            </w:r>
                            <w:r>
                              <w:rPr>
                                <w:rFonts w:hint="eastAsia" w:eastAsia="仿宋"/>
                                <w:b/>
                                <w:sz w:val="28"/>
                                <w:szCs w:val="28"/>
                              </w:rPr>
                              <w:t>花溪区黔陶乡九眼井</w:t>
                            </w:r>
                            <w:r>
                              <w:rPr>
                                <w:rFonts w:eastAsia="仿宋"/>
                                <w:b/>
                                <w:sz w:val="28"/>
                                <w:szCs w:val="28"/>
                              </w:rPr>
                              <w:t>集中式饮用水水源地保护区</w:t>
                            </w:r>
                            <w:r>
                              <w:rPr>
                                <w:rFonts w:hint="eastAsia" w:eastAsia="仿宋"/>
                                <w:b/>
                                <w:sz w:val="28"/>
                                <w:szCs w:val="28"/>
                              </w:rPr>
                              <w:t>划分</w:t>
                            </w:r>
                            <w:r>
                              <w:rPr>
                                <w:rFonts w:eastAsia="仿宋"/>
                                <w:b/>
                                <w:sz w:val="28"/>
                                <w:szCs w:val="28"/>
                              </w:rPr>
                              <w:t>图</w:t>
                            </w:r>
                          </w:p>
                        </w:txbxContent>
                      </wps:txbx>
                      <wps:bodyPr rot="0" vert="horz" wrap="square" lIns="91440" tIns="45720" rIns="91440" bIns="45720" anchor="t" anchorCtr="0" upright="1">
                        <a:noAutofit/>
                      </wps:bodyPr>
                    </wps:wsp>
                  </a:graphicData>
                </a:graphic>
              </wp:anchor>
            </w:drawing>
          </mc:Choice>
          <mc:Fallback>
            <w:pict>
              <v:shape id="Text Box 46" o:spid="_x0000_s1026" o:spt="202" type="#_x0000_t202" style="position:absolute;left:0pt;margin-left:-2.25pt;margin-top:0.65pt;height:35.75pt;width:434.95pt;z-index:251708416;mso-width-relative:page;mso-height-relative:page;" fillcolor="#FFFFFF" filled="t" stroked="f" coordsize="21600,21600" o:gfxdata="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8xcLadQAAAAHAQAA&#10;DwAAAAAAAAABACAAAAAiAAAAZHJzL2Rvd25yZXYueG1sUEsBAhQAFAAAAAgAh07iQAhMB1AdAgAA&#10;QAQAAA4AAAAAAAAAAQAgAAAAIwEAAGRycy9lMm9Eb2MueG1sUEsFBgAAAAAGAAYAWQEAALIFAAAA&#10;AA==&#10;">
                <v:fill on="t" focussize="0,0"/>
                <v:stroke on="f"/>
                <v:imagedata o:title=""/>
                <o:lock v:ext="edit" aspectratio="f"/>
                <v:textbox>
                  <w:txbxContent>
                    <w:p w14:paraId="60821875">
                      <w:pPr>
                        <w:widowControl/>
                        <w:jc w:val="center"/>
                        <w:rPr>
                          <w:rFonts w:eastAsia="仿宋"/>
                          <w:b/>
                          <w:sz w:val="28"/>
                          <w:szCs w:val="28"/>
                        </w:rPr>
                      </w:pPr>
                      <w:r>
                        <w:rPr>
                          <w:rFonts w:eastAsia="仿宋"/>
                          <w:b/>
                          <w:sz w:val="28"/>
                          <w:szCs w:val="28"/>
                        </w:rPr>
                        <w:t xml:space="preserve">附图15 </w:t>
                      </w:r>
                      <w:r>
                        <w:rPr>
                          <w:rFonts w:hint="eastAsia" w:eastAsia="仿宋"/>
                          <w:b/>
                          <w:sz w:val="28"/>
                          <w:szCs w:val="28"/>
                        </w:rPr>
                        <w:t>花溪区黔陶乡九眼井</w:t>
                      </w:r>
                      <w:r>
                        <w:rPr>
                          <w:rFonts w:eastAsia="仿宋"/>
                          <w:b/>
                          <w:sz w:val="28"/>
                          <w:szCs w:val="28"/>
                        </w:rPr>
                        <w:t>集中式饮用水水源地保护区</w:t>
                      </w:r>
                      <w:r>
                        <w:rPr>
                          <w:rFonts w:hint="eastAsia" w:eastAsia="仿宋"/>
                          <w:b/>
                          <w:sz w:val="28"/>
                          <w:szCs w:val="28"/>
                        </w:rPr>
                        <w:t>划分</w:t>
                      </w:r>
                      <w:r>
                        <w:rPr>
                          <w:rFonts w:eastAsia="仿宋"/>
                          <w:b/>
                          <w:sz w:val="28"/>
                          <w:szCs w:val="28"/>
                        </w:rPr>
                        <w:t>图</w:t>
                      </w:r>
                    </w:p>
                  </w:txbxContent>
                </v:textbox>
              </v:shape>
            </w:pict>
          </mc:Fallback>
        </mc:AlternateContent>
      </w:r>
    </w:p>
    <w:p w14:paraId="45833C70">
      <w:pPr>
        <w:widowControl/>
        <w:spacing w:line="240" w:lineRule="auto"/>
        <w:jc w:val="left"/>
        <w:rPr>
          <w:rFonts w:eastAsia="仿宋"/>
          <w:b/>
          <w:kern w:val="0"/>
          <w:szCs w:val="24"/>
        </w:rPr>
      </w:pPr>
    </w:p>
    <w:p w14:paraId="7AEAB1FD">
      <w:pPr>
        <w:widowControl/>
        <w:spacing w:line="240" w:lineRule="auto"/>
        <w:jc w:val="left"/>
        <w:rPr>
          <w:rFonts w:eastAsia="仿宋"/>
          <w:b/>
          <w:kern w:val="0"/>
          <w:szCs w:val="24"/>
        </w:rPr>
      </w:pPr>
      <w:r>
        <w:rPr>
          <w:rFonts w:eastAsia="仿宋"/>
          <w:b/>
          <w:kern w:val="0"/>
          <w:szCs w:val="24"/>
        </w:rPr>
        <w:drawing>
          <wp:inline distT="0" distB="0" distL="0" distR="0">
            <wp:extent cx="5611495" cy="759968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80" cstate="print">
                      <a:extLst>
                        <a:ext uri="{28A0092B-C50C-407E-A947-70E740481C1C}">
                          <a14:useLocalDpi xmlns:a14="http://schemas.microsoft.com/office/drawing/2010/main" val="0"/>
                        </a:ext>
                      </a:extLst>
                    </a:blip>
                    <a:srcRect t="4236"/>
                    <a:stretch>
                      <a:fillRect/>
                    </a:stretch>
                  </pic:blipFill>
                  <pic:spPr>
                    <a:xfrm>
                      <a:off x="0" y="0"/>
                      <a:ext cx="5614489" cy="7603323"/>
                    </a:xfrm>
                    <a:prstGeom prst="rect">
                      <a:avLst/>
                    </a:prstGeom>
                    <a:ln>
                      <a:noFill/>
                    </a:ln>
                  </pic:spPr>
                </pic:pic>
              </a:graphicData>
            </a:graphic>
          </wp:inline>
        </w:drawing>
      </w:r>
    </w:p>
    <w:p w14:paraId="13151B01">
      <w:pPr>
        <w:widowControl/>
        <w:spacing w:line="240" w:lineRule="auto"/>
        <w:jc w:val="left"/>
        <w:rPr>
          <w:rFonts w:eastAsia="仿宋"/>
          <w:b/>
          <w:kern w:val="0"/>
          <w:szCs w:val="24"/>
        </w:rPr>
      </w:pPr>
    </w:p>
    <w:p w14:paraId="05DC5890">
      <w:pPr>
        <w:widowControl/>
        <w:spacing w:line="240" w:lineRule="auto"/>
        <w:jc w:val="left"/>
        <w:rPr>
          <w:rFonts w:eastAsia="仿宋"/>
          <w:b/>
          <w:kern w:val="0"/>
          <w:szCs w:val="24"/>
        </w:rPr>
      </w:pPr>
    </w:p>
    <w:p w14:paraId="660468F1">
      <w:pPr>
        <w:widowControl/>
        <w:spacing w:line="240" w:lineRule="auto"/>
        <w:jc w:val="left"/>
        <w:rPr>
          <w:rFonts w:eastAsia="仿宋"/>
          <w:b/>
          <w:kern w:val="0"/>
          <w:szCs w:val="24"/>
        </w:rPr>
      </w:pPr>
    </w:p>
    <w:p w14:paraId="6B658906">
      <w:pPr>
        <w:widowControl/>
        <w:spacing w:line="240" w:lineRule="auto"/>
        <w:jc w:val="left"/>
        <w:rPr>
          <w:rFonts w:eastAsia="仿宋"/>
          <w:b/>
          <w:kern w:val="0"/>
          <w:szCs w:val="24"/>
        </w:rPr>
      </w:pPr>
      <w:r>
        <w:rPr>
          <w:rFonts w:eastAsia="仿宋"/>
          <w:b/>
          <w:kern w:val="0"/>
          <w:szCs w:val="24"/>
        </w:rPr>
        <mc:AlternateContent>
          <mc:Choice Requires="wps">
            <w:drawing>
              <wp:anchor distT="0" distB="0" distL="114300" distR="114300" simplePos="0" relativeHeight="251709440" behindDoc="0" locked="0" layoutInCell="1" allowOverlap="1">
                <wp:simplePos x="0" y="0"/>
                <wp:positionH relativeFrom="column">
                  <wp:posOffset>-14605</wp:posOffset>
                </wp:positionH>
                <wp:positionV relativeFrom="paragraph">
                  <wp:posOffset>-27940</wp:posOffset>
                </wp:positionV>
                <wp:extent cx="5523865" cy="454025"/>
                <wp:effectExtent l="635" t="635" r="0" b="2540"/>
                <wp:wrapNone/>
                <wp:docPr id="109" name="Text Box 47"/>
                <wp:cNvGraphicFramePr/>
                <a:graphic xmlns:a="http://schemas.openxmlformats.org/drawingml/2006/main">
                  <a:graphicData uri="http://schemas.microsoft.com/office/word/2010/wordprocessingShape">
                    <wps:wsp>
                      <wps:cNvSpPr txBox="1">
                        <a:spLocks noChangeArrowheads="1"/>
                      </wps:cNvSpPr>
                      <wps:spPr bwMode="auto">
                        <a:xfrm>
                          <a:off x="0" y="0"/>
                          <a:ext cx="5523865" cy="454025"/>
                        </a:xfrm>
                        <a:prstGeom prst="rect">
                          <a:avLst/>
                        </a:prstGeom>
                        <a:solidFill>
                          <a:srgbClr val="FFFFFF"/>
                        </a:solidFill>
                        <a:ln>
                          <a:noFill/>
                        </a:ln>
                      </wps:spPr>
                      <wps:txbx>
                        <w:txbxContent>
                          <w:p w14:paraId="6A9788A1">
                            <w:pPr>
                              <w:widowControl/>
                              <w:jc w:val="center"/>
                              <w:rPr>
                                <w:rFonts w:eastAsia="仿宋"/>
                                <w:b/>
                                <w:sz w:val="28"/>
                                <w:szCs w:val="28"/>
                              </w:rPr>
                            </w:pPr>
                            <w:r>
                              <w:rPr>
                                <w:rFonts w:eastAsia="仿宋"/>
                                <w:b/>
                                <w:sz w:val="28"/>
                                <w:szCs w:val="28"/>
                              </w:rPr>
                              <w:t xml:space="preserve">附图16 </w:t>
                            </w:r>
                            <w:r>
                              <w:rPr>
                                <w:rFonts w:hint="eastAsia" w:eastAsia="仿宋"/>
                                <w:b/>
                                <w:sz w:val="28"/>
                                <w:szCs w:val="28"/>
                              </w:rPr>
                              <w:t>花溪区黔陶乡九眼井</w:t>
                            </w:r>
                            <w:r>
                              <w:rPr>
                                <w:rFonts w:eastAsia="仿宋"/>
                                <w:b/>
                                <w:sz w:val="28"/>
                                <w:szCs w:val="28"/>
                              </w:rPr>
                              <w:t>集中式饮用水水源地保护区</w:t>
                            </w:r>
                            <w:r>
                              <w:rPr>
                                <w:rFonts w:hint="eastAsia" w:eastAsia="仿宋"/>
                                <w:b/>
                                <w:sz w:val="28"/>
                                <w:szCs w:val="28"/>
                              </w:rPr>
                              <w:t>划分影像</w:t>
                            </w:r>
                            <w:r>
                              <w:rPr>
                                <w:rFonts w:eastAsia="仿宋"/>
                                <w:b/>
                                <w:sz w:val="28"/>
                                <w:szCs w:val="28"/>
                              </w:rPr>
                              <w:t>图</w:t>
                            </w:r>
                          </w:p>
                        </w:txbxContent>
                      </wps:txbx>
                      <wps:bodyPr rot="0" vert="horz" wrap="square" lIns="91440" tIns="45720" rIns="91440" bIns="45720" anchor="t" anchorCtr="0" upright="1">
                        <a:noAutofit/>
                      </wps:bodyPr>
                    </wps:wsp>
                  </a:graphicData>
                </a:graphic>
              </wp:anchor>
            </w:drawing>
          </mc:Choice>
          <mc:Fallback>
            <w:pict>
              <v:shape id="Text Box 47" o:spid="_x0000_s1026" o:spt="202" type="#_x0000_t202" style="position:absolute;left:0pt;margin-left:-1.15pt;margin-top:-2.2pt;height:35.75pt;width:434.95pt;z-index:251709440;mso-width-relative:page;mso-height-relative:page;" fillcolor="#FFFFFF" filled="t" stroked="f" coordsize="21600,21600" o:gfxdata="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Dd9TzrXAAAA&#10;CAEAAA8AAAAAAAAAAQAgAAAAIgAAAGRycy9kb3ducmV2LnhtbFBLAQIUABQAAAAIAIdO4kBpCRPx&#10;HgIAAEAEAAAOAAAAAAAAAAEAIAAAACYBAABkcnMvZTJvRG9jLnhtbFBLBQYAAAAABgAGAFkBAAC2&#10;BQAAAAA=&#10;">
                <v:fill on="t" focussize="0,0"/>
                <v:stroke on="f"/>
                <v:imagedata o:title=""/>
                <o:lock v:ext="edit" aspectratio="f"/>
                <v:textbox>
                  <w:txbxContent>
                    <w:p w14:paraId="6A9788A1">
                      <w:pPr>
                        <w:widowControl/>
                        <w:jc w:val="center"/>
                        <w:rPr>
                          <w:rFonts w:eastAsia="仿宋"/>
                          <w:b/>
                          <w:sz w:val="28"/>
                          <w:szCs w:val="28"/>
                        </w:rPr>
                      </w:pPr>
                      <w:r>
                        <w:rPr>
                          <w:rFonts w:eastAsia="仿宋"/>
                          <w:b/>
                          <w:sz w:val="28"/>
                          <w:szCs w:val="28"/>
                        </w:rPr>
                        <w:t xml:space="preserve">附图16 </w:t>
                      </w:r>
                      <w:r>
                        <w:rPr>
                          <w:rFonts w:hint="eastAsia" w:eastAsia="仿宋"/>
                          <w:b/>
                          <w:sz w:val="28"/>
                          <w:szCs w:val="28"/>
                        </w:rPr>
                        <w:t>花溪区黔陶乡九眼井</w:t>
                      </w:r>
                      <w:r>
                        <w:rPr>
                          <w:rFonts w:eastAsia="仿宋"/>
                          <w:b/>
                          <w:sz w:val="28"/>
                          <w:szCs w:val="28"/>
                        </w:rPr>
                        <w:t>集中式饮用水水源地保护区</w:t>
                      </w:r>
                      <w:r>
                        <w:rPr>
                          <w:rFonts w:hint="eastAsia" w:eastAsia="仿宋"/>
                          <w:b/>
                          <w:sz w:val="28"/>
                          <w:szCs w:val="28"/>
                        </w:rPr>
                        <w:t>划分影像</w:t>
                      </w:r>
                      <w:r>
                        <w:rPr>
                          <w:rFonts w:eastAsia="仿宋"/>
                          <w:b/>
                          <w:sz w:val="28"/>
                          <w:szCs w:val="28"/>
                        </w:rPr>
                        <w:t>图</w:t>
                      </w:r>
                    </w:p>
                  </w:txbxContent>
                </v:textbox>
              </v:shape>
            </w:pict>
          </mc:Fallback>
        </mc:AlternateContent>
      </w:r>
    </w:p>
    <w:p w14:paraId="3DD1937D">
      <w:pPr>
        <w:widowControl/>
        <w:spacing w:line="240" w:lineRule="auto"/>
        <w:jc w:val="left"/>
        <w:rPr>
          <w:rFonts w:eastAsia="仿宋"/>
          <w:b/>
          <w:kern w:val="0"/>
          <w:szCs w:val="24"/>
        </w:rPr>
      </w:pPr>
    </w:p>
    <w:p w14:paraId="0E28234F">
      <w:pPr>
        <w:widowControl/>
        <w:spacing w:line="240" w:lineRule="auto"/>
        <w:jc w:val="left"/>
        <w:rPr>
          <w:rFonts w:eastAsia="仿宋"/>
          <w:b/>
          <w:kern w:val="0"/>
          <w:szCs w:val="24"/>
        </w:rPr>
      </w:pPr>
      <w:r>
        <w:rPr>
          <w:rFonts w:eastAsia="仿宋"/>
          <w:b/>
          <w:kern w:val="0"/>
          <w:szCs w:val="24"/>
        </w:rPr>
        <w:drawing>
          <wp:inline distT="0" distB="0" distL="0" distR="0">
            <wp:extent cx="5681345" cy="7694295"/>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81" cstate="print">
                      <a:extLst>
                        <a:ext uri="{28A0092B-C50C-407E-A947-70E740481C1C}">
                          <a14:useLocalDpi xmlns:a14="http://schemas.microsoft.com/office/drawing/2010/main" val="0"/>
                        </a:ext>
                      </a:extLst>
                    </a:blip>
                    <a:srcRect t="4236"/>
                    <a:stretch>
                      <a:fillRect/>
                    </a:stretch>
                  </pic:blipFill>
                  <pic:spPr>
                    <a:xfrm>
                      <a:off x="0" y="0"/>
                      <a:ext cx="5686316" cy="7700594"/>
                    </a:xfrm>
                    <a:prstGeom prst="rect">
                      <a:avLst/>
                    </a:prstGeom>
                    <a:ln>
                      <a:noFill/>
                    </a:ln>
                  </pic:spPr>
                </pic:pic>
              </a:graphicData>
            </a:graphic>
          </wp:inline>
        </w:drawing>
      </w:r>
    </w:p>
    <w:p w14:paraId="4F28672A">
      <w:pPr>
        <w:widowControl/>
        <w:spacing w:line="240" w:lineRule="auto"/>
        <w:jc w:val="left"/>
        <w:rPr>
          <w:rFonts w:eastAsia="仿宋"/>
          <w:b/>
          <w:kern w:val="0"/>
          <w:szCs w:val="24"/>
        </w:rPr>
        <w:sectPr>
          <w:pgSz w:w="11906" w:h="16838"/>
          <w:pgMar w:top="1440" w:right="1644" w:bottom="1440" w:left="1644" w:header="851" w:footer="992" w:gutter="0"/>
          <w:cols w:space="425" w:num="1"/>
          <w:docGrid w:type="lines" w:linePitch="312" w:charSpace="0"/>
        </w:sectPr>
      </w:pPr>
    </w:p>
    <w:p w14:paraId="66A5E49B">
      <w:pPr>
        <w:widowControl/>
        <w:spacing w:line="240" w:lineRule="auto"/>
        <w:jc w:val="left"/>
        <w:rPr>
          <w:rFonts w:eastAsia="仿宋"/>
          <w:b/>
          <w:kern w:val="0"/>
          <w:szCs w:val="24"/>
        </w:rPr>
      </w:pPr>
      <w:r>
        <w:rPr>
          <w:rFonts w:eastAsia="仿宋"/>
          <w:b/>
          <w:kern w:val="0"/>
          <w:szCs w:val="24"/>
        </w:rPr>
        <mc:AlternateContent>
          <mc:Choice Requires="wps">
            <w:drawing>
              <wp:anchor distT="0" distB="0" distL="114300" distR="114300" simplePos="0" relativeHeight="251710464" behindDoc="0" locked="0" layoutInCell="1" allowOverlap="1">
                <wp:simplePos x="0" y="0"/>
                <wp:positionH relativeFrom="column">
                  <wp:posOffset>1403985</wp:posOffset>
                </wp:positionH>
                <wp:positionV relativeFrom="paragraph">
                  <wp:posOffset>-191770</wp:posOffset>
                </wp:positionV>
                <wp:extent cx="6424930" cy="454025"/>
                <wp:effectExtent l="3810" t="4445" r="635" b="0"/>
                <wp:wrapNone/>
                <wp:docPr id="108" name="Text Box 48"/>
                <wp:cNvGraphicFramePr/>
                <a:graphic xmlns:a="http://schemas.openxmlformats.org/drawingml/2006/main">
                  <a:graphicData uri="http://schemas.microsoft.com/office/word/2010/wordprocessingShape">
                    <wps:wsp>
                      <wps:cNvSpPr txBox="1">
                        <a:spLocks noChangeArrowheads="1"/>
                      </wps:cNvSpPr>
                      <wps:spPr bwMode="auto">
                        <a:xfrm>
                          <a:off x="0" y="0"/>
                          <a:ext cx="6424930" cy="454025"/>
                        </a:xfrm>
                        <a:prstGeom prst="rect">
                          <a:avLst/>
                        </a:prstGeom>
                        <a:solidFill>
                          <a:srgbClr val="FFFFFF"/>
                        </a:solidFill>
                        <a:ln>
                          <a:noFill/>
                        </a:ln>
                      </wps:spPr>
                      <wps:txbx>
                        <w:txbxContent>
                          <w:p w14:paraId="75DAB18F">
                            <w:pPr>
                              <w:widowControl/>
                              <w:jc w:val="center"/>
                              <w:rPr>
                                <w:rFonts w:eastAsia="仿宋"/>
                                <w:b/>
                                <w:sz w:val="28"/>
                                <w:szCs w:val="28"/>
                              </w:rPr>
                            </w:pPr>
                            <w:r>
                              <w:rPr>
                                <w:rFonts w:eastAsia="仿宋"/>
                                <w:b/>
                                <w:sz w:val="28"/>
                                <w:szCs w:val="28"/>
                              </w:rPr>
                              <w:t xml:space="preserve">附图17 </w:t>
                            </w:r>
                            <w:r>
                              <w:rPr>
                                <w:rFonts w:hint="eastAsia" w:eastAsia="仿宋"/>
                                <w:b/>
                                <w:sz w:val="28"/>
                                <w:szCs w:val="28"/>
                              </w:rPr>
                              <w:t>花溪区马铃乡红岩水库</w:t>
                            </w:r>
                            <w:r>
                              <w:rPr>
                                <w:rFonts w:eastAsia="仿宋"/>
                                <w:b/>
                                <w:sz w:val="28"/>
                                <w:szCs w:val="28"/>
                              </w:rPr>
                              <w:t>集中式饮用水水源地保护区</w:t>
                            </w:r>
                            <w:r>
                              <w:rPr>
                                <w:rFonts w:hint="eastAsia" w:eastAsia="仿宋"/>
                                <w:b/>
                                <w:sz w:val="28"/>
                                <w:szCs w:val="28"/>
                              </w:rPr>
                              <w:t>划分</w:t>
                            </w:r>
                            <w:r>
                              <w:rPr>
                                <w:rFonts w:eastAsia="仿宋"/>
                                <w:b/>
                                <w:sz w:val="28"/>
                                <w:szCs w:val="28"/>
                              </w:rPr>
                              <w:t>图</w:t>
                            </w:r>
                          </w:p>
                        </w:txbxContent>
                      </wps:txbx>
                      <wps:bodyPr rot="0" vert="horz" wrap="square" lIns="91440" tIns="45720" rIns="91440" bIns="45720" anchor="t" anchorCtr="0" upright="1">
                        <a:noAutofit/>
                      </wps:bodyPr>
                    </wps:wsp>
                  </a:graphicData>
                </a:graphic>
              </wp:anchor>
            </w:drawing>
          </mc:Choice>
          <mc:Fallback>
            <w:pict>
              <v:shape id="Text Box 48" o:spid="_x0000_s1026" o:spt="202" type="#_x0000_t202" style="position:absolute;left:0pt;margin-left:110.55pt;margin-top:-15.1pt;height:35.75pt;width:505.9pt;z-index:251710464;mso-width-relative:page;mso-height-relative:page;" fillcolor="#FFFFFF" filled="t" stroked="f" coordsize="21600,21600" o:gfxdata="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H+/OzzZAAAA&#10;CwEAAA8AAAAAAAAAAQAgAAAAIgAAAGRycy9kb3ducmV2LnhtbFBLAQIUABQAAAAIAIdO4kDZW2b1&#10;HAIAAEAEAAAOAAAAAAAAAAEAIAAAACgBAABkcnMvZTJvRG9jLnhtbFBLBQYAAAAABgAGAFkBAAC2&#10;BQAAAAA=&#10;">
                <v:fill on="t" focussize="0,0"/>
                <v:stroke on="f"/>
                <v:imagedata o:title=""/>
                <o:lock v:ext="edit" aspectratio="f"/>
                <v:textbox>
                  <w:txbxContent>
                    <w:p w14:paraId="75DAB18F">
                      <w:pPr>
                        <w:widowControl/>
                        <w:jc w:val="center"/>
                        <w:rPr>
                          <w:rFonts w:eastAsia="仿宋"/>
                          <w:b/>
                          <w:sz w:val="28"/>
                          <w:szCs w:val="28"/>
                        </w:rPr>
                      </w:pPr>
                      <w:r>
                        <w:rPr>
                          <w:rFonts w:eastAsia="仿宋"/>
                          <w:b/>
                          <w:sz w:val="28"/>
                          <w:szCs w:val="28"/>
                        </w:rPr>
                        <w:t xml:space="preserve">附图17 </w:t>
                      </w:r>
                      <w:r>
                        <w:rPr>
                          <w:rFonts w:hint="eastAsia" w:eastAsia="仿宋"/>
                          <w:b/>
                          <w:sz w:val="28"/>
                          <w:szCs w:val="28"/>
                        </w:rPr>
                        <w:t>花溪区马铃乡红岩水库</w:t>
                      </w:r>
                      <w:r>
                        <w:rPr>
                          <w:rFonts w:eastAsia="仿宋"/>
                          <w:b/>
                          <w:sz w:val="28"/>
                          <w:szCs w:val="28"/>
                        </w:rPr>
                        <w:t>集中式饮用水水源地保护区</w:t>
                      </w:r>
                      <w:r>
                        <w:rPr>
                          <w:rFonts w:hint="eastAsia" w:eastAsia="仿宋"/>
                          <w:b/>
                          <w:sz w:val="28"/>
                          <w:szCs w:val="28"/>
                        </w:rPr>
                        <w:t>划分</w:t>
                      </w:r>
                      <w:r>
                        <w:rPr>
                          <w:rFonts w:eastAsia="仿宋"/>
                          <w:b/>
                          <w:sz w:val="28"/>
                          <w:szCs w:val="28"/>
                        </w:rPr>
                        <w:t>图</w:t>
                      </w:r>
                    </w:p>
                  </w:txbxContent>
                </v:textbox>
              </v:shape>
            </w:pict>
          </mc:Fallback>
        </mc:AlternateContent>
      </w:r>
    </w:p>
    <w:p w14:paraId="458E67F4">
      <w:pPr>
        <w:widowControl/>
        <w:spacing w:line="240" w:lineRule="auto"/>
        <w:jc w:val="center"/>
        <w:rPr>
          <w:rFonts w:eastAsia="仿宋"/>
          <w:b/>
          <w:kern w:val="0"/>
          <w:szCs w:val="24"/>
        </w:rPr>
      </w:pPr>
      <w:r>
        <w:rPr>
          <w:rFonts w:eastAsia="仿宋"/>
          <w:b/>
          <w:kern w:val="0"/>
          <w:szCs w:val="24"/>
        </w:rPr>
        <w:drawing>
          <wp:inline distT="0" distB="0" distL="0" distR="0">
            <wp:extent cx="7557770" cy="5117465"/>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82" cstate="print">
                      <a:extLst>
                        <a:ext uri="{28A0092B-C50C-407E-A947-70E740481C1C}">
                          <a14:useLocalDpi xmlns:a14="http://schemas.microsoft.com/office/drawing/2010/main" val="0"/>
                        </a:ext>
                      </a:extLst>
                    </a:blip>
                    <a:srcRect t="4215"/>
                    <a:stretch>
                      <a:fillRect/>
                    </a:stretch>
                  </pic:blipFill>
                  <pic:spPr>
                    <a:xfrm>
                      <a:off x="0" y="0"/>
                      <a:ext cx="7567972" cy="5124455"/>
                    </a:xfrm>
                    <a:prstGeom prst="rect">
                      <a:avLst/>
                    </a:prstGeom>
                    <a:ln>
                      <a:noFill/>
                    </a:ln>
                  </pic:spPr>
                </pic:pic>
              </a:graphicData>
            </a:graphic>
          </wp:inline>
        </w:drawing>
      </w:r>
    </w:p>
    <w:p w14:paraId="6E9E5F6A">
      <w:pPr>
        <w:widowControl/>
        <w:spacing w:line="240" w:lineRule="auto"/>
        <w:jc w:val="left"/>
        <w:rPr>
          <w:rFonts w:eastAsia="仿宋"/>
          <w:b/>
          <w:kern w:val="0"/>
          <w:szCs w:val="24"/>
        </w:rPr>
      </w:pPr>
      <w:r>
        <w:rPr>
          <w:rFonts w:eastAsia="仿宋"/>
          <w:b/>
          <w:kern w:val="0"/>
          <w:szCs w:val="24"/>
        </w:rPr>
        <mc:AlternateContent>
          <mc:Choice Requires="wps">
            <w:drawing>
              <wp:anchor distT="0" distB="0" distL="114300" distR="114300" simplePos="0" relativeHeight="251711488" behindDoc="0" locked="0" layoutInCell="1" allowOverlap="1">
                <wp:simplePos x="0" y="0"/>
                <wp:positionH relativeFrom="column">
                  <wp:posOffset>1303020</wp:posOffset>
                </wp:positionH>
                <wp:positionV relativeFrom="paragraph">
                  <wp:posOffset>-212725</wp:posOffset>
                </wp:positionV>
                <wp:extent cx="6424930" cy="454025"/>
                <wp:effectExtent l="0" t="2540" r="0" b="635"/>
                <wp:wrapNone/>
                <wp:docPr id="105" name="Text Box 49"/>
                <wp:cNvGraphicFramePr/>
                <a:graphic xmlns:a="http://schemas.openxmlformats.org/drawingml/2006/main">
                  <a:graphicData uri="http://schemas.microsoft.com/office/word/2010/wordprocessingShape">
                    <wps:wsp>
                      <wps:cNvSpPr txBox="1">
                        <a:spLocks noChangeArrowheads="1"/>
                      </wps:cNvSpPr>
                      <wps:spPr bwMode="auto">
                        <a:xfrm>
                          <a:off x="0" y="0"/>
                          <a:ext cx="6424930" cy="454025"/>
                        </a:xfrm>
                        <a:prstGeom prst="rect">
                          <a:avLst/>
                        </a:prstGeom>
                        <a:solidFill>
                          <a:srgbClr val="FFFFFF"/>
                        </a:solidFill>
                        <a:ln>
                          <a:noFill/>
                        </a:ln>
                      </wps:spPr>
                      <wps:txbx>
                        <w:txbxContent>
                          <w:p w14:paraId="7C493A17">
                            <w:pPr>
                              <w:widowControl/>
                              <w:jc w:val="center"/>
                              <w:rPr>
                                <w:rFonts w:eastAsia="仿宋"/>
                                <w:b/>
                                <w:sz w:val="28"/>
                                <w:szCs w:val="28"/>
                              </w:rPr>
                            </w:pPr>
                            <w:r>
                              <w:rPr>
                                <w:rFonts w:eastAsia="仿宋"/>
                                <w:b/>
                                <w:sz w:val="28"/>
                                <w:szCs w:val="28"/>
                              </w:rPr>
                              <w:t xml:space="preserve">附图18 </w:t>
                            </w:r>
                            <w:r>
                              <w:rPr>
                                <w:rFonts w:hint="eastAsia" w:eastAsia="仿宋"/>
                                <w:b/>
                                <w:sz w:val="28"/>
                                <w:szCs w:val="28"/>
                              </w:rPr>
                              <w:t>花溪区马铃乡红岩水库</w:t>
                            </w:r>
                            <w:r>
                              <w:rPr>
                                <w:rFonts w:eastAsia="仿宋"/>
                                <w:b/>
                                <w:sz w:val="28"/>
                                <w:szCs w:val="28"/>
                              </w:rPr>
                              <w:t>集中式饮用水水源地保护区</w:t>
                            </w:r>
                            <w:r>
                              <w:rPr>
                                <w:rFonts w:hint="eastAsia" w:eastAsia="仿宋"/>
                                <w:b/>
                                <w:sz w:val="28"/>
                                <w:szCs w:val="28"/>
                              </w:rPr>
                              <w:t>划分影像</w:t>
                            </w:r>
                            <w:r>
                              <w:rPr>
                                <w:rFonts w:eastAsia="仿宋"/>
                                <w:b/>
                                <w:sz w:val="28"/>
                                <w:szCs w:val="28"/>
                              </w:rPr>
                              <w:t>图</w:t>
                            </w:r>
                          </w:p>
                        </w:txbxContent>
                      </wps:txbx>
                      <wps:bodyPr rot="0" vert="horz" wrap="square" lIns="91440" tIns="45720" rIns="91440" bIns="45720" anchor="t" anchorCtr="0" upright="1">
                        <a:noAutofit/>
                      </wps:bodyPr>
                    </wps:wsp>
                  </a:graphicData>
                </a:graphic>
              </wp:anchor>
            </w:drawing>
          </mc:Choice>
          <mc:Fallback>
            <w:pict>
              <v:shape id="Text Box 49" o:spid="_x0000_s1026" o:spt="202" type="#_x0000_t202" style="position:absolute;left:0pt;margin-left:102.6pt;margin-top:-16.75pt;height:35.75pt;width:505.9pt;z-index:251711488;mso-width-relative:page;mso-height-relative:page;" fillcolor="#FFFFFF" filled="t" stroked="f" coordsize="21600,21600" o:gfxdata="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wEyOf2QAA&#10;AAsBAAAPAAAAAAAAAAEAIAAAACIAAABkcnMvZG93bnJldi54bWxQSwECFAAUAAAACACHTuJA4QTF&#10;Bx0CAABABAAADgAAAAAAAAABACAAAAAoAQAAZHJzL2Uyb0RvYy54bWxQSwUGAAAAAAYABgBZAQAA&#10;twUAAAAA&#10;">
                <v:fill on="t" focussize="0,0"/>
                <v:stroke on="f"/>
                <v:imagedata o:title=""/>
                <o:lock v:ext="edit" aspectratio="f"/>
                <v:textbox>
                  <w:txbxContent>
                    <w:p w14:paraId="7C493A17">
                      <w:pPr>
                        <w:widowControl/>
                        <w:jc w:val="center"/>
                        <w:rPr>
                          <w:rFonts w:eastAsia="仿宋"/>
                          <w:b/>
                          <w:sz w:val="28"/>
                          <w:szCs w:val="28"/>
                        </w:rPr>
                      </w:pPr>
                      <w:r>
                        <w:rPr>
                          <w:rFonts w:eastAsia="仿宋"/>
                          <w:b/>
                          <w:sz w:val="28"/>
                          <w:szCs w:val="28"/>
                        </w:rPr>
                        <w:t xml:space="preserve">附图18 </w:t>
                      </w:r>
                      <w:r>
                        <w:rPr>
                          <w:rFonts w:hint="eastAsia" w:eastAsia="仿宋"/>
                          <w:b/>
                          <w:sz w:val="28"/>
                          <w:szCs w:val="28"/>
                        </w:rPr>
                        <w:t>花溪区马铃乡红岩水库</w:t>
                      </w:r>
                      <w:r>
                        <w:rPr>
                          <w:rFonts w:eastAsia="仿宋"/>
                          <w:b/>
                          <w:sz w:val="28"/>
                          <w:szCs w:val="28"/>
                        </w:rPr>
                        <w:t>集中式饮用水水源地保护区</w:t>
                      </w:r>
                      <w:r>
                        <w:rPr>
                          <w:rFonts w:hint="eastAsia" w:eastAsia="仿宋"/>
                          <w:b/>
                          <w:sz w:val="28"/>
                          <w:szCs w:val="28"/>
                        </w:rPr>
                        <w:t>划分影像</w:t>
                      </w:r>
                      <w:r>
                        <w:rPr>
                          <w:rFonts w:eastAsia="仿宋"/>
                          <w:b/>
                          <w:sz w:val="28"/>
                          <w:szCs w:val="28"/>
                        </w:rPr>
                        <w:t>图</w:t>
                      </w:r>
                    </w:p>
                  </w:txbxContent>
                </v:textbox>
              </v:shape>
            </w:pict>
          </mc:Fallback>
        </mc:AlternateContent>
      </w:r>
    </w:p>
    <w:p w14:paraId="14E89680">
      <w:pPr>
        <w:widowControl/>
        <w:spacing w:line="240" w:lineRule="auto"/>
        <w:jc w:val="center"/>
        <w:rPr>
          <w:rFonts w:eastAsia="仿宋"/>
          <w:b/>
          <w:kern w:val="0"/>
          <w:szCs w:val="24"/>
        </w:rPr>
      </w:pPr>
      <w:r>
        <w:rPr>
          <w:rFonts w:eastAsia="仿宋"/>
          <w:b/>
          <w:kern w:val="0"/>
          <w:szCs w:val="24"/>
        </w:rPr>
        <w:drawing>
          <wp:inline distT="0" distB="0" distL="0" distR="0">
            <wp:extent cx="7192010" cy="4868545"/>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83" cstate="print">
                      <a:extLst>
                        <a:ext uri="{28A0092B-C50C-407E-A947-70E740481C1C}">
                          <a14:useLocalDpi xmlns:a14="http://schemas.microsoft.com/office/drawing/2010/main" val="0"/>
                        </a:ext>
                      </a:extLst>
                    </a:blip>
                    <a:srcRect t="4240"/>
                    <a:stretch>
                      <a:fillRect/>
                    </a:stretch>
                  </pic:blipFill>
                  <pic:spPr>
                    <a:xfrm>
                      <a:off x="0" y="0"/>
                      <a:ext cx="7201979" cy="4875338"/>
                    </a:xfrm>
                    <a:prstGeom prst="rect">
                      <a:avLst/>
                    </a:prstGeom>
                    <a:ln>
                      <a:noFill/>
                    </a:ln>
                  </pic:spPr>
                </pic:pic>
              </a:graphicData>
            </a:graphic>
          </wp:inline>
        </w:drawing>
      </w:r>
    </w:p>
    <w:p w14:paraId="7066F533">
      <w:pPr>
        <w:widowControl/>
        <w:spacing w:line="240" w:lineRule="auto"/>
        <w:jc w:val="center"/>
        <w:rPr>
          <w:rFonts w:eastAsia="仿宋"/>
          <w:b/>
          <w:kern w:val="0"/>
          <w:szCs w:val="24"/>
        </w:rPr>
      </w:pPr>
    </w:p>
    <w:p w14:paraId="0B2B5367">
      <w:pPr>
        <w:widowControl/>
        <w:spacing w:line="240" w:lineRule="auto"/>
        <w:jc w:val="left"/>
        <w:rPr>
          <w:rFonts w:eastAsia="仿宋"/>
          <w:b/>
          <w:kern w:val="0"/>
          <w:szCs w:val="24"/>
        </w:rPr>
      </w:pPr>
      <w:r>
        <w:rPr>
          <w:rFonts w:eastAsia="仿宋"/>
          <w:b/>
          <w:kern w:val="0"/>
          <w:szCs w:val="24"/>
        </w:rPr>
        <mc:AlternateContent>
          <mc:Choice Requires="wps">
            <w:drawing>
              <wp:anchor distT="0" distB="0" distL="114300" distR="114300" simplePos="0" relativeHeight="251712512" behindDoc="0" locked="0" layoutInCell="1" allowOverlap="1">
                <wp:simplePos x="0" y="0"/>
                <wp:positionH relativeFrom="column">
                  <wp:posOffset>254000</wp:posOffset>
                </wp:positionH>
                <wp:positionV relativeFrom="paragraph">
                  <wp:posOffset>-255270</wp:posOffset>
                </wp:positionV>
                <wp:extent cx="8153400" cy="434975"/>
                <wp:effectExtent l="6350" t="7620" r="12700" b="5080"/>
                <wp:wrapNone/>
                <wp:docPr id="104" name="Rectangle 2"/>
                <wp:cNvGraphicFramePr/>
                <a:graphic xmlns:a="http://schemas.openxmlformats.org/drawingml/2006/main">
                  <a:graphicData uri="http://schemas.microsoft.com/office/word/2010/wordprocessingShape">
                    <wps:wsp>
                      <wps:cNvSpPr>
                        <a:spLocks noChangeArrowheads="1"/>
                      </wps:cNvSpPr>
                      <wps:spPr bwMode="auto">
                        <a:xfrm>
                          <a:off x="0" y="0"/>
                          <a:ext cx="8153400" cy="434975"/>
                        </a:xfrm>
                        <a:prstGeom prst="rect">
                          <a:avLst/>
                        </a:prstGeom>
                        <a:solidFill>
                          <a:srgbClr val="FFFFFF"/>
                        </a:solidFill>
                        <a:ln w="9525">
                          <a:solidFill>
                            <a:srgbClr val="000000"/>
                          </a:solidFill>
                          <a:miter lim="800000"/>
                        </a:ln>
                      </wps:spPr>
                      <wps:txbx>
                        <w:txbxContent>
                          <w:p w14:paraId="495AF402">
                            <w:pPr>
                              <w:jc w:val="center"/>
                              <w:rPr>
                                <w:rFonts w:eastAsia="仿宋"/>
                                <w:b/>
                                <w:sz w:val="28"/>
                                <w:szCs w:val="28"/>
                              </w:rPr>
                            </w:pPr>
                            <w:r>
                              <w:rPr>
                                <w:rFonts w:hint="eastAsia" w:eastAsia="仿宋"/>
                                <w:b/>
                                <w:sz w:val="28"/>
                                <w:szCs w:val="28"/>
                              </w:rPr>
                              <w:t>附图</w:t>
                            </w:r>
                            <w:r>
                              <w:rPr>
                                <w:rFonts w:eastAsia="仿宋"/>
                                <w:b/>
                                <w:sz w:val="28"/>
                                <w:szCs w:val="28"/>
                              </w:rPr>
                              <w:t>19</w:t>
                            </w:r>
                            <w:r>
                              <w:rPr>
                                <w:rFonts w:hint="eastAsia" w:eastAsia="仿宋"/>
                                <w:b/>
                                <w:sz w:val="28"/>
                                <w:szCs w:val="28"/>
                              </w:rPr>
                              <w:t xml:space="preserve"> ：花溪区高坡乡大洪村集中式饮用水水源监管范围划分图</w:t>
                            </w:r>
                          </w:p>
                          <w:p w14:paraId="2FD9DB46">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wps:txbx>
                      <wps:bodyPr rot="0" vert="horz" wrap="square" lIns="91440" tIns="45720" rIns="91440" bIns="45720" anchor="t" anchorCtr="0" upright="1">
                        <a:noAutofit/>
                      </wps:bodyPr>
                    </wps:wsp>
                  </a:graphicData>
                </a:graphic>
              </wp:anchor>
            </w:drawing>
          </mc:Choice>
          <mc:Fallback>
            <w:pict>
              <v:rect id="Rectangle 2" o:spid="_x0000_s1026" o:spt="1" style="position:absolute;left:0pt;margin-left:20pt;margin-top:-20.1pt;height:34.25pt;width:642pt;z-index:251712512;mso-width-relative:page;mso-height-relative:page;" fillcolor="#FFFFFF" filled="t" stroked="t" coordsize="21600,21600" o:gfxdata="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ExeZFXYAAAACgEAAA8AAAAAAAAAAQAgAAAAIgAAAGRycy9kb3ducmV2LnhtbFBL&#10;AQIUABQAAAAIAIdO4kD932MkLwIAAH8EAAAOAAAAAAAAAAEAIAAAACcBAABkcnMvZTJvRG9jLnht&#10;bFBLBQYAAAAABgAGAFkBAADIBQAAAAA=&#10;">
                <v:fill on="t" focussize="0,0"/>
                <v:stroke color="#000000" miterlimit="8" joinstyle="miter"/>
                <v:imagedata o:title=""/>
                <o:lock v:ext="edit" aspectratio="f"/>
                <v:textbox>
                  <w:txbxContent>
                    <w:p w14:paraId="495AF402">
                      <w:pPr>
                        <w:jc w:val="center"/>
                        <w:rPr>
                          <w:rFonts w:eastAsia="仿宋"/>
                          <w:b/>
                          <w:sz w:val="28"/>
                          <w:szCs w:val="28"/>
                        </w:rPr>
                      </w:pPr>
                      <w:r>
                        <w:rPr>
                          <w:rFonts w:hint="eastAsia" w:eastAsia="仿宋"/>
                          <w:b/>
                          <w:sz w:val="28"/>
                          <w:szCs w:val="28"/>
                        </w:rPr>
                        <w:t>附图</w:t>
                      </w:r>
                      <w:r>
                        <w:rPr>
                          <w:rFonts w:eastAsia="仿宋"/>
                          <w:b/>
                          <w:sz w:val="28"/>
                          <w:szCs w:val="28"/>
                        </w:rPr>
                        <w:t>19</w:t>
                      </w:r>
                      <w:r>
                        <w:rPr>
                          <w:rFonts w:hint="eastAsia" w:eastAsia="仿宋"/>
                          <w:b/>
                          <w:sz w:val="28"/>
                          <w:szCs w:val="28"/>
                        </w:rPr>
                        <w:t xml:space="preserve"> ：花溪区高坡乡大洪村集中式饮用水水源监管范围划分图</w:t>
                      </w:r>
                    </w:p>
                    <w:p w14:paraId="2FD9DB46">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v:textbox>
              </v:rect>
            </w:pict>
          </mc:Fallback>
        </mc:AlternateContent>
      </w:r>
      <w:r>
        <w:rPr>
          <w:rFonts w:eastAsia="仿宋"/>
          <w:b/>
          <w:kern w:val="0"/>
          <w:szCs w:val="24"/>
        </w:rPr>
        <w:drawing>
          <wp:anchor distT="0" distB="0" distL="114300" distR="114300" simplePos="0" relativeHeight="251665408" behindDoc="0" locked="0" layoutInCell="1" allowOverlap="1">
            <wp:simplePos x="0" y="0"/>
            <wp:positionH relativeFrom="column">
              <wp:posOffset>264795</wp:posOffset>
            </wp:positionH>
            <wp:positionV relativeFrom="paragraph">
              <wp:posOffset>184785</wp:posOffset>
            </wp:positionV>
            <wp:extent cx="8134350" cy="5472430"/>
            <wp:effectExtent l="0" t="0" r="0" b="0"/>
            <wp:wrapNone/>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a:xfrm>
                      <a:off x="0" y="0"/>
                      <a:ext cx="8134350" cy="5472430"/>
                    </a:xfrm>
                    <a:prstGeom prst="rect">
                      <a:avLst/>
                    </a:prstGeom>
                    <a:noFill/>
                    <a:ln>
                      <a:noFill/>
                    </a:ln>
                  </pic:spPr>
                </pic:pic>
              </a:graphicData>
            </a:graphic>
          </wp:anchor>
        </w:drawing>
      </w:r>
    </w:p>
    <w:p w14:paraId="0C406707">
      <w:pPr>
        <w:widowControl/>
        <w:spacing w:line="240" w:lineRule="auto"/>
        <w:jc w:val="left"/>
        <w:rPr>
          <w:rFonts w:eastAsia="仿宋"/>
          <w:b/>
          <w:kern w:val="0"/>
          <w:szCs w:val="24"/>
        </w:rPr>
      </w:pPr>
    </w:p>
    <w:p w14:paraId="52CDEC4E">
      <w:pPr>
        <w:widowControl/>
        <w:spacing w:line="240" w:lineRule="auto"/>
        <w:jc w:val="left"/>
        <w:rPr>
          <w:rFonts w:eastAsia="仿宋"/>
          <w:b/>
          <w:kern w:val="0"/>
          <w:szCs w:val="24"/>
        </w:rPr>
      </w:pPr>
    </w:p>
    <w:p w14:paraId="6CD53600">
      <w:pPr>
        <w:widowControl/>
        <w:spacing w:line="240" w:lineRule="auto"/>
        <w:jc w:val="left"/>
        <w:rPr>
          <w:rFonts w:eastAsia="仿宋"/>
          <w:b/>
          <w:kern w:val="0"/>
          <w:szCs w:val="24"/>
        </w:rPr>
      </w:pPr>
    </w:p>
    <w:p w14:paraId="6DA5DC5D">
      <w:pPr>
        <w:widowControl/>
        <w:spacing w:line="240" w:lineRule="auto"/>
        <w:jc w:val="left"/>
        <w:rPr>
          <w:rFonts w:eastAsia="仿宋"/>
          <w:b/>
          <w:kern w:val="0"/>
          <w:szCs w:val="24"/>
        </w:rPr>
      </w:pPr>
    </w:p>
    <w:p w14:paraId="151A3AFD">
      <w:pPr>
        <w:widowControl/>
        <w:spacing w:line="240" w:lineRule="auto"/>
        <w:jc w:val="left"/>
        <w:rPr>
          <w:rFonts w:eastAsia="仿宋"/>
          <w:b/>
          <w:kern w:val="0"/>
          <w:szCs w:val="24"/>
        </w:rPr>
      </w:pPr>
    </w:p>
    <w:p w14:paraId="6E94BED5">
      <w:pPr>
        <w:widowControl/>
        <w:spacing w:line="240" w:lineRule="auto"/>
        <w:jc w:val="left"/>
        <w:rPr>
          <w:rFonts w:eastAsia="仿宋"/>
          <w:b/>
          <w:kern w:val="0"/>
          <w:szCs w:val="24"/>
        </w:rPr>
      </w:pPr>
    </w:p>
    <w:p w14:paraId="4F0CA587">
      <w:pPr>
        <w:widowControl/>
        <w:spacing w:line="240" w:lineRule="auto"/>
        <w:jc w:val="left"/>
        <w:rPr>
          <w:rFonts w:eastAsia="仿宋"/>
          <w:b/>
          <w:kern w:val="0"/>
          <w:szCs w:val="24"/>
        </w:rPr>
      </w:pPr>
    </w:p>
    <w:p w14:paraId="0F6A7ACD">
      <w:pPr>
        <w:widowControl/>
        <w:spacing w:line="240" w:lineRule="auto"/>
        <w:jc w:val="left"/>
        <w:rPr>
          <w:rFonts w:eastAsia="仿宋"/>
          <w:b/>
          <w:kern w:val="0"/>
          <w:szCs w:val="24"/>
        </w:rPr>
      </w:pPr>
    </w:p>
    <w:p w14:paraId="13A3313E">
      <w:pPr>
        <w:widowControl/>
        <w:spacing w:line="240" w:lineRule="auto"/>
        <w:jc w:val="left"/>
        <w:rPr>
          <w:rFonts w:eastAsia="仿宋"/>
          <w:b/>
          <w:kern w:val="0"/>
          <w:szCs w:val="24"/>
        </w:rPr>
      </w:pPr>
    </w:p>
    <w:p w14:paraId="41E78BE6">
      <w:pPr>
        <w:widowControl/>
        <w:spacing w:line="240" w:lineRule="auto"/>
        <w:jc w:val="left"/>
        <w:rPr>
          <w:rFonts w:eastAsia="仿宋"/>
          <w:b/>
          <w:kern w:val="0"/>
          <w:szCs w:val="24"/>
        </w:rPr>
      </w:pPr>
    </w:p>
    <w:p w14:paraId="57FF40D9">
      <w:pPr>
        <w:widowControl/>
        <w:spacing w:line="240" w:lineRule="auto"/>
        <w:jc w:val="left"/>
        <w:rPr>
          <w:rFonts w:eastAsia="仿宋"/>
          <w:b/>
          <w:kern w:val="0"/>
          <w:szCs w:val="24"/>
        </w:rPr>
      </w:pPr>
    </w:p>
    <w:p w14:paraId="1085C6A0">
      <w:pPr>
        <w:widowControl/>
        <w:spacing w:line="240" w:lineRule="auto"/>
        <w:jc w:val="left"/>
        <w:rPr>
          <w:rFonts w:eastAsia="仿宋"/>
          <w:b/>
          <w:kern w:val="0"/>
          <w:szCs w:val="24"/>
        </w:rPr>
      </w:pPr>
    </w:p>
    <w:p w14:paraId="1E435F1E">
      <w:pPr>
        <w:widowControl/>
        <w:spacing w:line="240" w:lineRule="auto"/>
        <w:jc w:val="left"/>
        <w:rPr>
          <w:rFonts w:eastAsia="仿宋"/>
          <w:b/>
          <w:kern w:val="0"/>
          <w:szCs w:val="24"/>
        </w:rPr>
      </w:pPr>
    </w:p>
    <w:p w14:paraId="0CB376D6">
      <w:pPr>
        <w:widowControl/>
        <w:spacing w:line="240" w:lineRule="auto"/>
        <w:jc w:val="left"/>
        <w:rPr>
          <w:rFonts w:eastAsia="仿宋"/>
          <w:b/>
          <w:kern w:val="0"/>
          <w:szCs w:val="24"/>
        </w:rPr>
      </w:pPr>
    </w:p>
    <w:p w14:paraId="275F1C38">
      <w:pPr>
        <w:widowControl/>
        <w:spacing w:line="240" w:lineRule="auto"/>
        <w:jc w:val="left"/>
        <w:rPr>
          <w:rFonts w:eastAsia="仿宋"/>
          <w:b/>
          <w:kern w:val="0"/>
          <w:szCs w:val="24"/>
        </w:rPr>
      </w:pPr>
    </w:p>
    <w:p w14:paraId="18FF39FA">
      <w:pPr>
        <w:widowControl/>
        <w:spacing w:line="240" w:lineRule="auto"/>
        <w:jc w:val="left"/>
        <w:rPr>
          <w:rFonts w:eastAsia="仿宋"/>
          <w:b/>
          <w:kern w:val="0"/>
          <w:szCs w:val="24"/>
        </w:rPr>
      </w:pPr>
    </w:p>
    <w:p w14:paraId="1C59B433">
      <w:pPr>
        <w:widowControl/>
        <w:spacing w:line="240" w:lineRule="auto"/>
        <w:jc w:val="left"/>
        <w:rPr>
          <w:rFonts w:eastAsia="仿宋"/>
          <w:b/>
          <w:kern w:val="0"/>
          <w:szCs w:val="24"/>
        </w:rPr>
      </w:pPr>
    </w:p>
    <w:p w14:paraId="705C0B29">
      <w:pPr>
        <w:widowControl/>
        <w:spacing w:line="240" w:lineRule="auto"/>
        <w:jc w:val="left"/>
        <w:rPr>
          <w:rFonts w:eastAsia="仿宋"/>
          <w:b/>
          <w:kern w:val="0"/>
          <w:szCs w:val="24"/>
        </w:rPr>
      </w:pPr>
    </w:p>
    <w:p w14:paraId="530C961B">
      <w:pPr>
        <w:widowControl/>
        <w:spacing w:line="240" w:lineRule="auto"/>
        <w:jc w:val="left"/>
        <w:rPr>
          <w:rFonts w:eastAsia="仿宋"/>
          <w:b/>
          <w:kern w:val="0"/>
          <w:szCs w:val="24"/>
        </w:rPr>
      </w:pPr>
    </w:p>
    <w:p w14:paraId="439DB531">
      <w:pPr>
        <w:widowControl/>
        <w:spacing w:line="240" w:lineRule="auto"/>
        <w:jc w:val="left"/>
        <w:rPr>
          <w:rFonts w:eastAsia="仿宋"/>
          <w:b/>
          <w:kern w:val="0"/>
          <w:szCs w:val="24"/>
        </w:rPr>
      </w:pPr>
    </w:p>
    <w:p w14:paraId="25288E78">
      <w:pPr>
        <w:widowControl/>
        <w:spacing w:line="240" w:lineRule="auto"/>
        <w:jc w:val="left"/>
        <w:rPr>
          <w:rFonts w:eastAsia="仿宋"/>
          <w:b/>
          <w:kern w:val="0"/>
          <w:szCs w:val="24"/>
        </w:rPr>
      </w:pPr>
    </w:p>
    <w:p w14:paraId="0E6C1B82">
      <w:pPr>
        <w:widowControl/>
        <w:spacing w:line="240" w:lineRule="auto"/>
        <w:jc w:val="left"/>
        <w:rPr>
          <w:rFonts w:eastAsia="仿宋"/>
          <w:b/>
          <w:kern w:val="0"/>
          <w:szCs w:val="24"/>
        </w:rPr>
      </w:pPr>
    </w:p>
    <w:p w14:paraId="0887C669">
      <w:pPr>
        <w:widowControl/>
        <w:spacing w:line="240" w:lineRule="auto"/>
        <w:jc w:val="left"/>
        <w:rPr>
          <w:rFonts w:eastAsia="仿宋"/>
          <w:b/>
          <w:kern w:val="0"/>
          <w:szCs w:val="24"/>
        </w:rPr>
      </w:pPr>
    </w:p>
    <w:p w14:paraId="7E8F6ABA">
      <w:pPr>
        <w:widowControl/>
        <w:spacing w:line="240" w:lineRule="auto"/>
        <w:jc w:val="left"/>
        <w:rPr>
          <w:rFonts w:eastAsia="仿宋"/>
          <w:b/>
          <w:kern w:val="0"/>
          <w:szCs w:val="24"/>
        </w:rPr>
      </w:pPr>
    </w:p>
    <w:p w14:paraId="14AF4581">
      <w:pPr>
        <w:widowControl/>
        <w:spacing w:line="240" w:lineRule="auto"/>
        <w:jc w:val="left"/>
        <w:rPr>
          <w:rFonts w:eastAsia="仿宋"/>
          <w:b/>
          <w:kern w:val="0"/>
          <w:szCs w:val="24"/>
        </w:rPr>
      </w:pPr>
    </w:p>
    <w:p w14:paraId="6EEE1956">
      <w:pPr>
        <w:widowControl/>
        <w:spacing w:line="240" w:lineRule="auto"/>
        <w:jc w:val="left"/>
        <w:rPr>
          <w:rFonts w:eastAsia="仿宋"/>
          <w:b/>
          <w:kern w:val="0"/>
          <w:szCs w:val="24"/>
        </w:rPr>
      </w:pPr>
    </w:p>
    <w:p w14:paraId="4BB29C6D">
      <w:pPr>
        <w:widowControl/>
        <w:spacing w:line="240" w:lineRule="auto"/>
        <w:jc w:val="left"/>
        <w:rPr>
          <w:rFonts w:eastAsia="仿宋"/>
          <w:b/>
          <w:kern w:val="0"/>
          <w:szCs w:val="24"/>
        </w:rPr>
      </w:pPr>
      <w:r>
        <w:rPr>
          <w:rFonts w:eastAsia="仿宋"/>
          <w:b/>
          <w:kern w:val="0"/>
          <w:szCs w:val="24"/>
        </w:rPr>
        <mc:AlternateContent>
          <mc:Choice Requires="wps">
            <w:drawing>
              <wp:anchor distT="0" distB="0" distL="114300" distR="114300" simplePos="0" relativeHeight="251713536" behindDoc="0" locked="0" layoutInCell="1" allowOverlap="1">
                <wp:simplePos x="0" y="0"/>
                <wp:positionH relativeFrom="column">
                  <wp:posOffset>238760</wp:posOffset>
                </wp:positionH>
                <wp:positionV relativeFrom="paragraph">
                  <wp:posOffset>-58420</wp:posOffset>
                </wp:positionV>
                <wp:extent cx="8110220" cy="434975"/>
                <wp:effectExtent l="10160" t="13970" r="13970" b="8255"/>
                <wp:wrapNone/>
                <wp:docPr id="101" name="Rectangle 57"/>
                <wp:cNvGraphicFramePr/>
                <a:graphic xmlns:a="http://schemas.openxmlformats.org/drawingml/2006/main">
                  <a:graphicData uri="http://schemas.microsoft.com/office/word/2010/wordprocessingShape">
                    <wps:wsp>
                      <wps:cNvSpPr>
                        <a:spLocks noChangeArrowheads="1"/>
                      </wps:cNvSpPr>
                      <wps:spPr bwMode="auto">
                        <a:xfrm>
                          <a:off x="0" y="0"/>
                          <a:ext cx="8110220" cy="434975"/>
                        </a:xfrm>
                        <a:prstGeom prst="rect">
                          <a:avLst/>
                        </a:prstGeom>
                        <a:solidFill>
                          <a:srgbClr val="FFFFFF"/>
                        </a:solidFill>
                        <a:ln w="9525">
                          <a:solidFill>
                            <a:srgbClr val="000000"/>
                          </a:solidFill>
                          <a:miter lim="800000"/>
                        </a:ln>
                      </wps:spPr>
                      <wps:txbx>
                        <w:txbxContent>
                          <w:p w14:paraId="4B684064">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20</w:t>
                            </w:r>
                            <w:r>
                              <w:rPr>
                                <w:rFonts w:hint="eastAsia" w:ascii="仿宋" w:hAnsi="仿宋" w:eastAsia="仿宋" w:cs="方正小标宋简体"/>
                                <w:b/>
                                <w:bCs/>
                                <w:sz w:val="28"/>
                                <w:szCs w:val="28"/>
                              </w:rPr>
                              <w:t xml:space="preserve"> ：</w:t>
                            </w:r>
                            <w:r>
                              <w:rPr>
                                <w:rFonts w:hint="eastAsia" w:ascii="仿宋" w:hAnsi="仿宋" w:eastAsia="仿宋" w:cs="方正小标宋简体"/>
                                <w:b/>
                                <w:bCs/>
                                <w:color w:val="000000"/>
                                <w:sz w:val="28"/>
                                <w:szCs w:val="28"/>
                              </w:rPr>
                              <w:t>花溪区高坡乡大洪村集中式饮用水水源监管范围影像图</w:t>
                            </w:r>
                          </w:p>
                          <w:p w14:paraId="2C55F220">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wps:txbx>
                      <wps:bodyPr rot="0" vert="horz" wrap="square" lIns="91440" tIns="45720" rIns="91440" bIns="45720" anchor="t" anchorCtr="0" upright="1">
                        <a:noAutofit/>
                      </wps:bodyPr>
                    </wps:wsp>
                  </a:graphicData>
                </a:graphic>
              </wp:anchor>
            </w:drawing>
          </mc:Choice>
          <mc:Fallback>
            <w:pict>
              <v:rect id="Rectangle 57" o:spid="_x0000_s1026" o:spt="1" style="position:absolute;left:0pt;margin-left:18.8pt;margin-top:-4.6pt;height:34.25pt;width:638.6pt;z-index:251713536;mso-width-relative:page;mso-height-relative:page;" fillcolor="#FFFFFF" filled="t" stroked="t" coordsize="21600,21600" o:gfxdata="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FnIY2rYAAAACQEAAA8AAAAAAAAAAQAgAAAAIgAAAGRycy9kb3ducmV2LnhtbFBL&#10;AQIUABQAAAAIAIdO4kBWKMK8LwIAAIAEAAAOAAAAAAAAAAEAIAAAACcBAABkcnMvZTJvRG9jLnht&#10;bFBLBQYAAAAABgAGAFkBAADIBQAAAAA=&#10;">
                <v:fill on="t" focussize="0,0"/>
                <v:stroke color="#000000" miterlimit="8" joinstyle="miter"/>
                <v:imagedata o:title=""/>
                <o:lock v:ext="edit" aspectratio="f"/>
                <v:textbox>
                  <w:txbxContent>
                    <w:p w14:paraId="4B684064">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20</w:t>
                      </w:r>
                      <w:r>
                        <w:rPr>
                          <w:rFonts w:hint="eastAsia" w:ascii="仿宋" w:hAnsi="仿宋" w:eastAsia="仿宋" w:cs="方正小标宋简体"/>
                          <w:b/>
                          <w:bCs/>
                          <w:sz w:val="28"/>
                          <w:szCs w:val="28"/>
                        </w:rPr>
                        <w:t xml:space="preserve"> ：</w:t>
                      </w:r>
                      <w:r>
                        <w:rPr>
                          <w:rFonts w:hint="eastAsia" w:ascii="仿宋" w:hAnsi="仿宋" w:eastAsia="仿宋" w:cs="方正小标宋简体"/>
                          <w:b/>
                          <w:bCs/>
                          <w:color w:val="000000"/>
                          <w:sz w:val="28"/>
                          <w:szCs w:val="28"/>
                        </w:rPr>
                        <w:t>花溪区高坡乡大洪村集中式饮用水水源监管范围影像图</w:t>
                      </w:r>
                    </w:p>
                    <w:p w14:paraId="2C55F220">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v:textbox>
              </v:rect>
            </w:pict>
          </mc:Fallback>
        </mc:AlternateContent>
      </w:r>
    </w:p>
    <w:p w14:paraId="046243E8">
      <w:pPr>
        <w:widowControl/>
        <w:spacing w:line="240" w:lineRule="auto"/>
        <w:jc w:val="left"/>
        <w:rPr>
          <w:rFonts w:eastAsia="仿宋"/>
          <w:b/>
          <w:kern w:val="0"/>
          <w:szCs w:val="24"/>
        </w:rPr>
      </w:pPr>
      <w:r>
        <w:rPr>
          <w:rFonts w:eastAsia="仿宋"/>
          <w:b/>
          <w:kern w:val="0"/>
          <w:szCs w:val="24"/>
        </w:rPr>
        <w:drawing>
          <wp:anchor distT="0" distB="0" distL="114300" distR="114300" simplePos="0" relativeHeight="251668480" behindDoc="0" locked="0" layoutInCell="1" allowOverlap="1">
            <wp:simplePos x="0" y="0"/>
            <wp:positionH relativeFrom="column">
              <wp:posOffset>242570</wp:posOffset>
            </wp:positionH>
            <wp:positionV relativeFrom="paragraph">
              <wp:posOffset>174625</wp:posOffset>
            </wp:positionV>
            <wp:extent cx="8126730" cy="5472430"/>
            <wp:effectExtent l="0" t="0" r="0" b="0"/>
            <wp:wrapNone/>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a:xfrm>
                      <a:off x="0" y="0"/>
                      <a:ext cx="8126730" cy="5472430"/>
                    </a:xfrm>
                    <a:prstGeom prst="rect">
                      <a:avLst/>
                    </a:prstGeom>
                    <a:noFill/>
                    <a:ln>
                      <a:noFill/>
                    </a:ln>
                  </pic:spPr>
                </pic:pic>
              </a:graphicData>
            </a:graphic>
          </wp:anchor>
        </w:drawing>
      </w:r>
    </w:p>
    <w:p w14:paraId="4D10FAFD">
      <w:pPr>
        <w:widowControl/>
        <w:spacing w:line="240" w:lineRule="auto"/>
        <w:jc w:val="left"/>
        <w:rPr>
          <w:rFonts w:eastAsia="仿宋"/>
          <w:b/>
          <w:kern w:val="0"/>
          <w:szCs w:val="24"/>
        </w:rPr>
      </w:pPr>
    </w:p>
    <w:p w14:paraId="588F4E5F">
      <w:pPr>
        <w:widowControl/>
        <w:spacing w:line="240" w:lineRule="auto"/>
        <w:jc w:val="left"/>
        <w:rPr>
          <w:rFonts w:eastAsia="仿宋"/>
          <w:b/>
          <w:kern w:val="0"/>
          <w:szCs w:val="24"/>
        </w:rPr>
      </w:pPr>
    </w:p>
    <w:p w14:paraId="4996DA51">
      <w:pPr>
        <w:widowControl/>
        <w:spacing w:line="240" w:lineRule="auto"/>
        <w:jc w:val="left"/>
        <w:rPr>
          <w:rFonts w:eastAsia="仿宋"/>
          <w:b/>
          <w:kern w:val="0"/>
          <w:szCs w:val="24"/>
        </w:rPr>
      </w:pPr>
    </w:p>
    <w:p w14:paraId="1E2FE37A">
      <w:pPr>
        <w:widowControl/>
        <w:spacing w:line="240" w:lineRule="auto"/>
        <w:jc w:val="left"/>
        <w:rPr>
          <w:rFonts w:eastAsia="仿宋"/>
          <w:b/>
          <w:kern w:val="0"/>
          <w:szCs w:val="24"/>
        </w:rPr>
      </w:pPr>
    </w:p>
    <w:p w14:paraId="4D929049">
      <w:pPr>
        <w:widowControl/>
        <w:spacing w:line="240" w:lineRule="auto"/>
        <w:jc w:val="left"/>
        <w:rPr>
          <w:rFonts w:eastAsia="仿宋"/>
          <w:b/>
          <w:kern w:val="0"/>
          <w:szCs w:val="24"/>
        </w:rPr>
      </w:pPr>
    </w:p>
    <w:p w14:paraId="1771826F">
      <w:pPr>
        <w:widowControl/>
        <w:spacing w:line="240" w:lineRule="auto"/>
        <w:jc w:val="left"/>
        <w:rPr>
          <w:rFonts w:eastAsia="仿宋"/>
          <w:b/>
          <w:kern w:val="0"/>
          <w:szCs w:val="24"/>
        </w:rPr>
      </w:pPr>
    </w:p>
    <w:p w14:paraId="254D8B8F">
      <w:pPr>
        <w:widowControl/>
        <w:spacing w:line="240" w:lineRule="auto"/>
        <w:jc w:val="left"/>
        <w:rPr>
          <w:rFonts w:eastAsia="仿宋"/>
          <w:b/>
          <w:kern w:val="0"/>
          <w:szCs w:val="24"/>
        </w:rPr>
      </w:pPr>
    </w:p>
    <w:p w14:paraId="57DAD72E">
      <w:pPr>
        <w:widowControl/>
        <w:spacing w:line="240" w:lineRule="auto"/>
        <w:jc w:val="left"/>
        <w:rPr>
          <w:rFonts w:eastAsia="仿宋"/>
          <w:b/>
          <w:kern w:val="0"/>
          <w:szCs w:val="24"/>
        </w:rPr>
      </w:pPr>
    </w:p>
    <w:p w14:paraId="26D0500D">
      <w:pPr>
        <w:widowControl/>
        <w:spacing w:line="240" w:lineRule="auto"/>
        <w:jc w:val="left"/>
        <w:rPr>
          <w:rFonts w:eastAsia="仿宋"/>
          <w:b/>
          <w:kern w:val="0"/>
          <w:szCs w:val="24"/>
        </w:rPr>
      </w:pPr>
    </w:p>
    <w:p w14:paraId="0C35D08A">
      <w:pPr>
        <w:widowControl/>
        <w:spacing w:line="240" w:lineRule="auto"/>
        <w:jc w:val="left"/>
        <w:rPr>
          <w:rFonts w:eastAsia="仿宋"/>
          <w:b/>
          <w:kern w:val="0"/>
          <w:szCs w:val="24"/>
        </w:rPr>
      </w:pPr>
    </w:p>
    <w:p w14:paraId="3E2242FA">
      <w:pPr>
        <w:widowControl/>
        <w:spacing w:line="240" w:lineRule="auto"/>
        <w:jc w:val="left"/>
        <w:rPr>
          <w:rFonts w:eastAsia="仿宋"/>
          <w:b/>
          <w:kern w:val="0"/>
          <w:szCs w:val="24"/>
        </w:rPr>
      </w:pPr>
    </w:p>
    <w:p w14:paraId="1E837B70">
      <w:pPr>
        <w:widowControl/>
        <w:spacing w:line="240" w:lineRule="auto"/>
        <w:jc w:val="left"/>
        <w:rPr>
          <w:rFonts w:eastAsia="仿宋"/>
          <w:b/>
          <w:kern w:val="0"/>
          <w:szCs w:val="24"/>
        </w:rPr>
      </w:pPr>
    </w:p>
    <w:p w14:paraId="28AD99C0">
      <w:pPr>
        <w:widowControl/>
        <w:spacing w:line="240" w:lineRule="auto"/>
        <w:jc w:val="left"/>
        <w:rPr>
          <w:rFonts w:eastAsia="仿宋"/>
          <w:b/>
          <w:kern w:val="0"/>
          <w:szCs w:val="24"/>
        </w:rPr>
      </w:pPr>
    </w:p>
    <w:p w14:paraId="04555E9D">
      <w:pPr>
        <w:widowControl/>
        <w:spacing w:line="240" w:lineRule="auto"/>
        <w:jc w:val="left"/>
        <w:rPr>
          <w:rFonts w:eastAsia="仿宋"/>
          <w:b/>
          <w:kern w:val="0"/>
          <w:szCs w:val="24"/>
        </w:rPr>
      </w:pPr>
    </w:p>
    <w:p w14:paraId="60E27FE9">
      <w:pPr>
        <w:widowControl/>
        <w:spacing w:line="240" w:lineRule="auto"/>
        <w:jc w:val="left"/>
        <w:rPr>
          <w:rFonts w:eastAsia="仿宋"/>
          <w:b/>
          <w:kern w:val="0"/>
          <w:szCs w:val="24"/>
        </w:rPr>
      </w:pPr>
    </w:p>
    <w:p w14:paraId="0D2699D3">
      <w:pPr>
        <w:widowControl/>
        <w:spacing w:line="240" w:lineRule="auto"/>
        <w:jc w:val="left"/>
        <w:rPr>
          <w:rFonts w:eastAsia="仿宋"/>
          <w:b/>
          <w:kern w:val="0"/>
          <w:szCs w:val="24"/>
        </w:rPr>
      </w:pPr>
    </w:p>
    <w:p w14:paraId="4900CF74">
      <w:pPr>
        <w:widowControl/>
        <w:spacing w:line="240" w:lineRule="auto"/>
        <w:jc w:val="left"/>
        <w:rPr>
          <w:rFonts w:eastAsia="仿宋"/>
          <w:b/>
          <w:kern w:val="0"/>
          <w:szCs w:val="24"/>
        </w:rPr>
      </w:pPr>
    </w:p>
    <w:p w14:paraId="289C4473">
      <w:pPr>
        <w:widowControl/>
        <w:spacing w:line="240" w:lineRule="auto"/>
        <w:jc w:val="left"/>
        <w:rPr>
          <w:rFonts w:eastAsia="仿宋"/>
          <w:b/>
          <w:kern w:val="0"/>
          <w:szCs w:val="24"/>
        </w:rPr>
      </w:pPr>
    </w:p>
    <w:p w14:paraId="6BA8B0FE">
      <w:pPr>
        <w:widowControl/>
        <w:spacing w:line="240" w:lineRule="auto"/>
        <w:jc w:val="left"/>
        <w:rPr>
          <w:rFonts w:eastAsia="仿宋"/>
          <w:b/>
          <w:kern w:val="0"/>
          <w:szCs w:val="24"/>
        </w:rPr>
      </w:pPr>
    </w:p>
    <w:p w14:paraId="50D740F6">
      <w:pPr>
        <w:widowControl/>
        <w:spacing w:line="240" w:lineRule="auto"/>
        <w:jc w:val="left"/>
        <w:rPr>
          <w:rFonts w:eastAsia="仿宋"/>
          <w:b/>
          <w:kern w:val="0"/>
          <w:szCs w:val="24"/>
        </w:rPr>
      </w:pPr>
    </w:p>
    <w:p w14:paraId="18D67ADA">
      <w:pPr>
        <w:widowControl/>
        <w:spacing w:line="240" w:lineRule="auto"/>
        <w:jc w:val="left"/>
        <w:rPr>
          <w:rFonts w:eastAsia="仿宋"/>
          <w:b/>
          <w:kern w:val="0"/>
          <w:szCs w:val="24"/>
        </w:rPr>
      </w:pPr>
    </w:p>
    <w:p w14:paraId="6142FF4B">
      <w:pPr>
        <w:widowControl/>
        <w:spacing w:line="240" w:lineRule="auto"/>
        <w:jc w:val="left"/>
        <w:rPr>
          <w:rFonts w:eastAsia="仿宋"/>
          <w:b/>
          <w:kern w:val="0"/>
          <w:szCs w:val="24"/>
        </w:rPr>
      </w:pPr>
    </w:p>
    <w:p w14:paraId="1B7EF600">
      <w:pPr>
        <w:widowControl/>
        <w:spacing w:line="240" w:lineRule="auto"/>
        <w:jc w:val="left"/>
        <w:rPr>
          <w:rFonts w:eastAsia="仿宋"/>
          <w:b/>
          <w:kern w:val="0"/>
          <w:szCs w:val="24"/>
        </w:rPr>
      </w:pPr>
    </w:p>
    <w:p w14:paraId="4972FD02">
      <w:pPr>
        <w:widowControl/>
        <w:spacing w:line="240" w:lineRule="auto"/>
        <w:jc w:val="left"/>
        <w:rPr>
          <w:rFonts w:eastAsia="仿宋"/>
          <w:b/>
          <w:kern w:val="0"/>
          <w:szCs w:val="24"/>
        </w:rPr>
      </w:pPr>
    </w:p>
    <w:p w14:paraId="1C49981C">
      <w:pPr>
        <w:widowControl/>
        <w:spacing w:line="240" w:lineRule="auto"/>
        <w:jc w:val="left"/>
        <w:rPr>
          <w:rFonts w:eastAsia="仿宋"/>
          <w:b/>
          <w:kern w:val="0"/>
          <w:szCs w:val="24"/>
        </w:rPr>
        <w:sectPr>
          <w:pgSz w:w="16838" w:h="11906" w:orient="landscape"/>
          <w:pgMar w:top="1644" w:right="1440" w:bottom="1644" w:left="1440" w:header="851" w:footer="992" w:gutter="0"/>
          <w:cols w:space="425" w:num="1"/>
          <w:docGrid w:type="lines" w:linePitch="312" w:charSpace="0"/>
        </w:sectPr>
      </w:pPr>
      <w:r>
        <w:rPr>
          <w:rFonts w:eastAsia="仿宋"/>
          <w:b/>
          <w:kern w:val="0"/>
          <w:szCs w:val="24"/>
        </w:rPr>
        <w:br w:type="page"/>
      </w:r>
    </w:p>
    <w:p w14:paraId="58C7DD31">
      <w:pPr>
        <w:widowControl/>
        <w:jc w:val="center"/>
        <w:rPr>
          <w:rFonts w:eastAsia="仿宋"/>
          <w:b/>
          <w:kern w:val="0"/>
          <w:szCs w:val="24"/>
        </w:rPr>
      </w:pPr>
      <w:r>
        <w:rPr>
          <w:rFonts w:eastAsia="仿宋"/>
          <w:b/>
          <w:kern w:val="0"/>
          <w:szCs w:val="24"/>
        </w:rPr>
        <mc:AlternateContent>
          <mc:Choice Requires="wps">
            <w:drawing>
              <wp:anchor distT="0" distB="0" distL="114300" distR="114300" simplePos="0" relativeHeight="251714560" behindDoc="0" locked="0" layoutInCell="1" allowOverlap="1">
                <wp:simplePos x="0" y="0"/>
                <wp:positionH relativeFrom="column">
                  <wp:posOffset>60960</wp:posOffset>
                </wp:positionH>
                <wp:positionV relativeFrom="paragraph">
                  <wp:posOffset>-10160</wp:posOffset>
                </wp:positionV>
                <wp:extent cx="5402580" cy="434975"/>
                <wp:effectExtent l="9525" t="8890" r="7620" b="13335"/>
                <wp:wrapNone/>
                <wp:docPr id="100" name="Rectangle 59"/>
                <wp:cNvGraphicFramePr/>
                <a:graphic xmlns:a="http://schemas.openxmlformats.org/drawingml/2006/main">
                  <a:graphicData uri="http://schemas.microsoft.com/office/word/2010/wordprocessingShape">
                    <wps:wsp>
                      <wps:cNvSpPr>
                        <a:spLocks noChangeArrowheads="1"/>
                      </wps:cNvSpPr>
                      <wps:spPr bwMode="auto">
                        <a:xfrm>
                          <a:off x="0" y="0"/>
                          <a:ext cx="5402580" cy="434975"/>
                        </a:xfrm>
                        <a:prstGeom prst="rect">
                          <a:avLst/>
                        </a:prstGeom>
                        <a:solidFill>
                          <a:srgbClr val="FFFFFF"/>
                        </a:solidFill>
                        <a:ln w="9525">
                          <a:solidFill>
                            <a:srgbClr val="000000"/>
                          </a:solidFill>
                          <a:miter lim="800000"/>
                        </a:ln>
                      </wps:spPr>
                      <wps:txbx>
                        <w:txbxContent>
                          <w:p w14:paraId="1696CEB8">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21</w:t>
                            </w:r>
                            <w:r>
                              <w:rPr>
                                <w:rFonts w:hint="eastAsia" w:ascii="仿宋" w:hAnsi="仿宋" w:eastAsia="仿宋" w:cs="方正小标宋简体"/>
                                <w:b/>
                                <w:bCs/>
                                <w:sz w:val="28"/>
                                <w:szCs w:val="28"/>
                              </w:rPr>
                              <w:t xml:space="preserve"> ：</w:t>
                            </w:r>
                            <w:r>
                              <w:rPr>
                                <w:rFonts w:hint="eastAsia" w:ascii="仿宋" w:hAnsi="仿宋" w:eastAsia="仿宋" w:cs="方正小标宋简体"/>
                                <w:b/>
                                <w:bCs/>
                                <w:color w:val="000000"/>
                                <w:sz w:val="28"/>
                                <w:szCs w:val="28"/>
                              </w:rPr>
                              <w:t>花溪区高坡乡批林村集中式饮用水水源监管范围划分图</w:t>
                            </w:r>
                          </w:p>
                          <w:p w14:paraId="47CFA358">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wps:txbx>
                      <wps:bodyPr rot="0" vert="horz" wrap="square" lIns="91440" tIns="45720" rIns="91440" bIns="45720" anchor="t" anchorCtr="0" upright="1">
                        <a:noAutofit/>
                      </wps:bodyPr>
                    </wps:wsp>
                  </a:graphicData>
                </a:graphic>
              </wp:anchor>
            </w:drawing>
          </mc:Choice>
          <mc:Fallback>
            <w:pict>
              <v:rect id="Rectangle 59" o:spid="_x0000_s1026" o:spt="1" style="position:absolute;left:0pt;margin-left:4.8pt;margin-top:-0.8pt;height:34.25pt;width:425.4pt;z-index:251714560;mso-width-relative:page;mso-height-relative:page;" fillcolor="#FFFFFF" filled="t" stroked="t" coordsize="21600,21600" o:gfxdata="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MR/3JPVAAAABwEAAA8AAAAAAAAAAQAgAAAAIgAAAGRycy9kb3ducmV2LnhtbFBLAQIU&#10;ABQAAAAIAIdO4kDX9EFhLwIAAIAEAAAOAAAAAAAAAAEAIAAAACQBAABkcnMvZTJvRG9jLnhtbFBL&#10;BQYAAAAABgAGAFkBAADFBQAAAAA=&#10;">
                <v:fill on="t" focussize="0,0"/>
                <v:stroke color="#000000" miterlimit="8" joinstyle="miter"/>
                <v:imagedata o:title=""/>
                <o:lock v:ext="edit" aspectratio="f"/>
                <v:textbox>
                  <w:txbxContent>
                    <w:p w14:paraId="1696CEB8">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21</w:t>
                      </w:r>
                      <w:r>
                        <w:rPr>
                          <w:rFonts w:hint="eastAsia" w:ascii="仿宋" w:hAnsi="仿宋" w:eastAsia="仿宋" w:cs="方正小标宋简体"/>
                          <w:b/>
                          <w:bCs/>
                          <w:sz w:val="28"/>
                          <w:szCs w:val="28"/>
                        </w:rPr>
                        <w:t xml:space="preserve"> ：</w:t>
                      </w:r>
                      <w:r>
                        <w:rPr>
                          <w:rFonts w:hint="eastAsia" w:ascii="仿宋" w:hAnsi="仿宋" w:eastAsia="仿宋" w:cs="方正小标宋简体"/>
                          <w:b/>
                          <w:bCs/>
                          <w:color w:val="000000"/>
                          <w:sz w:val="28"/>
                          <w:szCs w:val="28"/>
                        </w:rPr>
                        <w:t>花溪区高坡乡批林村集中式饮用水水源监管范围划分图</w:t>
                      </w:r>
                    </w:p>
                    <w:p w14:paraId="47CFA358">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v:textbox>
              </v:rect>
            </w:pict>
          </mc:Fallback>
        </mc:AlternateContent>
      </w:r>
    </w:p>
    <w:p w14:paraId="3A7F8646">
      <w:pPr>
        <w:widowControl/>
        <w:jc w:val="center"/>
        <w:rPr>
          <w:rFonts w:eastAsia="仿宋"/>
          <w:b/>
          <w:kern w:val="0"/>
          <w:szCs w:val="24"/>
        </w:rPr>
      </w:pPr>
      <w:r>
        <w:rPr>
          <w:rFonts w:eastAsia="仿宋"/>
          <w:b/>
          <w:kern w:val="0"/>
          <w:szCs w:val="24"/>
        </w:rPr>
        <w:drawing>
          <wp:anchor distT="0" distB="0" distL="114300" distR="114300" simplePos="0" relativeHeight="251669504" behindDoc="0" locked="0" layoutInCell="1" allowOverlap="1">
            <wp:simplePos x="0" y="0"/>
            <wp:positionH relativeFrom="column">
              <wp:posOffset>59055</wp:posOffset>
            </wp:positionH>
            <wp:positionV relativeFrom="paragraph">
              <wp:posOffset>117475</wp:posOffset>
            </wp:positionV>
            <wp:extent cx="5404485" cy="7536815"/>
            <wp:effectExtent l="0" t="0" r="0" b="0"/>
            <wp:wrapNone/>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a:xfrm>
                      <a:off x="0" y="0"/>
                      <a:ext cx="5404310" cy="7537062"/>
                    </a:xfrm>
                    <a:prstGeom prst="rect">
                      <a:avLst/>
                    </a:prstGeom>
                    <a:noFill/>
                    <a:ln>
                      <a:noFill/>
                    </a:ln>
                  </pic:spPr>
                </pic:pic>
              </a:graphicData>
            </a:graphic>
          </wp:anchor>
        </w:drawing>
      </w:r>
    </w:p>
    <w:p w14:paraId="461D15E6">
      <w:pPr>
        <w:widowControl/>
        <w:jc w:val="center"/>
        <w:rPr>
          <w:rFonts w:eastAsia="仿宋"/>
          <w:b/>
          <w:kern w:val="0"/>
          <w:szCs w:val="24"/>
        </w:rPr>
      </w:pPr>
    </w:p>
    <w:p w14:paraId="3DA73768">
      <w:pPr>
        <w:widowControl/>
        <w:jc w:val="center"/>
        <w:rPr>
          <w:rFonts w:eastAsia="仿宋"/>
          <w:b/>
          <w:kern w:val="0"/>
          <w:szCs w:val="24"/>
        </w:rPr>
      </w:pPr>
    </w:p>
    <w:p w14:paraId="2CFA117B">
      <w:pPr>
        <w:widowControl/>
        <w:jc w:val="center"/>
        <w:rPr>
          <w:rFonts w:eastAsia="仿宋"/>
          <w:b/>
          <w:kern w:val="0"/>
          <w:szCs w:val="24"/>
        </w:rPr>
      </w:pPr>
    </w:p>
    <w:p w14:paraId="0F395014">
      <w:pPr>
        <w:widowControl/>
        <w:jc w:val="center"/>
        <w:rPr>
          <w:rFonts w:eastAsia="仿宋"/>
          <w:b/>
          <w:kern w:val="0"/>
          <w:szCs w:val="24"/>
        </w:rPr>
      </w:pPr>
    </w:p>
    <w:p w14:paraId="4E32BFE5">
      <w:pPr>
        <w:widowControl/>
        <w:jc w:val="center"/>
        <w:rPr>
          <w:rFonts w:eastAsia="仿宋"/>
          <w:b/>
          <w:kern w:val="0"/>
          <w:szCs w:val="24"/>
        </w:rPr>
      </w:pPr>
    </w:p>
    <w:p w14:paraId="2F322E07">
      <w:pPr>
        <w:widowControl/>
        <w:jc w:val="center"/>
        <w:rPr>
          <w:rFonts w:eastAsia="仿宋"/>
          <w:b/>
          <w:kern w:val="0"/>
          <w:szCs w:val="24"/>
        </w:rPr>
      </w:pPr>
    </w:p>
    <w:p w14:paraId="78F85F83">
      <w:pPr>
        <w:widowControl/>
        <w:jc w:val="center"/>
        <w:rPr>
          <w:rFonts w:eastAsia="仿宋"/>
          <w:b/>
          <w:kern w:val="0"/>
          <w:szCs w:val="24"/>
        </w:rPr>
      </w:pPr>
    </w:p>
    <w:p w14:paraId="2A0FFFEF">
      <w:pPr>
        <w:widowControl/>
        <w:jc w:val="center"/>
        <w:rPr>
          <w:rFonts w:eastAsia="仿宋"/>
          <w:b/>
          <w:kern w:val="0"/>
          <w:szCs w:val="24"/>
        </w:rPr>
      </w:pPr>
    </w:p>
    <w:p w14:paraId="3B66C101">
      <w:pPr>
        <w:widowControl/>
        <w:spacing w:line="240" w:lineRule="auto"/>
        <w:jc w:val="left"/>
        <w:rPr>
          <w:rFonts w:eastAsia="仿宋"/>
          <w:b/>
          <w:kern w:val="0"/>
          <w:szCs w:val="24"/>
        </w:rPr>
      </w:pPr>
      <w:r>
        <w:rPr>
          <w:rFonts w:eastAsia="仿宋"/>
          <w:b/>
          <w:kern w:val="0"/>
          <w:szCs w:val="24"/>
        </w:rPr>
        <w:br w:type="page"/>
      </w:r>
    </w:p>
    <w:p w14:paraId="68234D21">
      <w:pPr>
        <w:widowControl/>
        <w:jc w:val="center"/>
        <w:rPr>
          <w:rFonts w:eastAsia="仿宋"/>
          <w:b/>
          <w:kern w:val="0"/>
          <w:szCs w:val="24"/>
        </w:rPr>
      </w:pPr>
      <w:r>
        <w:rPr>
          <w:rFonts w:eastAsia="仿宋"/>
          <w:b/>
          <w:kern w:val="0"/>
          <w:szCs w:val="24"/>
        </w:rPr>
        <mc:AlternateContent>
          <mc:Choice Requires="wps">
            <w:drawing>
              <wp:anchor distT="0" distB="0" distL="114300" distR="114300" simplePos="0" relativeHeight="251715584" behindDoc="0" locked="0" layoutInCell="1" allowOverlap="1">
                <wp:simplePos x="0" y="0"/>
                <wp:positionH relativeFrom="column">
                  <wp:posOffset>-10795</wp:posOffset>
                </wp:positionH>
                <wp:positionV relativeFrom="paragraph">
                  <wp:posOffset>-19050</wp:posOffset>
                </wp:positionV>
                <wp:extent cx="5438140" cy="434975"/>
                <wp:effectExtent l="13970" t="9525" r="5715" b="12700"/>
                <wp:wrapNone/>
                <wp:docPr id="97" name="Rectangle 61"/>
                <wp:cNvGraphicFramePr/>
                <a:graphic xmlns:a="http://schemas.openxmlformats.org/drawingml/2006/main">
                  <a:graphicData uri="http://schemas.microsoft.com/office/word/2010/wordprocessingShape">
                    <wps:wsp>
                      <wps:cNvSpPr>
                        <a:spLocks noChangeArrowheads="1"/>
                      </wps:cNvSpPr>
                      <wps:spPr bwMode="auto">
                        <a:xfrm>
                          <a:off x="0" y="0"/>
                          <a:ext cx="5438140" cy="434975"/>
                        </a:xfrm>
                        <a:prstGeom prst="rect">
                          <a:avLst/>
                        </a:prstGeom>
                        <a:solidFill>
                          <a:srgbClr val="FFFFFF"/>
                        </a:solidFill>
                        <a:ln w="9525">
                          <a:solidFill>
                            <a:srgbClr val="000000"/>
                          </a:solidFill>
                          <a:miter lim="800000"/>
                        </a:ln>
                      </wps:spPr>
                      <wps:txbx>
                        <w:txbxContent>
                          <w:p w14:paraId="4DE16B40">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22</w:t>
                            </w:r>
                            <w:r>
                              <w:rPr>
                                <w:rFonts w:hint="eastAsia" w:ascii="仿宋" w:hAnsi="仿宋" w:eastAsia="仿宋" w:cs="方正小标宋简体"/>
                                <w:b/>
                                <w:bCs/>
                                <w:sz w:val="28"/>
                                <w:szCs w:val="28"/>
                              </w:rPr>
                              <w:t xml:space="preserve"> ：</w:t>
                            </w:r>
                            <w:r>
                              <w:rPr>
                                <w:rFonts w:hint="eastAsia" w:ascii="仿宋" w:hAnsi="仿宋" w:eastAsia="仿宋" w:cs="方正小标宋简体"/>
                                <w:b/>
                                <w:bCs/>
                                <w:color w:val="000000"/>
                                <w:sz w:val="28"/>
                                <w:szCs w:val="28"/>
                              </w:rPr>
                              <w:t>花溪区高坡乡批林村集中式饮用水水源监管范围影像图</w:t>
                            </w:r>
                          </w:p>
                          <w:p w14:paraId="72E58BA7">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wps:txbx>
                      <wps:bodyPr rot="0" vert="horz" wrap="square" lIns="91440" tIns="45720" rIns="91440" bIns="45720" anchor="t" anchorCtr="0" upright="1">
                        <a:noAutofit/>
                      </wps:bodyPr>
                    </wps:wsp>
                  </a:graphicData>
                </a:graphic>
              </wp:anchor>
            </w:drawing>
          </mc:Choice>
          <mc:Fallback>
            <w:pict>
              <v:rect id="Rectangle 61" o:spid="_x0000_s1026" o:spt="1" style="position:absolute;left:0pt;margin-left:-0.85pt;margin-top:-1.5pt;height:34.25pt;width:428.2pt;z-index:251715584;mso-width-relative:page;mso-height-relative:page;" fillcolor="#FFFFFF" filled="t" stroked="t" coordsize="21600,21600" o:gfxdata="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DB3xWvXAAAACAEAAA8AAAAAAAAAAQAgAAAAIgAAAGRycy9kb3ducmV2LnhtbFBLAQIU&#10;ABQAAAAIAIdO4kChnqBiLQIAAH8EAAAOAAAAAAAAAAEAIAAAACYBAABkcnMvZTJvRG9jLnhtbFBL&#10;BQYAAAAABgAGAFkBAADFBQAAAAA=&#10;">
                <v:fill on="t" focussize="0,0"/>
                <v:stroke color="#000000" miterlimit="8" joinstyle="miter"/>
                <v:imagedata o:title=""/>
                <o:lock v:ext="edit" aspectratio="f"/>
                <v:textbox>
                  <w:txbxContent>
                    <w:p w14:paraId="4DE16B40">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22</w:t>
                      </w:r>
                      <w:r>
                        <w:rPr>
                          <w:rFonts w:hint="eastAsia" w:ascii="仿宋" w:hAnsi="仿宋" w:eastAsia="仿宋" w:cs="方正小标宋简体"/>
                          <w:b/>
                          <w:bCs/>
                          <w:sz w:val="28"/>
                          <w:szCs w:val="28"/>
                        </w:rPr>
                        <w:t xml:space="preserve"> ：</w:t>
                      </w:r>
                      <w:r>
                        <w:rPr>
                          <w:rFonts w:hint="eastAsia" w:ascii="仿宋" w:hAnsi="仿宋" w:eastAsia="仿宋" w:cs="方正小标宋简体"/>
                          <w:b/>
                          <w:bCs/>
                          <w:color w:val="000000"/>
                          <w:sz w:val="28"/>
                          <w:szCs w:val="28"/>
                        </w:rPr>
                        <w:t>花溪区高坡乡批林村集中式饮用水水源监管范围影像图</w:t>
                      </w:r>
                    </w:p>
                    <w:p w14:paraId="72E58BA7">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v:textbox>
              </v:rect>
            </w:pict>
          </mc:Fallback>
        </mc:AlternateContent>
      </w:r>
    </w:p>
    <w:p w14:paraId="7E163008">
      <w:pPr>
        <w:widowControl/>
        <w:spacing w:line="240" w:lineRule="auto"/>
        <w:jc w:val="left"/>
        <w:rPr>
          <w:rFonts w:eastAsia="仿宋"/>
          <w:b/>
          <w:kern w:val="0"/>
          <w:szCs w:val="24"/>
        </w:rPr>
      </w:pPr>
      <w:r>
        <w:rPr>
          <w:rFonts w:eastAsia="仿宋"/>
          <w:b/>
          <w:kern w:val="0"/>
          <w:szCs w:val="24"/>
        </w:rPr>
        <w:drawing>
          <wp:anchor distT="0" distB="0" distL="114300" distR="114300" simplePos="0" relativeHeight="251670528" behindDoc="0" locked="0" layoutInCell="1" allowOverlap="1">
            <wp:simplePos x="0" y="0"/>
            <wp:positionH relativeFrom="column">
              <wp:posOffset>-38735</wp:posOffset>
            </wp:positionH>
            <wp:positionV relativeFrom="paragraph">
              <wp:posOffset>121920</wp:posOffset>
            </wp:positionV>
            <wp:extent cx="5472430" cy="7628890"/>
            <wp:effectExtent l="0" t="0" r="0" b="0"/>
            <wp:wrapNone/>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a:xfrm>
                      <a:off x="0" y="0"/>
                      <a:ext cx="5472430" cy="7628890"/>
                    </a:xfrm>
                    <a:prstGeom prst="rect">
                      <a:avLst/>
                    </a:prstGeom>
                    <a:noFill/>
                    <a:ln>
                      <a:noFill/>
                    </a:ln>
                  </pic:spPr>
                </pic:pic>
              </a:graphicData>
            </a:graphic>
          </wp:anchor>
        </w:drawing>
      </w:r>
      <w:r>
        <w:rPr>
          <w:rFonts w:eastAsia="仿宋"/>
          <w:b/>
          <w:kern w:val="0"/>
          <w:szCs w:val="24"/>
        </w:rPr>
        <w:br w:type="page"/>
      </w:r>
    </w:p>
    <w:p w14:paraId="1F51D959">
      <w:pPr>
        <w:widowControl/>
        <w:jc w:val="center"/>
        <w:rPr>
          <w:rFonts w:eastAsia="仿宋"/>
          <w:b/>
          <w:kern w:val="0"/>
          <w:szCs w:val="24"/>
        </w:rPr>
      </w:pPr>
      <w:r>
        <w:rPr>
          <w:rFonts w:eastAsia="仿宋"/>
          <w:b/>
          <w:kern w:val="0"/>
          <w:szCs w:val="24"/>
        </w:rPr>
        <mc:AlternateContent>
          <mc:Choice Requires="wps">
            <w:drawing>
              <wp:anchor distT="0" distB="0" distL="114300" distR="114300" simplePos="0" relativeHeight="251716608" behindDoc="0" locked="0" layoutInCell="1" allowOverlap="1">
                <wp:simplePos x="0" y="0"/>
                <wp:positionH relativeFrom="column">
                  <wp:posOffset>-9525</wp:posOffset>
                </wp:positionH>
                <wp:positionV relativeFrom="paragraph">
                  <wp:posOffset>43815</wp:posOffset>
                </wp:positionV>
                <wp:extent cx="5521325" cy="434975"/>
                <wp:effectExtent l="5715" t="5715" r="6985" b="6985"/>
                <wp:wrapNone/>
                <wp:docPr id="96" name="Rectangle 63"/>
                <wp:cNvGraphicFramePr/>
                <a:graphic xmlns:a="http://schemas.openxmlformats.org/drawingml/2006/main">
                  <a:graphicData uri="http://schemas.microsoft.com/office/word/2010/wordprocessingShape">
                    <wps:wsp>
                      <wps:cNvSpPr>
                        <a:spLocks noChangeArrowheads="1"/>
                      </wps:cNvSpPr>
                      <wps:spPr bwMode="auto">
                        <a:xfrm>
                          <a:off x="0" y="0"/>
                          <a:ext cx="5521325" cy="434975"/>
                        </a:xfrm>
                        <a:prstGeom prst="rect">
                          <a:avLst/>
                        </a:prstGeom>
                        <a:solidFill>
                          <a:srgbClr val="FFFFFF"/>
                        </a:solidFill>
                        <a:ln w="9525">
                          <a:solidFill>
                            <a:srgbClr val="000000"/>
                          </a:solidFill>
                          <a:miter lim="800000"/>
                        </a:ln>
                      </wps:spPr>
                      <wps:txbx>
                        <w:txbxContent>
                          <w:p w14:paraId="40C5DD31">
                            <w:pPr>
                              <w:jc w:val="center"/>
                              <w:rPr>
                                <w:rFonts w:ascii="仿宋" w:hAnsi="仿宋" w:eastAsia="仿宋"/>
                                <w:b/>
                                <w:bCs/>
                                <w:szCs w:val="24"/>
                              </w:rPr>
                            </w:pPr>
                            <w:r>
                              <w:rPr>
                                <w:rFonts w:hint="eastAsia" w:ascii="仿宋" w:hAnsi="仿宋" w:eastAsia="仿宋" w:cs="方正小标宋简体"/>
                                <w:b/>
                                <w:bCs/>
                                <w:szCs w:val="24"/>
                              </w:rPr>
                              <w:t>附图</w:t>
                            </w:r>
                            <w:r>
                              <w:rPr>
                                <w:rFonts w:ascii="仿宋" w:hAnsi="仿宋" w:eastAsia="仿宋" w:cs="方正小标宋简体"/>
                                <w:b/>
                                <w:bCs/>
                                <w:szCs w:val="24"/>
                              </w:rPr>
                              <w:t>23</w:t>
                            </w:r>
                            <w:r>
                              <w:rPr>
                                <w:rFonts w:hint="eastAsia" w:ascii="仿宋" w:hAnsi="仿宋" w:eastAsia="仿宋" w:cs="方正小标宋简体"/>
                                <w:b/>
                                <w:bCs/>
                                <w:szCs w:val="24"/>
                              </w:rPr>
                              <w:t xml:space="preserve"> ：</w:t>
                            </w:r>
                            <w:r>
                              <w:rPr>
                                <w:rFonts w:hint="eastAsia" w:ascii="仿宋" w:hAnsi="仿宋" w:eastAsia="仿宋" w:cs="方正小标宋简体"/>
                                <w:b/>
                                <w:bCs/>
                                <w:color w:val="000000"/>
                                <w:szCs w:val="24"/>
                              </w:rPr>
                              <w:t>花溪区高坡乡杉坪村蚂蜂洞集中式饮用水水源监管范围划分图</w:t>
                            </w:r>
                          </w:p>
                          <w:p w14:paraId="02499B64">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wps:txbx>
                      <wps:bodyPr rot="0" vert="horz" wrap="square" lIns="91440" tIns="45720" rIns="91440" bIns="45720" anchor="t" anchorCtr="0" upright="1">
                        <a:noAutofit/>
                      </wps:bodyPr>
                    </wps:wsp>
                  </a:graphicData>
                </a:graphic>
              </wp:anchor>
            </w:drawing>
          </mc:Choice>
          <mc:Fallback>
            <w:pict>
              <v:rect id="Rectangle 63" o:spid="_x0000_s1026" o:spt="1" style="position:absolute;left:0pt;margin-left:-0.75pt;margin-top:3.45pt;height:34.25pt;width:434.75pt;z-index:251716608;mso-width-relative:page;mso-height-relative:page;" fillcolor="#FFFFFF" filled="t" stroked="t" coordsize="21600,21600" o:gfxdata="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DGAK0k1wAAAAcBAAAPAAAAAAAAAAEAIAAAACIAAABkcnMvZG93bnJldi54bWxQSwECFAAU&#10;AAAACACHTuJAot6oQSsCAAB/BAAADgAAAAAAAAABACAAAAAmAQAAZHJzL2Uyb0RvYy54bWxQSwUG&#10;AAAAAAYABgBZAQAAwwUAAAAA&#10;">
                <v:fill on="t" focussize="0,0"/>
                <v:stroke color="#000000" miterlimit="8" joinstyle="miter"/>
                <v:imagedata o:title=""/>
                <o:lock v:ext="edit" aspectratio="f"/>
                <v:textbox>
                  <w:txbxContent>
                    <w:p w14:paraId="40C5DD31">
                      <w:pPr>
                        <w:jc w:val="center"/>
                        <w:rPr>
                          <w:rFonts w:ascii="仿宋" w:hAnsi="仿宋" w:eastAsia="仿宋"/>
                          <w:b/>
                          <w:bCs/>
                          <w:szCs w:val="24"/>
                        </w:rPr>
                      </w:pPr>
                      <w:r>
                        <w:rPr>
                          <w:rFonts w:hint="eastAsia" w:ascii="仿宋" w:hAnsi="仿宋" w:eastAsia="仿宋" w:cs="方正小标宋简体"/>
                          <w:b/>
                          <w:bCs/>
                          <w:szCs w:val="24"/>
                        </w:rPr>
                        <w:t>附图</w:t>
                      </w:r>
                      <w:r>
                        <w:rPr>
                          <w:rFonts w:ascii="仿宋" w:hAnsi="仿宋" w:eastAsia="仿宋" w:cs="方正小标宋简体"/>
                          <w:b/>
                          <w:bCs/>
                          <w:szCs w:val="24"/>
                        </w:rPr>
                        <w:t>23</w:t>
                      </w:r>
                      <w:r>
                        <w:rPr>
                          <w:rFonts w:hint="eastAsia" w:ascii="仿宋" w:hAnsi="仿宋" w:eastAsia="仿宋" w:cs="方正小标宋简体"/>
                          <w:b/>
                          <w:bCs/>
                          <w:szCs w:val="24"/>
                        </w:rPr>
                        <w:t xml:space="preserve"> ：</w:t>
                      </w:r>
                      <w:r>
                        <w:rPr>
                          <w:rFonts w:hint="eastAsia" w:ascii="仿宋" w:hAnsi="仿宋" w:eastAsia="仿宋" w:cs="方正小标宋简体"/>
                          <w:b/>
                          <w:bCs/>
                          <w:color w:val="000000"/>
                          <w:szCs w:val="24"/>
                        </w:rPr>
                        <w:t>花溪区高坡乡杉坪村蚂蜂洞集中式饮用水水源监管范围划分图</w:t>
                      </w:r>
                    </w:p>
                    <w:p w14:paraId="02499B64">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v:textbox>
              </v:rect>
            </w:pict>
          </mc:Fallback>
        </mc:AlternateContent>
      </w:r>
    </w:p>
    <w:p w14:paraId="22ACB794">
      <w:pPr>
        <w:widowControl/>
        <w:spacing w:line="240" w:lineRule="auto"/>
        <w:jc w:val="left"/>
        <w:rPr>
          <w:rFonts w:eastAsia="仿宋"/>
          <w:b/>
          <w:kern w:val="0"/>
          <w:szCs w:val="24"/>
        </w:rPr>
      </w:pPr>
      <w:r>
        <w:rPr>
          <w:rFonts w:eastAsia="仿宋"/>
          <w:b/>
          <w:kern w:val="0"/>
          <w:szCs w:val="24"/>
        </w:rPr>
        <w:drawing>
          <wp:anchor distT="0" distB="0" distL="114300" distR="114300" simplePos="0" relativeHeight="251671552" behindDoc="0" locked="0" layoutInCell="1" allowOverlap="1">
            <wp:simplePos x="0" y="0"/>
            <wp:positionH relativeFrom="column">
              <wp:posOffset>-10160</wp:posOffset>
            </wp:positionH>
            <wp:positionV relativeFrom="paragraph">
              <wp:posOffset>152400</wp:posOffset>
            </wp:positionV>
            <wp:extent cx="5531485" cy="7703820"/>
            <wp:effectExtent l="0" t="0" r="0" b="0"/>
            <wp:wrapNone/>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a:xfrm>
                      <a:off x="0" y="0"/>
                      <a:ext cx="5531286" cy="7703878"/>
                    </a:xfrm>
                    <a:prstGeom prst="rect">
                      <a:avLst/>
                    </a:prstGeom>
                    <a:noFill/>
                    <a:ln>
                      <a:noFill/>
                    </a:ln>
                  </pic:spPr>
                </pic:pic>
              </a:graphicData>
            </a:graphic>
          </wp:anchor>
        </w:drawing>
      </w:r>
      <w:r>
        <w:rPr>
          <w:rFonts w:eastAsia="仿宋"/>
          <w:b/>
          <w:kern w:val="0"/>
          <w:szCs w:val="24"/>
        </w:rPr>
        <w:br w:type="page"/>
      </w:r>
    </w:p>
    <w:p w14:paraId="0D59F3B8">
      <w:pPr>
        <w:widowControl/>
        <w:jc w:val="center"/>
        <w:rPr>
          <w:rFonts w:eastAsia="仿宋"/>
          <w:b/>
          <w:kern w:val="0"/>
          <w:szCs w:val="24"/>
        </w:rPr>
      </w:pPr>
      <w:r>
        <w:rPr>
          <w:rFonts w:eastAsia="仿宋"/>
          <w:b/>
          <w:kern w:val="0"/>
          <w:szCs w:val="24"/>
        </w:rPr>
        <mc:AlternateContent>
          <mc:Choice Requires="wps">
            <w:drawing>
              <wp:anchor distT="0" distB="0" distL="114300" distR="114300" simplePos="0" relativeHeight="251717632" behindDoc="0" locked="0" layoutInCell="1" allowOverlap="1">
                <wp:simplePos x="0" y="0"/>
                <wp:positionH relativeFrom="column">
                  <wp:posOffset>-22860</wp:posOffset>
                </wp:positionH>
                <wp:positionV relativeFrom="paragraph">
                  <wp:posOffset>45720</wp:posOffset>
                </wp:positionV>
                <wp:extent cx="5557520" cy="434975"/>
                <wp:effectExtent l="11430" t="7620" r="12700" b="5080"/>
                <wp:wrapNone/>
                <wp:docPr id="93" name="Rectangle 65"/>
                <wp:cNvGraphicFramePr/>
                <a:graphic xmlns:a="http://schemas.openxmlformats.org/drawingml/2006/main">
                  <a:graphicData uri="http://schemas.microsoft.com/office/word/2010/wordprocessingShape">
                    <wps:wsp>
                      <wps:cNvSpPr>
                        <a:spLocks noChangeArrowheads="1"/>
                      </wps:cNvSpPr>
                      <wps:spPr bwMode="auto">
                        <a:xfrm>
                          <a:off x="0" y="0"/>
                          <a:ext cx="5557520" cy="434975"/>
                        </a:xfrm>
                        <a:prstGeom prst="rect">
                          <a:avLst/>
                        </a:prstGeom>
                        <a:solidFill>
                          <a:srgbClr val="FFFFFF"/>
                        </a:solidFill>
                        <a:ln w="9525">
                          <a:solidFill>
                            <a:srgbClr val="000000"/>
                          </a:solidFill>
                          <a:miter lim="800000"/>
                        </a:ln>
                      </wps:spPr>
                      <wps:txbx>
                        <w:txbxContent>
                          <w:p w14:paraId="1703B41C">
                            <w:pPr>
                              <w:jc w:val="center"/>
                              <w:rPr>
                                <w:rFonts w:ascii="仿宋" w:hAnsi="仿宋" w:eastAsia="仿宋"/>
                                <w:b/>
                                <w:bCs/>
                                <w:szCs w:val="24"/>
                              </w:rPr>
                            </w:pPr>
                            <w:r>
                              <w:rPr>
                                <w:rFonts w:hint="eastAsia" w:ascii="仿宋" w:hAnsi="仿宋" w:eastAsia="仿宋" w:cs="方正小标宋简体"/>
                                <w:b/>
                                <w:bCs/>
                                <w:szCs w:val="24"/>
                              </w:rPr>
                              <w:t>附图</w:t>
                            </w:r>
                            <w:r>
                              <w:rPr>
                                <w:rFonts w:ascii="仿宋" w:hAnsi="仿宋" w:eastAsia="仿宋" w:cs="方正小标宋简体"/>
                                <w:b/>
                                <w:bCs/>
                                <w:szCs w:val="24"/>
                              </w:rPr>
                              <w:t>24</w:t>
                            </w:r>
                            <w:r>
                              <w:rPr>
                                <w:rFonts w:hint="eastAsia" w:ascii="仿宋" w:hAnsi="仿宋" w:eastAsia="仿宋" w:cs="方正小标宋简体"/>
                                <w:b/>
                                <w:bCs/>
                                <w:szCs w:val="24"/>
                              </w:rPr>
                              <w:t xml:space="preserve"> ：</w:t>
                            </w:r>
                            <w:r>
                              <w:rPr>
                                <w:rFonts w:hint="eastAsia" w:ascii="仿宋" w:hAnsi="仿宋" w:eastAsia="仿宋" w:cs="方正小标宋简体"/>
                                <w:b/>
                                <w:bCs/>
                                <w:color w:val="000000"/>
                                <w:szCs w:val="24"/>
                              </w:rPr>
                              <w:t>花溪区高坡苗族乡杉坪村蚂蜂洞集中式饮用水水源监管范围影像图</w:t>
                            </w:r>
                          </w:p>
                          <w:p w14:paraId="08A8D047">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wps:txbx>
                      <wps:bodyPr rot="0" vert="horz" wrap="square" lIns="91440" tIns="45720" rIns="91440" bIns="45720" anchor="t" anchorCtr="0" upright="1">
                        <a:noAutofit/>
                      </wps:bodyPr>
                    </wps:wsp>
                  </a:graphicData>
                </a:graphic>
              </wp:anchor>
            </w:drawing>
          </mc:Choice>
          <mc:Fallback>
            <w:pict>
              <v:rect id="Rectangle 65" o:spid="_x0000_s1026" o:spt="1" style="position:absolute;left:0pt;margin-left:-1.8pt;margin-top:3.6pt;height:34.25pt;width:437.6pt;z-index:251717632;mso-width-relative:page;mso-height-relative:page;" fillcolor="#FFFFFF" filled="t" stroked="t" coordsize="21600,21600" o:gfxdata="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oWtd1QAAAAcBAAAPAAAAAAAAAAEAIAAAACIAAABkcnMvZG93bnJldi54bWxQSwEC&#10;FAAUAAAACACHTuJAFNjaYzACAAB/BAAADgAAAAAAAAABACAAAAAkAQAAZHJzL2Uyb0RvYy54bWxQ&#10;SwUGAAAAAAYABgBZAQAAxgUAAAAA&#10;">
                <v:fill on="t" focussize="0,0"/>
                <v:stroke color="#000000" miterlimit="8" joinstyle="miter"/>
                <v:imagedata o:title=""/>
                <o:lock v:ext="edit" aspectratio="f"/>
                <v:textbox>
                  <w:txbxContent>
                    <w:p w14:paraId="1703B41C">
                      <w:pPr>
                        <w:jc w:val="center"/>
                        <w:rPr>
                          <w:rFonts w:ascii="仿宋" w:hAnsi="仿宋" w:eastAsia="仿宋"/>
                          <w:b/>
                          <w:bCs/>
                          <w:szCs w:val="24"/>
                        </w:rPr>
                      </w:pPr>
                      <w:r>
                        <w:rPr>
                          <w:rFonts w:hint="eastAsia" w:ascii="仿宋" w:hAnsi="仿宋" w:eastAsia="仿宋" w:cs="方正小标宋简体"/>
                          <w:b/>
                          <w:bCs/>
                          <w:szCs w:val="24"/>
                        </w:rPr>
                        <w:t>附图</w:t>
                      </w:r>
                      <w:r>
                        <w:rPr>
                          <w:rFonts w:ascii="仿宋" w:hAnsi="仿宋" w:eastAsia="仿宋" w:cs="方正小标宋简体"/>
                          <w:b/>
                          <w:bCs/>
                          <w:szCs w:val="24"/>
                        </w:rPr>
                        <w:t>24</w:t>
                      </w:r>
                      <w:r>
                        <w:rPr>
                          <w:rFonts w:hint="eastAsia" w:ascii="仿宋" w:hAnsi="仿宋" w:eastAsia="仿宋" w:cs="方正小标宋简体"/>
                          <w:b/>
                          <w:bCs/>
                          <w:szCs w:val="24"/>
                        </w:rPr>
                        <w:t xml:space="preserve"> ：</w:t>
                      </w:r>
                      <w:r>
                        <w:rPr>
                          <w:rFonts w:hint="eastAsia" w:ascii="仿宋" w:hAnsi="仿宋" w:eastAsia="仿宋" w:cs="方正小标宋简体"/>
                          <w:b/>
                          <w:bCs/>
                          <w:color w:val="000000"/>
                          <w:szCs w:val="24"/>
                        </w:rPr>
                        <w:t>花溪区高坡苗族乡杉坪村蚂蜂洞集中式饮用水水源监管范围影像图</w:t>
                      </w:r>
                    </w:p>
                    <w:p w14:paraId="08A8D047">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v:textbox>
              </v:rect>
            </w:pict>
          </mc:Fallback>
        </mc:AlternateContent>
      </w:r>
    </w:p>
    <w:p w14:paraId="5999F6DD">
      <w:pPr>
        <w:widowControl/>
        <w:spacing w:line="240" w:lineRule="auto"/>
        <w:jc w:val="left"/>
        <w:rPr>
          <w:rFonts w:eastAsia="仿宋"/>
          <w:b/>
          <w:kern w:val="0"/>
          <w:szCs w:val="24"/>
        </w:rPr>
      </w:pPr>
      <w:r>
        <w:rPr>
          <w:rFonts w:eastAsia="仿宋"/>
          <w:b/>
          <w:kern w:val="0"/>
          <w:szCs w:val="24"/>
        </w:rPr>
        <w:drawing>
          <wp:anchor distT="0" distB="0" distL="114300" distR="114300" simplePos="0" relativeHeight="251672576" behindDoc="0" locked="0" layoutInCell="1" allowOverlap="1">
            <wp:simplePos x="0" y="0"/>
            <wp:positionH relativeFrom="column">
              <wp:posOffset>-40005</wp:posOffset>
            </wp:positionH>
            <wp:positionV relativeFrom="paragraph">
              <wp:posOffset>106045</wp:posOffset>
            </wp:positionV>
            <wp:extent cx="5574030" cy="7771130"/>
            <wp:effectExtent l="0" t="0" r="0" b="0"/>
            <wp:wrapNone/>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a:xfrm>
                      <a:off x="0" y="0"/>
                      <a:ext cx="5574074" cy="7771234"/>
                    </a:xfrm>
                    <a:prstGeom prst="rect">
                      <a:avLst/>
                    </a:prstGeom>
                    <a:noFill/>
                    <a:ln>
                      <a:noFill/>
                    </a:ln>
                  </pic:spPr>
                </pic:pic>
              </a:graphicData>
            </a:graphic>
          </wp:anchor>
        </w:drawing>
      </w:r>
      <w:r>
        <w:rPr>
          <w:rFonts w:eastAsia="仿宋"/>
          <w:b/>
          <w:kern w:val="0"/>
          <w:szCs w:val="24"/>
        </w:rPr>
        <w:br w:type="page"/>
      </w:r>
    </w:p>
    <w:p w14:paraId="7AD5B2CD">
      <w:pPr>
        <w:widowControl/>
        <w:jc w:val="center"/>
        <w:rPr>
          <w:rFonts w:eastAsia="仿宋"/>
          <w:b/>
          <w:kern w:val="0"/>
          <w:szCs w:val="24"/>
        </w:rPr>
      </w:pPr>
      <w:r>
        <w:rPr>
          <w:rFonts w:eastAsia="仿宋"/>
          <w:b/>
          <w:kern w:val="0"/>
          <w:szCs w:val="24"/>
        </w:rPr>
        <mc:AlternateContent>
          <mc:Choice Requires="wps">
            <w:drawing>
              <wp:anchor distT="0" distB="0" distL="114300" distR="114300" simplePos="0" relativeHeight="251718656" behindDoc="0" locked="0" layoutInCell="1" allowOverlap="1">
                <wp:simplePos x="0" y="0"/>
                <wp:positionH relativeFrom="column">
                  <wp:posOffset>26035</wp:posOffset>
                </wp:positionH>
                <wp:positionV relativeFrom="paragraph">
                  <wp:posOffset>-126365</wp:posOffset>
                </wp:positionV>
                <wp:extent cx="5401945" cy="434975"/>
                <wp:effectExtent l="12700" t="6985" r="5080" b="5715"/>
                <wp:wrapNone/>
                <wp:docPr id="92" name="Rectangle 67"/>
                <wp:cNvGraphicFramePr/>
                <a:graphic xmlns:a="http://schemas.openxmlformats.org/drawingml/2006/main">
                  <a:graphicData uri="http://schemas.microsoft.com/office/word/2010/wordprocessingShape">
                    <wps:wsp>
                      <wps:cNvSpPr>
                        <a:spLocks noChangeArrowheads="1"/>
                      </wps:cNvSpPr>
                      <wps:spPr bwMode="auto">
                        <a:xfrm>
                          <a:off x="0" y="0"/>
                          <a:ext cx="5401945" cy="434975"/>
                        </a:xfrm>
                        <a:prstGeom prst="rect">
                          <a:avLst/>
                        </a:prstGeom>
                        <a:solidFill>
                          <a:srgbClr val="FFFFFF"/>
                        </a:solidFill>
                        <a:ln w="9525">
                          <a:solidFill>
                            <a:srgbClr val="000000"/>
                          </a:solidFill>
                          <a:miter lim="800000"/>
                        </a:ln>
                      </wps:spPr>
                      <wps:txbx>
                        <w:txbxContent>
                          <w:p w14:paraId="055A15B3">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25</w:t>
                            </w:r>
                            <w:r>
                              <w:rPr>
                                <w:rFonts w:hint="eastAsia" w:ascii="仿宋" w:hAnsi="仿宋" w:eastAsia="仿宋" w:cs="方正小标宋简体"/>
                                <w:b/>
                                <w:bCs/>
                                <w:sz w:val="28"/>
                                <w:szCs w:val="28"/>
                              </w:rPr>
                              <w:t xml:space="preserve"> ：</w:t>
                            </w:r>
                            <w:r>
                              <w:rPr>
                                <w:rFonts w:hint="eastAsia" w:ascii="仿宋" w:hAnsi="仿宋" w:eastAsia="仿宋" w:cs="方正小标宋简体"/>
                                <w:b/>
                                <w:bCs/>
                                <w:color w:val="000000"/>
                                <w:sz w:val="28"/>
                                <w:szCs w:val="28"/>
                              </w:rPr>
                              <w:t>花溪区黔陶乡马场村集中式饮用水水源监管范围划分图</w:t>
                            </w:r>
                          </w:p>
                          <w:p w14:paraId="7E2103F1">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wps:txbx>
                      <wps:bodyPr rot="0" vert="horz" wrap="square" lIns="91440" tIns="45720" rIns="91440" bIns="45720" anchor="t" anchorCtr="0" upright="1">
                        <a:noAutofit/>
                      </wps:bodyPr>
                    </wps:wsp>
                  </a:graphicData>
                </a:graphic>
              </wp:anchor>
            </w:drawing>
          </mc:Choice>
          <mc:Fallback>
            <w:pict>
              <v:rect id="Rectangle 67" o:spid="_x0000_s1026" o:spt="1" style="position:absolute;left:0pt;margin-left:2.05pt;margin-top:-9.95pt;height:34.25pt;width:425.35pt;z-index:251718656;mso-width-relative:page;mso-height-relative:page;" fillcolor="#FFFFFF" filled="t" stroked="t" coordsize="21600,21600" o:gfxdata="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7wysydcAAAAIAQAADwAAAAAAAAABACAAAAAiAAAAZHJzL2Rvd25yZXYueG1sUEsB&#10;AhQAFAAAAAgAh07iQAPrZeMvAgAAfwQAAA4AAAAAAAAAAQAgAAAAJgEAAGRycy9lMm9Eb2MueG1s&#10;UEsFBgAAAAAGAAYAWQEAAMcFAAAAAA==&#10;">
                <v:fill on="t" focussize="0,0"/>
                <v:stroke color="#000000" miterlimit="8" joinstyle="miter"/>
                <v:imagedata o:title=""/>
                <o:lock v:ext="edit" aspectratio="f"/>
                <v:textbox>
                  <w:txbxContent>
                    <w:p w14:paraId="055A15B3">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25</w:t>
                      </w:r>
                      <w:r>
                        <w:rPr>
                          <w:rFonts w:hint="eastAsia" w:ascii="仿宋" w:hAnsi="仿宋" w:eastAsia="仿宋" w:cs="方正小标宋简体"/>
                          <w:b/>
                          <w:bCs/>
                          <w:sz w:val="28"/>
                          <w:szCs w:val="28"/>
                        </w:rPr>
                        <w:t xml:space="preserve"> ：</w:t>
                      </w:r>
                      <w:r>
                        <w:rPr>
                          <w:rFonts w:hint="eastAsia" w:ascii="仿宋" w:hAnsi="仿宋" w:eastAsia="仿宋" w:cs="方正小标宋简体"/>
                          <w:b/>
                          <w:bCs/>
                          <w:color w:val="000000"/>
                          <w:sz w:val="28"/>
                          <w:szCs w:val="28"/>
                        </w:rPr>
                        <w:t>花溪区黔陶乡马场村集中式饮用水水源监管范围划分图</w:t>
                      </w:r>
                    </w:p>
                    <w:p w14:paraId="7E2103F1">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v:textbox>
              </v:rect>
            </w:pict>
          </mc:Fallback>
        </mc:AlternateContent>
      </w:r>
      <w:r>
        <w:rPr>
          <w:rFonts w:eastAsia="仿宋"/>
          <w:b/>
          <w:kern w:val="0"/>
          <w:szCs w:val="24"/>
        </w:rPr>
        <w:drawing>
          <wp:anchor distT="0" distB="0" distL="114300" distR="114300" simplePos="0" relativeHeight="251673600" behindDoc="0" locked="0" layoutInCell="1" allowOverlap="1">
            <wp:simplePos x="0" y="0"/>
            <wp:positionH relativeFrom="column">
              <wp:posOffset>24765</wp:posOffset>
            </wp:positionH>
            <wp:positionV relativeFrom="paragraph">
              <wp:posOffset>296545</wp:posOffset>
            </wp:positionV>
            <wp:extent cx="5420995" cy="7555230"/>
            <wp:effectExtent l="0" t="0" r="0" b="0"/>
            <wp:wrapNone/>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a:xfrm>
                      <a:off x="0" y="0"/>
                      <a:ext cx="5421302" cy="7555098"/>
                    </a:xfrm>
                    <a:prstGeom prst="rect">
                      <a:avLst/>
                    </a:prstGeom>
                    <a:noFill/>
                    <a:ln>
                      <a:noFill/>
                    </a:ln>
                  </pic:spPr>
                </pic:pic>
              </a:graphicData>
            </a:graphic>
          </wp:anchor>
        </w:drawing>
      </w:r>
    </w:p>
    <w:p w14:paraId="3A4A33A7">
      <w:pPr>
        <w:widowControl/>
        <w:spacing w:line="240" w:lineRule="auto"/>
        <w:jc w:val="left"/>
        <w:rPr>
          <w:rFonts w:eastAsia="仿宋"/>
          <w:b/>
          <w:kern w:val="0"/>
          <w:szCs w:val="24"/>
        </w:rPr>
      </w:pPr>
      <w:r>
        <w:rPr>
          <w:rFonts w:eastAsia="仿宋"/>
          <w:b/>
          <w:kern w:val="0"/>
          <w:szCs w:val="24"/>
        </w:rPr>
        <w:br w:type="page"/>
      </w:r>
    </w:p>
    <w:p w14:paraId="13F1578E">
      <w:pPr>
        <w:widowControl/>
        <w:jc w:val="center"/>
        <w:rPr>
          <w:rFonts w:eastAsia="仿宋"/>
          <w:b/>
          <w:kern w:val="0"/>
          <w:szCs w:val="24"/>
        </w:rPr>
      </w:pPr>
      <w:r>
        <w:rPr>
          <w:rFonts w:eastAsia="仿宋"/>
          <w:b/>
          <w:kern w:val="0"/>
          <w:szCs w:val="24"/>
        </w:rPr>
        <mc:AlternateContent>
          <mc:Choice Requires="wps">
            <w:drawing>
              <wp:anchor distT="0" distB="0" distL="114300" distR="114300" simplePos="0" relativeHeight="251719680" behindDoc="0" locked="0" layoutInCell="1" allowOverlap="1">
                <wp:simplePos x="0" y="0"/>
                <wp:positionH relativeFrom="column">
                  <wp:posOffset>-22225</wp:posOffset>
                </wp:positionH>
                <wp:positionV relativeFrom="paragraph">
                  <wp:posOffset>9525</wp:posOffset>
                </wp:positionV>
                <wp:extent cx="5474335" cy="434975"/>
                <wp:effectExtent l="12065" t="9525" r="9525" b="12700"/>
                <wp:wrapNone/>
                <wp:docPr id="89" name="Rectangle 69"/>
                <wp:cNvGraphicFramePr/>
                <a:graphic xmlns:a="http://schemas.openxmlformats.org/drawingml/2006/main">
                  <a:graphicData uri="http://schemas.microsoft.com/office/word/2010/wordprocessingShape">
                    <wps:wsp>
                      <wps:cNvSpPr>
                        <a:spLocks noChangeArrowheads="1"/>
                      </wps:cNvSpPr>
                      <wps:spPr bwMode="auto">
                        <a:xfrm>
                          <a:off x="0" y="0"/>
                          <a:ext cx="5474335" cy="434975"/>
                        </a:xfrm>
                        <a:prstGeom prst="rect">
                          <a:avLst/>
                        </a:prstGeom>
                        <a:solidFill>
                          <a:srgbClr val="FFFFFF"/>
                        </a:solidFill>
                        <a:ln w="9525">
                          <a:solidFill>
                            <a:srgbClr val="000000"/>
                          </a:solidFill>
                          <a:miter lim="800000"/>
                        </a:ln>
                      </wps:spPr>
                      <wps:txbx>
                        <w:txbxContent>
                          <w:p w14:paraId="184AEAFE">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26</w:t>
                            </w:r>
                            <w:r>
                              <w:rPr>
                                <w:rFonts w:hint="eastAsia" w:ascii="仿宋" w:hAnsi="仿宋" w:eastAsia="仿宋" w:cs="方正小标宋简体"/>
                                <w:b/>
                                <w:bCs/>
                                <w:sz w:val="28"/>
                                <w:szCs w:val="28"/>
                              </w:rPr>
                              <w:t>：</w:t>
                            </w:r>
                            <w:r>
                              <w:rPr>
                                <w:rFonts w:hint="eastAsia" w:ascii="仿宋" w:hAnsi="仿宋" w:eastAsia="仿宋" w:cs="方正小标宋简体"/>
                                <w:b/>
                                <w:bCs/>
                                <w:color w:val="000000"/>
                                <w:sz w:val="28"/>
                                <w:szCs w:val="28"/>
                              </w:rPr>
                              <w:t>花溪区黔陶乡马场村集中式饮用水水源监管范围影像图</w:t>
                            </w:r>
                          </w:p>
                          <w:p w14:paraId="762D87DD">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wps:txbx>
                      <wps:bodyPr rot="0" vert="horz" wrap="square" lIns="91440" tIns="45720" rIns="91440" bIns="45720" anchor="t" anchorCtr="0" upright="1">
                        <a:noAutofit/>
                      </wps:bodyPr>
                    </wps:wsp>
                  </a:graphicData>
                </a:graphic>
              </wp:anchor>
            </w:drawing>
          </mc:Choice>
          <mc:Fallback>
            <w:pict>
              <v:rect id="Rectangle 69" o:spid="_x0000_s1026" o:spt="1" style="position:absolute;left:0pt;margin-left:-1.75pt;margin-top:0.75pt;height:34.25pt;width:431.05pt;z-index:251719680;mso-width-relative:page;mso-height-relative:page;" fillcolor="#FFFFFF" filled="t" stroked="t" coordsize="21600,21600" o:gfxdata="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MhuM19YAAAAHAQAADwAAAAAAAAABACAAAAAiAAAAZHJzL2Rvd25yZXYueG1sUEsB&#10;AhQAFAAAAAgAh07iQC0fmiEwAgAAfwQAAA4AAAAAAAAAAQAgAAAAJQEAAGRycy9lMm9Eb2MueG1s&#10;UEsFBgAAAAAGAAYAWQEAAMcFAAAAAA==&#10;">
                <v:fill on="t" focussize="0,0"/>
                <v:stroke color="#000000" miterlimit="8" joinstyle="miter"/>
                <v:imagedata o:title=""/>
                <o:lock v:ext="edit" aspectratio="f"/>
                <v:textbox>
                  <w:txbxContent>
                    <w:p w14:paraId="184AEAFE">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26</w:t>
                      </w:r>
                      <w:r>
                        <w:rPr>
                          <w:rFonts w:hint="eastAsia" w:ascii="仿宋" w:hAnsi="仿宋" w:eastAsia="仿宋" w:cs="方正小标宋简体"/>
                          <w:b/>
                          <w:bCs/>
                          <w:sz w:val="28"/>
                          <w:szCs w:val="28"/>
                        </w:rPr>
                        <w:t>：</w:t>
                      </w:r>
                      <w:r>
                        <w:rPr>
                          <w:rFonts w:hint="eastAsia" w:ascii="仿宋" w:hAnsi="仿宋" w:eastAsia="仿宋" w:cs="方正小标宋简体"/>
                          <w:b/>
                          <w:bCs/>
                          <w:color w:val="000000"/>
                          <w:sz w:val="28"/>
                          <w:szCs w:val="28"/>
                        </w:rPr>
                        <w:t>花溪区黔陶乡马场村集中式饮用水水源监管范围影像图</w:t>
                      </w:r>
                    </w:p>
                    <w:p w14:paraId="762D87DD">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v:textbox>
              </v:rect>
            </w:pict>
          </mc:Fallback>
        </mc:AlternateContent>
      </w:r>
    </w:p>
    <w:p w14:paraId="65E46C06">
      <w:pPr>
        <w:widowControl/>
        <w:spacing w:line="240" w:lineRule="auto"/>
        <w:jc w:val="left"/>
        <w:rPr>
          <w:rFonts w:eastAsia="仿宋"/>
          <w:b/>
          <w:kern w:val="0"/>
          <w:szCs w:val="24"/>
        </w:rPr>
      </w:pPr>
      <w:r>
        <w:rPr>
          <w:rFonts w:eastAsia="仿宋"/>
          <w:b/>
          <w:kern w:val="0"/>
          <w:szCs w:val="24"/>
        </w:rPr>
        <w:drawing>
          <wp:anchor distT="0" distB="0" distL="114300" distR="114300" simplePos="0" relativeHeight="251674624" behindDoc="0" locked="0" layoutInCell="1" allowOverlap="1">
            <wp:simplePos x="0" y="0"/>
            <wp:positionH relativeFrom="column">
              <wp:posOffset>-5715</wp:posOffset>
            </wp:positionH>
            <wp:positionV relativeFrom="paragraph">
              <wp:posOffset>126365</wp:posOffset>
            </wp:positionV>
            <wp:extent cx="5472430" cy="7639685"/>
            <wp:effectExtent l="0" t="0" r="0" b="0"/>
            <wp:wrapNone/>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a:xfrm>
                      <a:off x="0" y="0"/>
                      <a:ext cx="5472430" cy="7639685"/>
                    </a:xfrm>
                    <a:prstGeom prst="rect">
                      <a:avLst/>
                    </a:prstGeom>
                    <a:noFill/>
                    <a:ln>
                      <a:noFill/>
                    </a:ln>
                  </pic:spPr>
                </pic:pic>
              </a:graphicData>
            </a:graphic>
          </wp:anchor>
        </w:drawing>
      </w:r>
      <w:r>
        <w:rPr>
          <w:rFonts w:eastAsia="仿宋"/>
          <w:b/>
          <w:kern w:val="0"/>
          <w:szCs w:val="24"/>
        </w:rPr>
        <w:br w:type="page"/>
      </w:r>
    </w:p>
    <w:p w14:paraId="58501D33">
      <w:pPr>
        <w:widowControl/>
        <w:jc w:val="center"/>
        <w:rPr>
          <w:rFonts w:eastAsia="仿宋"/>
          <w:b/>
          <w:kern w:val="0"/>
          <w:szCs w:val="24"/>
        </w:rPr>
      </w:pPr>
      <w:r>
        <w:rPr>
          <w:rFonts w:eastAsia="仿宋"/>
          <w:b/>
          <w:kern w:val="0"/>
          <w:szCs w:val="24"/>
        </w:rPr>
        <mc:AlternateContent>
          <mc:Choice Requires="wps">
            <w:drawing>
              <wp:anchor distT="0" distB="0" distL="114300" distR="114300" simplePos="0" relativeHeight="251720704" behindDoc="0" locked="0" layoutInCell="1" allowOverlap="1">
                <wp:simplePos x="0" y="0"/>
                <wp:positionH relativeFrom="column">
                  <wp:posOffset>85090</wp:posOffset>
                </wp:positionH>
                <wp:positionV relativeFrom="paragraph">
                  <wp:posOffset>63500</wp:posOffset>
                </wp:positionV>
                <wp:extent cx="5450205" cy="434975"/>
                <wp:effectExtent l="5080" t="6350" r="12065" b="6350"/>
                <wp:wrapNone/>
                <wp:docPr id="88" name="Rectangle 71"/>
                <wp:cNvGraphicFramePr/>
                <a:graphic xmlns:a="http://schemas.openxmlformats.org/drawingml/2006/main">
                  <a:graphicData uri="http://schemas.microsoft.com/office/word/2010/wordprocessingShape">
                    <wps:wsp>
                      <wps:cNvSpPr>
                        <a:spLocks noChangeArrowheads="1"/>
                      </wps:cNvSpPr>
                      <wps:spPr bwMode="auto">
                        <a:xfrm>
                          <a:off x="0" y="0"/>
                          <a:ext cx="5450205" cy="434975"/>
                        </a:xfrm>
                        <a:prstGeom prst="rect">
                          <a:avLst/>
                        </a:prstGeom>
                        <a:solidFill>
                          <a:srgbClr val="FFFFFF"/>
                        </a:solidFill>
                        <a:ln w="9525">
                          <a:solidFill>
                            <a:srgbClr val="000000"/>
                          </a:solidFill>
                          <a:miter lim="800000"/>
                        </a:ln>
                      </wps:spPr>
                      <wps:txbx>
                        <w:txbxContent>
                          <w:p w14:paraId="3E6A0783">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27</w:t>
                            </w:r>
                            <w:r>
                              <w:rPr>
                                <w:rFonts w:hint="eastAsia" w:ascii="仿宋" w:hAnsi="仿宋" w:eastAsia="仿宋" w:cs="方正小标宋简体"/>
                                <w:b/>
                                <w:bCs/>
                                <w:sz w:val="28"/>
                                <w:szCs w:val="28"/>
                              </w:rPr>
                              <w:t xml:space="preserve"> ：</w:t>
                            </w:r>
                            <w:r>
                              <w:rPr>
                                <w:rFonts w:hint="eastAsia" w:ascii="仿宋" w:hAnsi="仿宋" w:eastAsia="仿宋" w:cs="方正小标宋简体"/>
                                <w:b/>
                                <w:bCs/>
                                <w:color w:val="000000"/>
                                <w:sz w:val="28"/>
                                <w:szCs w:val="28"/>
                              </w:rPr>
                              <w:t>花溪区黔陶乡骑龙村集中式饮用水水源监管范围划分图</w:t>
                            </w:r>
                          </w:p>
                          <w:p w14:paraId="0CF36A9D">
                            <w:pPr>
                              <w:rPr>
                                <w:rFonts w:ascii="仿宋" w:hAnsi="仿宋" w:eastAsia="仿宋"/>
                                <w:b/>
                                <w:bCs/>
                                <w:sz w:val="28"/>
                                <w:szCs w:val="28"/>
                              </w:rPr>
                            </w:pPr>
                            <w:r>
                              <w:rPr>
                                <w:rFonts w:hint="eastAsia" w:ascii="仿宋" w:hAnsi="仿宋" w:eastAsia="仿宋" w:cs="方正小标宋简体"/>
                                <w:b/>
                                <w:bCs/>
                                <w:color w:val="000000"/>
                                <w:sz w:val="28"/>
                                <w:szCs w:val="28"/>
                              </w:rPr>
                              <w:t>中式饮用水水源监管范围划分图</w:t>
                            </w:r>
                          </w:p>
                        </w:txbxContent>
                      </wps:txbx>
                      <wps:bodyPr rot="0" vert="horz" wrap="square" lIns="91440" tIns="45720" rIns="91440" bIns="45720" anchor="t" anchorCtr="0" upright="1">
                        <a:noAutofit/>
                      </wps:bodyPr>
                    </wps:wsp>
                  </a:graphicData>
                </a:graphic>
              </wp:anchor>
            </w:drawing>
          </mc:Choice>
          <mc:Fallback>
            <w:pict>
              <v:rect id="Rectangle 71" o:spid="_x0000_s1026" o:spt="1" style="position:absolute;left:0pt;margin-left:6.7pt;margin-top:5pt;height:34.25pt;width:429.15pt;z-index:251720704;mso-width-relative:page;mso-height-relative:page;" fillcolor="#FFFFFF" filled="t" stroked="t" coordsize="21600,21600" o:gfxdata="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roSgn9YAAAAIAQAADwAAAAAAAAABACAAAAAiAAAAZHJzL2Rvd25yZXYueG1sUEsBAhQA&#10;FAAAAAgAh07iQCg3yO8tAgAAfwQAAA4AAAAAAAAAAQAgAAAAJQEAAGRycy9lMm9Eb2MueG1sUEsF&#10;BgAAAAAGAAYAWQEAAMQFAAAAAA==&#10;">
                <v:fill on="t" focussize="0,0"/>
                <v:stroke color="#000000" miterlimit="8" joinstyle="miter"/>
                <v:imagedata o:title=""/>
                <o:lock v:ext="edit" aspectratio="f"/>
                <v:textbox>
                  <w:txbxContent>
                    <w:p w14:paraId="3E6A0783">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27</w:t>
                      </w:r>
                      <w:r>
                        <w:rPr>
                          <w:rFonts w:hint="eastAsia" w:ascii="仿宋" w:hAnsi="仿宋" w:eastAsia="仿宋" w:cs="方正小标宋简体"/>
                          <w:b/>
                          <w:bCs/>
                          <w:sz w:val="28"/>
                          <w:szCs w:val="28"/>
                        </w:rPr>
                        <w:t xml:space="preserve"> ：</w:t>
                      </w:r>
                      <w:r>
                        <w:rPr>
                          <w:rFonts w:hint="eastAsia" w:ascii="仿宋" w:hAnsi="仿宋" w:eastAsia="仿宋" w:cs="方正小标宋简体"/>
                          <w:b/>
                          <w:bCs/>
                          <w:color w:val="000000"/>
                          <w:sz w:val="28"/>
                          <w:szCs w:val="28"/>
                        </w:rPr>
                        <w:t>花溪区黔陶乡骑龙村集中式饮用水水源监管范围划分图</w:t>
                      </w:r>
                    </w:p>
                    <w:p w14:paraId="0CF36A9D">
                      <w:pPr>
                        <w:rPr>
                          <w:rFonts w:ascii="仿宋" w:hAnsi="仿宋" w:eastAsia="仿宋"/>
                          <w:b/>
                          <w:bCs/>
                          <w:sz w:val="28"/>
                          <w:szCs w:val="28"/>
                        </w:rPr>
                      </w:pPr>
                      <w:r>
                        <w:rPr>
                          <w:rFonts w:hint="eastAsia" w:ascii="仿宋" w:hAnsi="仿宋" w:eastAsia="仿宋" w:cs="方正小标宋简体"/>
                          <w:b/>
                          <w:bCs/>
                          <w:color w:val="000000"/>
                          <w:sz w:val="28"/>
                          <w:szCs w:val="28"/>
                        </w:rPr>
                        <w:t>中式饮用水水源监管范围划分图</w:t>
                      </w:r>
                    </w:p>
                  </w:txbxContent>
                </v:textbox>
              </v:rect>
            </w:pict>
          </mc:Fallback>
        </mc:AlternateContent>
      </w:r>
    </w:p>
    <w:p w14:paraId="56B38FD0">
      <w:pPr>
        <w:widowControl/>
        <w:spacing w:line="240" w:lineRule="auto"/>
        <w:jc w:val="left"/>
        <w:rPr>
          <w:rFonts w:eastAsia="仿宋"/>
          <w:b/>
          <w:kern w:val="0"/>
          <w:szCs w:val="24"/>
        </w:rPr>
      </w:pPr>
      <w:r>
        <w:rPr>
          <w:rFonts w:eastAsia="仿宋"/>
          <w:b/>
          <w:kern w:val="0"/>
          <w:szCs w:val="24"/>
        </w:rPr>
        <w:drawing>
          <wp:anchor distT="0" distB="0" distL="114300" distR="114300" simplePos="0" relativeHeight="251659264" behindDoc="0" locked="0" layoutInCell="1" allowOverlap="1">
            <wp:simplePos x="0" y="0"/>
            <wp:positionH relativeFrom="column">
              <wp:posOffset>70485</wp:posOffset>
            </wp:positionH>
            <wp:positionV relativeFrom="paragraph">
              <wp:posOffset>197485</wp:posOffset>
            </wp:positionV>
            <wp:extent cx="5472430" cy="7635875"/>
            <wp:effectExtent l="0" t="0" r="0" b="0"/>
            <wp:wrapNone/>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a:xfrm>
                      <a:off x="0" y="0"/>
                      <a:ext cx="5472430" cy="7635875"/>
                    </a:xfrm>
                    <a:prstGeom prst="rect">
                      <a:avLst/>
                    </a:prstGeom>
                    <a:noFill/>
                    <a:ln>
                      <a:noFill/>
                    </a:ln>
                  </pic:spPr>
                </pic:pic>
              </a:graphicData>
            </a:graphic>
          </wp:anchor>
        </w:drawing>
      </w:r>
      <w:r>
        <w:rPr>
          <w:rFonts w:eastAsia="仿宋"/>
          <w:b/>
          <w:kern w:val="0"/>
          <w:szCs w:val="24"/>
        </w:rPr>
        <w:br w:type="page"/>
      </w:r>
    </w:p>
    <w:p w14:paraId="6376BEBA">
      <w:pPr>
        <w:widowControl/>
        <w:jc w:val="center"/>
        <w:rPr>
          <w:rFonts w:eastAsia="仿宋"/>
          <w:b/>
          <w:kern w:val="0"/>
          <w:szCs w:val="24"/>
        </w:rPr>
      </w:pPr>
      <w:r>
        <w:rPr>
          <w:rFonts w:eastAsia="仿宋"/>
          <w:b/>
          <w:kern w:val="0"/>
          <w:szCs w:val="24"/>
        </w:rPr>
        <mc:AlternateContent>
          <mc:Choice Requires="wps">
            <w:drawing>
              <wp:anchor distT="0" distB="0" distL="114300" distR="114300" simplePos="0" relativeHeight="251721728" behindDoc="0" locked="0" layoutInCell="1" allowOverlap="1">
                <wp:simplePos x="0" y="0"/>
                <wp:positionH relativeFrom="column">
                  <wp:posOffset>-69850</wp:posOffset>
                </wp:positionH>
                <wp:positionV relativeFrom="paragraph">
                  <wp:posOffset>21590</wp:posOffset>
                </wp:positionV>
                <wp:extent cx="5521960" cy="434975"/>
                <wp:effectExtent l="12065" t="12065" r="9525" b="10160"/>
                <wp:wrapNone/>
                <wp:docPr id="85" name="Rectangle 73"/>
                <wp:cNvGraphicFramePr/>
                <a:graphic xmlns:a="http://schemas.openxmlformats.org/drawingml/2006/main">
                  <a:graphicData uri="http://schemas.microsoft.com/office/word/2010/wordprocessingShape">
                    <wps:wsp>
                      <wps:cNvSpPr>
                        <a:spLocks noChangeArrowheads="1"/>
                      </wps:cNvSpPr>
                      <wps:spPr bwMode="auto">
                        <a:xfrm>
                          <a:off x="0" y="0"/>
                          <a:ext cx="5521960" cy="434975"/>
                        </a:xfrm>
                        <a:prstGeom prst="rect">
                          <a:avLst/>
                        </a:prstGeom>
                        <a:solidFill>
                          <a:srgbClr val="FFFFFF"/>
                        </a:solidFill>
                        <a:ln w="9525">
                          <a:solidFill>
                            <a:srgbClr val="000000"/>
                          </a:solidFill>
                          <a:miter lim="800000"/>
                        </a:ln>
                      </wps:spPr>
                      <wps:txbx>
                        <w:txbxContent>
                          <w:p w14:paraId="146BAFFD">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28</w:t>
                            </w:r>
                            <w:r>
                              <w:rPr>
                                <w:rFonts w:hint="eastAsia" w:ascii="仿宋" w:hAnsi="仿宋" w:eastAsia="仿宋" w:cs="方正小标宋简体"/>
                                <w:b/>
                                <w:bCs/>
                                <w:sz w:val="28"/>
                                <w:szCs w:val="28"/>
                              </w:rPr>
                              <w:t xml:space="preserve"> ：</w:t>
                            </w:r>
                            <w:r>
                              <w:rPr>
                                <w:rFonts w:hint="eastAsia" w:ascii="仿宋" w:hAnsi="仿宋" w:eastAsia="仿宋" w:cs="方正小标宋简体"/>
                                <w:b/>
                                <w:bCs/>
                                <w:color w:val="000000"/>
                                <w:sz w:val="28"/>
                                <w:szCs w:val="28"/>
                              </w:rPr>
                              <w:t>花溪区黔陶乡骑龙村集中式饮用水水源监管范围影像图</w:t>
                            </w:r>
                          </w:p>
                          <w:p w14:paraId="39F8EA4B">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wps:txbx>
                      <wps:bodyPr rot="0" vert="horz" wrap="square" lIns="91440" tIns="45720" rIns="91440" bIns="45720" anchor="t" anchorCtr="0" upright="1">
                        <a:noAutofit/>
                      </wps:bodyPr>
                    </wps:wsp>
                  </a:graphicData>
                </a:graphic>
              </wp:anchor>
            </w:drawing>
          </mc:Choice>
          <mc:Fallback>
            <w:pict>
              <v:rect id="Rectangle 73" o:spid="_x0000_s1026" o:spt="1" style="position:absolute;left:0pt;margin-left:-5.5pt;margin-top:1.7pt;height:34.25pt;width:434.8pt;z-index:251721728;mso-width-relative:page;mso-height-relative:page;" fillcolor="#FFFFFF" filled="t" stroked="t" coordsize="21600,21600" o:gfxdata="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DxJ4s9cAAAAIAQAADwAAAAAAAAABACAAAAAiAAAAZHJzL2Rvd25yZXYueG1sUEsB&#10;AhQAFAAAAAgAh07iQLHY4hsvAgAAfwQAAA4AAAAAAAAAAQAgAAAAJgEAAGRycy9lMm9Eb2MueG1s&#10;UEsFBgAAAAAGAAYAWQEAAMcFAAAAAA==&#10;">
                <v:fill on="t" focussize="0,0"/>
                <v:stroke color="#000000" miterlimit="8" joinstyle="miter"/>
                <v:imagedata o:title=""/>
                <o:lock v:ext="edit" aspectratio="f"/>
                <v:textbox>
                  <w:txbxContent>
                    <w:p w14:paraId="146BAFFD">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28</w:t>
                      </w:r>
                      <w:r>
                        <w:rPr>
                          <w:rFonts w:hint="eastAsia" w:ascii="仿宋" w:hAnsi="仿宋" w:eastAsia="仿宋" w:cs="方正小标宋简体"/>
                          <w:b/>
                          <w:bCs/>
                          <w:sz w:val="28"/>
                          <w:szCs w:val="28"/>
                        </w:rPr>
                        <w:t xml:space="preserve"> ：</w:t>
                      </w:r>
                      <w:r>
                        <w:rPr>
                          <w:rFonts w:hint="eastAsia" w:ascii="仿宋" w:hAnsi="仿宋" w:eastAsia="仿宋" w:cs="方正小标宋简体"/>
                          <w:b/>
                          <w:bCs/>
                          <w:color w:val="000000"/>
                          <w:sz w:val="28"/>
                          <w:szCs w:val="28"/>
                        </w:rPr>
                        <w:t>花溪区黔陶乡骑龙村集中式饮用水水源监管范围影像图</w:t>
                      </w:r>
                    </w:p>
                    <w:p w14:paraId="39F8EA4B">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v:textbox>
              </v:rect>
            </w:pict>
          </mc:Fallback>
        </mc:AlternateContent>
      </w:r>
    </w:p>
    <w:p w14:paraId="3B567292">
      <w:pPr>
        <w:widowControl/>
        <w:spacing w:line="240" w:lineRule="auto"/>
        <w:jc w:val="left"/>
        <w:rPr>
          <w:rFonts w:eastAsia="仿宋"/>
          <w:b/>
          <w:kern w:val="0"/>
          <w:szCs w:val="24"/>
        </w:rPr>
      </w:pPr>
      <w:r>
        <w:rPr>
          <w:rFonts w:eastAsia="仿宋"/>
          <w:b/>
          <w:kern w:val="0"/>
          <w:szCs w:val="24"/>
        </w:rPr>
        <w:drawing>
          <wp:anchor distT="0" distB="0" distL="114300" distR="114300" simplePos="0" relativeHeight="251675648" behindDoc="0" locked="0" layoutInCell="1" allowOverlap="1">
            <wp:simplePos x="0" y="0"/>
            <wp:positionH relativeFrom="column">
              <wp:posOffset>-81915</wp:posOffset>
            </wp:positionH>
            <wp:positionV relativeFrom="paragraph">
              <wp:posOffset>153035</wp:posOffset>
            </wp:positionV>
            <wp:extent cx="5557520" cy="7750175"/>
            <wp:effectExtent l="0" t="0" r="0" b="0"/>
            <wp:wrapNone/>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a:xfrm>
                      <a:off x="0" y="0"/>
                      <a:ext cx="5557652" cy="7750274"/>
                    </a:xfrm>
                    <a:prstGeom prst="rect">
                      <a:avLst/>
                    </a:prstGeom>
                    <a:noFill/>
                    <a:ln>
                      <a:noFill/>
                    </a:ln>
                  </pic:spPr>
                </pic:pic>
              </a:graphicData>
            </a:graphic>
          </wp:anchor>
        </w:drawing>
      </w:r>
      <w:r>
        <w:rPr>
          <w:rFonts w:eastAsia="仿宋"/>
          <w:b/>
          <w:kern w:val="0"/>
          <w:szCs w:val="24"/>
        </w:rPr>
        <w:br w:type="page"/>
      </w:r>
    </w:p>
    <w:p w14:paraId="7DB05077">
      <w:pPr>
        <w:widowControl/>
        <w:jc w:val="center"/>
        <w:rPr>
          <w:rFonts w:eastAsia="仿宋"/>
          <w:b/>
          <w:kern w:val="0"/>
          <w:szCs w:val="24"/>
        </w:rPr>
        <w:sectPr>
          <w:pgSz w:w="11906" w:h="16838"/>
          <w:pgMar w:top="1440" w:right="1644" w:bottom="1440" w:left="1644" w:header="851" w:footer="992" w:gutter="0"/>
          <w:cols w:space="425" w:num="1"/>
          <w:docGrid w:type="lines" w:linePitch="312" w:charSpace="0"/>
        </w:sectPr>
      </w:pPr>
    </w:p>
    <w:p w14:paraId="3114331D">
      <w:pPr>
        <w:widowControl/>
        <w:jc w:val="center"/>
        <w:rPr>
          <w:rFonts w:eastAsia="仿宋"/>
          <w:b/>
          <w:kern w:val="0"/>
          <w:szCs w:val="24"/>
        </w:rPr>
      </w:pPr>
      <w:r>
        <w:rPr>
          <w:rFonts w:eastAsia="仿宋"/>
          <w:b/>
          <w:kern w:val="0"/>
          <w:szCs w:val="24"/>
        </w:rPr>
        <mc:AlternateContent>
          <mc:Choice Requires="wps">
            <w:drawing>
              <wp:anchor distT="0" distB="0" distL="114300" distR="114300" simplePos="0" relativeHeight="251722752" behindDoc="0" locked="0" layoutInCell="1" allowOverlap="1">
                <wp:simplePos x="0" y="0"/>
                <wp:positionH relativeFrom="column">
                  <wp:posOffset>676275</wp:posOffset>
                </wp:positionH>
                <wp:positionV relativeFrom="paragraph">
                  <wp:posOffset>52705</wp:posOffset>
                </wp:positionV>
                <wp:extent cx="7446010" cy="434975"/>
                <wp:effectExtent l="9525" t="10795" r="12065" b="11430"/>
                <wp:wrapNone/>
                <wp:docPr id="84" name="Rectangle 76"/>
                <wp:cNvGraphicFramePr/>
                <a:graphic xmlns:a="http://schemas.openxmlformats.org/drawingml/2006/main">
                  <a:graphicData uri="http://schemas.microsoft.com/office/word/2010/wordprocessingShape">
                    <wps:wsp>
                      <wps:cNvSpPr>
                        <a:spLocks noChangeArrowheads="1"/>
                      </wps:cNvSpPr>
                      <wps:spPr bwMode="auto">
                        <a:xfrm>
                          <a:off x="0" y="0"/>
                          <a:ext cx="7446010" cy="434975"/>
                        </a:xfrm>
                        <a:prstGeom prst="rect">
                          <a:avLst/>
                        </a:prstGeom>
                        <a:solidFill>
                          <a:srgbClr val="FFFFFF"/>
                        </a:solidFill>
                        <a:ln w="9525">
                          <a:solidFill>
                            <a:srgbClr val="000000"/>
                          </a:solidFill>
                          <a:miter lim="800000"/>
                        </a:ln>
                      </wps:spPr>
                      <wps:txbx>
                        <w:txbxContent>
                          <w:p w14:paraId="70AEF5E6">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29</w:t>
                            </w:r>
                            <w:r>
                              <w:rPr>
                                <w:rFonts w:hint="eastAsia" w:ascii="仿宋" w:hAnsi="仿宋" w:eastAsia="仿宋" w:cs="方正小标宋简体"/>
                                <w:b/>
                                <w:bCs/>
                                <w:sz w:val="28"/>
                                <w:szCs w:val="28"/>
                              </w:rPr>
                              <w:t xml:space="preserve"> ：</w:t>
                            </w:r>
                            <w:r>
                              <w:rPr>
                                <w:rFonts w:hint="eastAsia" w:ascii="仿宋" w:hAnsi="仿宋" w:eastAsia="仿宋" w:cs="方正小标宋简体"/>
                                <w:b/>
                                <w:bCs/>
                                <w:color w:val="000000"/>
                                <w:sz w:val="28"/>
                                <w:szCs w:val="28"/>
                              </w:rPr>
                              <w:t>花溪区黔陶乡赵司村赵司河集中式饮用水水源监管范围划分图</w:t>
                            </w:r>
                          </w:p>
                          <w:p w14:paraId="4641D436">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wps:txbx>
                      <wps:bodyPr rot="0" vert="horz" wrap="square" lIns="91440" tIns="45720" rIns="91440" bIns="45720" anchor="t" anchorCtr="0" upright="1">
                        <a:noAutofit/>
                      </wps:bodyPr>
                    </wps:wsp>
                  </a:graphicData>
                </a:graphic>
              </wp:anchor>
            </w:drawing>
          </mc:Choice>
          <mc:Fallback>
            <w:pict>
              <v:rect id="Rectangle 76" o:spid="_x0000_s1026" o:spt="1" style="position:absolute;left:0pt;margin-left:53.25pt;margin-top:4.15pt;height:34.25pt;width:586.3pt;z-index:251722752;mso-width-relative:page;mso-height-relative:page;" fillcolor="#FFFFFF" filled="t" stroked="t" coordsize="21600,21600" o:gfxdata="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pOCZI9cAAAAJAQAADwAAAAAAAAABACAAAAAiAAAAZHJzL2Rvd25yZXYueG1sUEsB&#10;AhQAFAAAAAgAh07iQIjd38gvAgAAfwQAAA4AAAAAAAAAAQAgAAAAJgEAAGRycy9lMm9Eb2MueG1s&#10;UEsFBgAAAAAGAAYAWQEAAMcFAAAAAA==&#10;">
                <v:fill on="t" focussize="0,0"/>
                <v:stroke color="#000000" miterlimit="8" joinstyle="miter"/>
                <v:imagedata o:title=""/>
                <o:lock v:ext="edit" aspectratio="f"/>
                <v:textbox>
                  <w:txbxContent>
                    <w:p w14:paraId="70AEF5E6">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29</w:t>
                      </w:r>
                      <w:r>
                        <w:rPr>
                          <w:rFonts w:hint="eastAsia" w:ascii="仿宋" w:hAnsi="仿宋" w:eastAsia="仿宋" w:cs="方正小标宋简体"/>
                          <w:b/>
                          <w:bCs/>
                          <w:sz w:val="28"/>
                          <w:szCs w:val="28"/>
                        </w:rPr>
                        <w:t xml:space="preserve"> ：</w:t>
                      </w:r>
                      <w:r>
                        <w:rPr>
                          <w:rFonts w:hint="eastAsia" w:ascii="仿宋" w:hAnsi="仿宋" w:eastAsia="仿宋" w:cs="方正小标宋简体"/>
                          <w:b/>
                          <w:bCs/>
                          <w:color w:val="000000"/>
                          <w:sz w:val="28"/>
                          <w:szCs w:val="28"/>
                        </w:rPr>
                        <w:t>花溪区黔陶乡赵司村赵司河集中式饮用水水源监管范围划分图</w:t>
                      </w:r>
                    </w:p>
                    <w:p w14:paraId="4641D436">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v:textbox>
              </v:rect>
            </w:pict>
          </mc:Fallback>
        </mc:AlternateContent>
      </w:r>
    </w:p>
    <w:p w14:paraId="36947459">
      <w:pPr>
        <w:widowControl/>
        <w:spacing w:line="240" w:lineRule="auto"/>
        <w:jc w:val="left"/>
        <w:rPr>
          <w:rFonts w:eastAsia="仿宋"/>
          <w:b/>
          <w:kern w:val="0"/>
          <w:szCs w:val="24"/>
        </w:rPr>
      </w:pPr>
      <w:r>
        <w:rPr>
          <w:rFonts w:eastAsia="仿宋"/>
          <w:b/>
          <w:kern w:val="0"/>
          <w:szCs w:val="24"/>
        </w:rPr>
        <w:drawing>
          <wp:anchor distT="0" distB="0" distL="114300" distR="114300" simplePos="0" relativeHeight="251667456" behindDoc="0" locked="0" layoutInCell="1" allowOverlap="1">
            <wp:simplePos x="0" y="0"/>
            <wp:positionH relativeFrom="column">
              <wp:posOffset>664210</wp:posOffset>
            </wp:positionH>
            <wp:positionV relativeFrom="paragraph">
              <wp:posOffset>190500</wp:posOffset>
            </wp:positionV>
            <wp:extent cx="7469505" cy="5001895"/>
            <wp:effectExtent l="0" t="0" r="0" b="0"/>
            <wp:wrapNone/>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a:xfrm>
                      <a:off x="0" y="0"/>
                      <a:ext cx="7469579" cy="5002163"/>
                    </a:xfrm>
                    <a:prstGeom prst="rect">
                      <a:avLst/>
                    </a:prstGeom>
                    <a:noFill/>
                    <a:ln>
                      <a:noFill/>
                    </a:ln>
                  </pic:spPr>
                </pic:pic>
              </a:graphicData>
            </a:graphic>
          </wp:anchor>
        </w:drawing>
      </w:r>
      <w:r>
        <w:rPr>
          <w:rFonts w:eastAsia="仿宋"/>
          <w:b/>
          <w:kern w:val="0"/>
          <w:szCs w:val="24"/>
        </w:rPr>
        <w:br w:type="page"/>
      </w:r>
      <w:r>
        <w:rPr>
          <w:rFonts w:eastAsia="仿宋"/>
          <w:b/>
          <w:kern w:val="0"/>
          <w:szCs w:val="24"/>
        </w:rPr>
        <w:drawing>
          <wp:anchor distT="0" distB="0" distL="114300" distR="114300" simplePos="0" relativeHeight="251676672" behindDoc="0" locked="0" layoutInCell="1" allowOverlap="1">
            <wp:simplePos x="0" y="0"/>
            <wp:positionH relativeFrom="column">
              <wp:posOffset>878205</wp:posOffset>
            </wp:positionH>
            <wp:positionV relativeFrom="paragraph">
              <wp:posOffset>533400</wp:posOffset>
            </wp:positionV>
            <wp:extent cx="7202170" cy="4819650"/>
            <wp:effectExtent l="0" t="0" r="0" b="0"/>
            <wp:wrapNone/>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a:xfrm>
                      <a:off x="0" y="0"/>
                      <a:ext cx="7202170" cy="4819650"/>
                    </a:xfrm>
                    <a:prstGeom prst="rect">
                      <a:avLst/>
                    </a:prstGeom>
                    <a:noFill/>
                    <a:ln>
                      <a:noFill/>
                    </a:ln>
                  </pic:spPr>
                </pic:pic>
              </a:graphicData>
            </a:graphic>
          </wp:anchor>
        </w:drawing>
      </w:r>
      <w:r>
        <w:rPr>
          <w:rFonts w:eastAsia="仿宋"/>
          <w:b/>
          <w:kern w:val="0"/>
          <w:szCs w:val="24"/>
        </w:rPr>
        <mc:AlternateContent>
          <mc:Choice Requires="wps">
            <w:drawing>
              <wp:anchor distT="0" distB="0" distL="114300" distR="114300" simplePos="0" relativeHeight="251723776" behindDoc="0" locked="0" layoutInCell="1" allowOverlap="1">
                <wp:simplePos x="0" y="0"/>
                <wp:positionH relativeFrom="column">
                  <wp:posOffset>878840</wp:posOffset>
                </wp:positionH>
                <wp:positionV relativeFrom="paragraph">
                  <wp:posOffset>119380</wp:posOffset>
                </wp:positionV>
                <wp:extent cx="7184390" cy="434975"/>
                <wp:effectExtent l="12065" t="10795" r="13970" b="11430"/>
                <wp:wrapNone/>
                <wp:docPr id="81" name="Rectangle 77"/>
                <wp:cNvGraphicFramePr/>
                <a:graphic xmlns:a="http://schemas.openxmlformats.org/drawingml/2006/main">
                  <a:graphicData uri="http://schemas.microsoft.com/office/word/2010/wordprocessingShape">
                    <wps:wsp>
                      <wps:cNvSpPr>
                        <a:spLocks noChangeArrowheads="1"/>
                      </wps:cNvSpPr>
                      <wps:spPr bwMode="auto">
                        <a:xfrm>
                          <a:off x="0" y="0"/>
                          <a:ext cx="7184390" cy="434975"/>
                        </a:xfrm>
                        <a:prstGeom prst="rect">
                          <a:avLst/>
                        </a:prstGeom>
                        <a:solidFill>
                          <a:srgbClr val="FFFFFF"/>
                        </a:solidFill>
                        <a:ln w="9525">
                          <a:solidFill>
                            <a:srgbClr val="000000"/>
                          </a:solidFill>
                          <a:miter lim="800000"/>
                        </a:ln>
                      </wps:spPr>
                      <wps:txbx>
                        <w:txbxContent>
                          <w:p w14:paraId="6164C62F">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30</w:t>
                            </w:r>
                            <w:r>
                              <w:rPr>
                                <w:rFonts w:hint="eastAsia" w:ascii="仿宋" w:hAnsi="仿宋" w:eastAsia="仿宋" w:cs="方正小标宋简体"/>
                                <w:b/>
                                <w:bCs/>
                                <w:sz w:val="28"/>
                                <w:szCs w:val="28"/>
                              </w:rPr>
                              <w:t xml:space="preserve"> ：</w:t>
                            </w:r>
                            <w:r>
                              <w:rPr>
                                <w:rFonts w:hint="eastAsia" w:ascii="仿宋" w:hAnsi="仿宋" w:eastAsia="仿宋" w:cs="方正小标宋简体"/>
                                <w:b/>
                                <w:bCs/>
                                <w:color w:val="000000"/>
                                <w:sz w:val="28"/>
                                <w:szCs w:val="28"/>
                              </w:rPr>
                              <w:t>花溪区黔陶乡赵司村赵司河集中式饮用水水源监管范围影像图</w:t>
                            </w:r>
                          </w:p>
                          <w:p w14:paraId="2E1E8A08">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wps:txbx>
                      <wps:bodyPr rot="0" vert="horz" wrap="square" lIns="91440" tIns="45720" rIns="91440" bIns="45720" anchor="t" anchorCtr="0" upright="1">
                        <a:noAutofit/>
                      </wps:bodyPr>
                    </wps:wsp>
                  </a:graphicData>
                </a:graphic>
              </wp:anchor>
            </w:drawing>
          </mc:Choice>
          <mc:Fallback>
            <w:pict>
              <v:rect id="Rectangle 77" o:spid="_x0000_s1026" o:spt="1" style="position:absolute;left:0pt;margin-left:69.2pt;margin-top:9.4pt;height:34.25pt;width:565.7pt;z-index:251723776;mso-width-relative:page;mso-height-relative:page;" fillcolor="#FFFFFF" filled="t" stroked="t" coordsize="21600,21600" o:gfxdata="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rw/HMdcAAAAKAQAADwAAAAAAAAABACAAAAAiAAAAZHJzL2Rvd25yZXYueG1sUEsB&#10;AhQAFAAAAAgAh07iQHJ90fovAgAAfwQAAA4AAAAAAAAAAQAgAAAAJgEAAGRycy9lMm9Eb2MueG1s&#10;UEsFBgAAAAAGAAYAWQEAAMcFAAAAAA==&#10;">
                <v:fill on="t" focussize="0,0"/>
                <v:stroke color="#000000" miterlimit="8" joinstyle="miter"/>
                <v:imagedata o:title=""/>
                <o:lock v:ext="edit" aspectratio="f"/>
                <v:textbox>
                  <w:txbxContent>
                    <w:p w14:paraId="6164C62F">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30</w:t>
                      </w:r>
                      <w:r>
                        <w:rPr>
                          <w:rFonts w:hint="eastAsia" w:ascii="仿宋" w:hAnsi="仿宋" w:eastAsia="仿宋" w:cs="方正小标宋简体"/>
                          <w:b/>
                          <w:bCs/>
                          <w:sz w:val="28"/>
                          <w:szCs w:val="28"/>
                        </w:rPr>
                        <w:t xml:space="preserve"> ：</w:t>
                      </w:r>
                      <w:r>
                        <w:rPr>
                          <w:rFonts w:hint="eastAsia" w:ascii="仿宋" w:hAnsi="仿宋" w:eastAsia="仿宋" w:cs="方正小标宋简体"/>
                          <w:b/>
                          <w:bCs/>
                          <w:color w:val="000000"/>
                          <w:sz w:val="28"/>
                          <w:szCs w:val="28"/>
                        </w:rPr>
                        <w:t>花溪区黔陶乡赵司村赵司河集中式饮用水水源监管范围影像图</w:t>
                      </w:r>
                    </w:p>
                    <w:p w14:paraId="2E1E8A08">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v:textbox>
              </v:rect>
            </w:pict>
          </mc:Fallback>
        </mc:AlternateContent>
      </w:r>
      <w:r>
        <w:rPr>
          <w:rFonts w:eastAsia="仿宋"/>
          <w:b/>
          <w:kern w:val="0"/>
          <w:szCs w:val="24"/>
        </w:rPr>
        <w:br w:type="page"/>
      </w:r>
    </w:p>
    <w:p w14:paraId="386BBFFC">
      <w:pPr>
        <w:widowControl/>
        <w:spacing w:line="240" w:lineRule="auto"/>
        <w:jc w:val="left"/>
        <w:rPr>
          <w:rFonts w:eastAsia="仿宋"/>
          <w:b/>
          <w:kern w:val="0"/>
          <w:szCs w:val="24"/>
        </w:rPr>
        <w:sectPr>
          <w:pgSz w:w="16838" w:h="11906" w:orient="landscape"/>
          <w:pgMar w:top="1644" w:right="1440" w:bottom="1644" w:left="1440" w:header="851" w:footer="992" w:gutter="0"/>
          <w:cols w:space="425" w:num="1"/>
          <w:docGrid w:type="lines" w:linePitch="312" w:charSpace="0"/>
        </w:sectPr>
      </w:pPr>
    </w:p>
    <w:p w14:paraId="1448231E">
      <w:pPr>
        <w:widowControl/>
        <w:spacing w:line="240" w:lineRule="auto"/>
        <w:jc w:val="left"/>
        <w:rPr>
          <w:rFonts w:eastAsia="仿宋"/>
          <w:b/>
          <w:kern w:val="0"/>
          <w:szCs w:val="24"/>
        </w:rPr>
      </w:pPr>
      <w:r>
        <w:rPr>
          <w:rFonts w:eastAsia="仿宋"/>
          <w:b/>
          <w:kern w:val="0"/>
          <w:szCs w:val="24"/>
        </w:rPr>
        <mc:AlternateContent>
          <mc:Choice Requires="wps">
            <w:drawing>
              <wp:anchor distT="0" distB="0" distL="114300" distR="114300" simplePos="0" relativeHeight="251724800" behindDoc="0" locked="0" layoutInCell="1" allowOverlap="1">
                <wp:simplePos x="0" y="0"/>
                <wp:positionH relativeFrom="column">
                  <wp:posOffset>-264160</wp:posOffset>
                </wp:positionH>
                <wp:positionV relativeFrom="paragraph">
                  <wp:posOffset>-4445</wp:posOffset>
                </wp:positionV>
                <wp:extent cx="5889625" cy="434975"/>
                <wp:effectExtent l="8255" t="5080" r="7620" b="7620"/>
                <wp:wrapNone/>
                <wp:docPr id="80" name="Rectangle 80"/>
                <wp:cNvGraphicFramePr/>
                <a:graphic xmlns:a="http://schemas.openxmlformats.org/drawingml/2006/main">
                  <a:graphicData uri="http://schemas.microsoft.com/office/word/2010/wordprocessingShape">
                    <wps:wsp>
                      <wps:cNvSpPr>
                        <a:spLocks noChangeArrowheads="1"/>
                      </wps:cNvSpPr>
                      <wps:spPr bwMode="auto">
                        <a:xfrm>
                          <a:off x="0" y="0"/>
                          <a:ext cx="5889625" cy="434975"/>
                        </a:xfrm>
                        <a:prstGeom prst="rect">
                          <a:avLst/>
                        </a:prstGeom>
                        <a:solidFill>
                          <a:srgbClr val="FFFFFF"/>
                        </a:solidFill>
                        <a:ln w="9525">
                          <a:solidFill>
                            <a:srgbClr val="000000"/>
                          </a:solidFill>
                          <a:miter lim="800000"/>
                        </a:ln>
                      </wps:spPr>
                      <wps:txbx>
                        <w:txbxContent>
                          <w:p w14:paraId="4A8ECC47">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31</w:t>
                            </w:r>
                            <w:r>
                              <w:rPr>
                                <w:rFonts w:hint="eastAsia" w:ascii="仿宋" w:hAnsi="仿宋" w:eastAsia="仿宋" w:cs="方正小标宋简体"/>
                                <w:b/>
                                <w:bCs/>
                                <w:sz w:val="28"/>
                                <w:szCs w:val="28"/>
                              </w:rPr>
                              <w:t>：</w:t>
                            </w:r>
                            <w:r>
                              <w:rPr>
                                <w:rFonts w:hint="eastAsia" w:ascii="仿宋" w:hAnsi="仿宋" w:eastAsia="仿宋" w:cs="方正小标宋简体"/>
                                <w:b/>
                                <w:bCs/>
                                <w:color w:val="000000"/>
                                <w:sz w:val="28"/>
                                <w:szCs w:val="28"/>
                              </w:rPr>
                              <w:t>花溪区青岩镇达夯村坡六塘集中式饮用水水源监管范围划分图</w:t>
                            </w:r>
                          </w:p>
                          <w:p w14:paraId="53B68723">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wps:txbx>
                      <wps:bodyPr rot="0" vert="horz" wrap="square" lIns="91440" tIns="45720" rIns="91440" bIns="45720" anchor="t" anchorCtr="0" upright="1">
                        <a:noAutofit/>
                      </wps:bodyPr>
                    </wps:wsp>
                  </a:graphicData>
                </a:graphic>
              </wp:anchor>
            </w:drawing>
          </mc:Choice>
          <mc:Fallback>
            <w:pict>
              <v:rect id="Rectangle 80" o:spid="_x0000_s1026" o:spt="1" style="position:absolute;left:0pt;margin-left:-20.8pt;margin-top:-0.35pt;height:34.25pt;width:463.75pt;z-index:251724800;mso-width-relative:page;mso-height-relative:page;" fillcolor="#FFFFFF" filled="t" stroked="t" coordsize="21600,21600" o:gfxdata="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N/EsJjYAAAACAEAAA8AAAAAAAAAAQAgAAAAIgAAAGRycy9kb3ducmV2LnhtbFBLAQIU&#10;ABQAAAAIAIdO4kBO/ScMLAIAAH8EAAAOAAAAAAAAAAEAIAAAACcBAABkcnMvZTJvRG9jLnhtbFBL&#10;BQYAAAAABgAGAFkBAADFBQAAAAA=&#10;">
                <v:fill on="t" focussize="0,0"/>
                <v:stroke color="#000000" miterlimit="8" joinstyle="miter"/>
                <v:imagedata o:title=""/>
                <o:lock v:ext="edit" aspectratio="f"/>
                <v:textbox>
                  <w:txbxContent>
                    <w:p w14:paraId="4A8ECC47">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31</w:t>
                      </w:r>
                      <w:r>
                        <w:rPr>
                          <w:rFonts w:hint="eastAsia" w:ascii="仿宋" w:hAnsi="仿宋" w:eastAsia="仿宋" w:cs="方正小标宋简体"/>
                          <w:b/>
                          <w:bCs/>
                          <w:sz w:val="28"/>
                          <w:szCs w:val="28"/>
                        </w:rPr>
                        <w:t>：</w:t>
                      </w:r>
                      <w:r>
                        <w:rPr>
                          <w:rFonts w:hint="eastAsia" w:ascii="仿宋" w:hAnsi="仿宋" w:eastAsia="仿宋" w:cs="方正小标宋简体"/>
                          <w:b/>
                          <w:bCs/>
                          <w:color w:val="000000"/>
                          <w:sz w:val="28"/>
                          <w:szCs w:val="28"/>
                        </w:rPr>
                        <w:t>花溪区青岩镇达夯村坡六塘集中式饮用水水源监管范围划分图</w:t>
                      </w:r>
                    </w:p>
                    <w:p w14:paraId="53B68723">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v:textbox>
              </v:rect>
            </w:pict>
          </mc:Fallback>
        </mc:AlternateContent>
      </w:r>
    </w:p>
    <w:p w14:paraId="21398F2A">
      <w:pPr>
        <w:widowControl/>
        <w:spacing w:line="240" w:lineRule="auto"/>
        <w:jc w:val="left"/>
        <w:rPr>
          <w:rFonts w:eastAsia="仿宋"/>
          <w:b/>
          <w:kern w:val="0"/>
          <w:szCs w:val="24"/>
        </w:rPr>
      </w:pPr>
      <w:r>
        <w:rPr>
          <w:rFonts w:eastAsia="仿宋"/>
          <w:b/>
          <w:kern w:val="0"/>
          <w:szCs w:val="24"/>
        </w:rPr>
        <w:drawing>
          <wp:anchor distT="0" distB="0" distL="114300" distR="114300" simplePos="0" relativeHeight="251677696" behindDoc="0" locked="0" layoutInCell="1" allowOverlap="1">
            <wp:simplePos x="0" y="0"/>
            <wp:positionH relativeFrom="column">
              <wp:posOffset>-269240</wp:posOffset>
            </wp:positionH>
            <wp:positionV relativeFrom="paragraph">
              <wp:posOffset>220345</wp:posOffset>
            </wp:positionV>
            <wp:extent cx="5927725" cy="8268970"/>
            <wp:effectExtent l="0" t="0" r="0" b="0"/>
            <wp:wrapNone/>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a:xfrm>
                      <a:off x="0" y="0"/>
                      <a:ext cx="5927835" cy="8269255"/>
                    </a:xfrm>
                    <a:prstGeom prst="rect">
                      <a:avLst/>
                    </a:prstGeom>
                    <a:noFill/>
                    <a:ln>
                      <a:noFill/>
                    </a:ln>
                  </pic:spPr>
                </pic:pic>
              </a:graphicData>
            </a:graphic>
          </wp:anchor>
        </w:drawing>
      </w:r>
    </w:p>
    <w:p w14:paraId="0B976712">
      <w:pPr>
        <w:widowControl/>
        <w:jc w:val="center"/>
        <w:rPr>
          <w:rFonts w:eastAsia="仿宋"/>
          <w:b/>
          <w:kern w:val="0"/>
          <w:szCs w:val="24"/>
        </w:rPr>
      </w:pPr>
      <w:r>
        <w:rPr>
          <w:rFonts w:eastAsia="仿宋"/>
          <w:b/>
          <w:kern w:val="0"/>
          <w:szCs w:val="24"/>
        </w:rPr>
        <w:br w:type="page"/>
      </w:r>
    </w:p>
    <w:p w14:paraId="084030C8">
      <w:pPr>
        <w:widowControl/>
        <w:jc w:val="center"/>
        <w:rPr>
          <w:rFonts w:eastAsia="仿宋"/>
          <w:b/>
          <w:kern w:val="0"/>
          <w:szCs w:val="24"/>
        </w:rPr>
      </w:pPr>
      <w:r>
        <w:rPr>
          <w:rFonts w:eastAsia="仿宋"/>
          <w:b/>
          <w:kern w:val="0"/>
          <w:szCs w:val="24"/>
        </w:rPr>
        <mc:AlternateContent>
          <mc:Choice Requires="wps">
            <w:drawing>
              <wp:anchor distT="0" distB="0" distL="114300" distR="114300" simplePos="0" relativeHeight="251725824" behindDoc="0" locked="0" layoutInCell="1" allowOverlap="1">
                <wp:simplePos x="0" y="0"/>
                <wp:positionH relativeFrom="column">
                  <wp:posOffset>-107950</wp:posOffset>
                </wp:positionH>
                <wp:positionV relativeFrom="paragraph">
                  <wp:posOffset>9525</wp:posOffset>
                </wp:positionV>
                <wp:extent cx="5764530" cy="434975"/>
                <wp:effectExtent l="12065" t="9525" r="5080" b="12700"/>
                <wp:wrapNone/>
                <wp:docPr id="77" name="Rectangle 82"/>
                <wp:cNvGraphicFramePr/>
                <a:graphic xmlns:a="http://schemas.openxmlformats.org/drawingml/2006/main">
                  <a:graphicData uri="http://schemas.microsoft.com/office/word/2010/wordprocessingShape">
                    <wps:wsp>
                      <wps:cNvSpPr>
                        <a:spLocks noChangeArrowheads="1"/>
                      </wps:cNvSpPr>
                      <wps:spPr bwMode="auto">
                        <a:xfrm>
                          <a:off x="0" y="0"/>
                          <a:ext cx="5764530" cy="434975"/>
                        </a:xfrm>
                        <a:prstGeom prst="rect">
                          <a:avLst/>
                        </a:prstGeom>
                        <a:solidFill>
                          <a:srgbClr val="FFFFFF"/>
                        </a:solidFill>
                        <a:ln w="9525">
                          <a:solidFill>
                            <a:srgbClr val="000000"/>
                          </a:solidFill>
                          <a:miter lim="800000"/>
                        </a:ln>
                      </wps:spPr>
                      <wps:txbx>
                        <w:txbxContent>
                          <w:p w14:paraId="02988C42">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32</w:t>
                            </w:r>
                            <w:r>
                              <w:rPr>
                                <w:rFonts w:hint="eastAsia" w:ascii="仿宋" w:hAnsi="仿宋" w:eastAsia="仿宋" w:cs="方正小标宋简体"/>
                                <w:b/>
                                <w:bCs/>
                                <w:sz w:val="28"/>
                                <w:szCs w:val="28"/>
                              </w:rPr>
                              <w:t>：</w:t>
                            </w:r>
                            <w:r>
                              <w:rPr>
                                <w:rFonts w:hint="eastAsia" w:ascii="仿宋" w:hAnsi="仿宋" w:eastAsia="仿宋" w:cs="方正小标宋简体"/>
                                <w:b/>
                                <w:bCs/>
                                <w:color w:val="000000"/>
                                <w:sz w:val="28"/>
                                <w:szCs w:val="28"/>
                              </w:rPr>
                              <w:t>花溪区青岩镇达夯村坡六塘集中式饮用水水源监管范围影像图</w:t>
                            </w:r>
                          </w:p>
                          <w:p w14:paraId="2EC95CFE">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wps:txbx>
                      <wps:bodyPr rot="0" vert="horz" wrap="square" lIns="91440" tIns="45720" rIns="91440" bIns="45720" anchor="t" anchorCtr="0" upright="1">
                        <a:noAutofit/>
                      </wps:bodyPr>
                    </wps:wsp>
                  </a:graphicData>
                </a:graphic>
              </wp:anchor>
            </w:drawing>
          </mc:Choice>
          <mc:Fallback>
            <w:pict>
              <v:rect id="Rectangle 82" o:spid="_x0000_s1026" o:spt="1" style="position:absolute;left:0pt;margin-left:-8.5pt;margin-top:0.75pt;height:34.25pt;width:453.9pt;z-index:251725824;mso-width-relative:page;mso-height-relative:page;" fillcolor="#FFFFFF" filled="t" stroked="t" coordsize="21600,21600" o:gfxdata="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5B2LMdYAAAAIAQAADwAAAAAAAAABACAAAAAiAAAAZHJzL2Rvd25yZXYueG1sUEsB&#10;AhQAFAAAAAgAh07iQKGPuiwwAgAAfwQAAA4AAAAAAAAAAQAgAAAAJQEAAGRycy9lMm9Eb2MueG1s&#10;UEsFBgAAAAAGAAYAWQEAAMcFAAAAAA==&#10;">
                <v:fill on="t" focussize="0,0"/>
                <v:stroke color="#000000" miterlimit="8" joinstyle="miter"/>
                <v:imagedata o:title=""/>
                <o:lock v:ext="edit" aspectratio="f"/>
                <v:textbox>
                  <w:txbxContent>
                    <w:p w14:paraId="02988C42">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32</w:t>
                      </w:r>
                      <w:r>
                        <w:rPr>
                          <w:rFonts w:hint="eastAsia" w:ascii="仿宋" w:hAnsi="仿宋" w:eastAsia="仿宋" w:cs="方正小标宋简体"/>
                          <w:b/>
                          <w:bCs/>
                          <w:sz w:val="28"/>
                          <w:szCs w:val="28"/>
                        </w:rPr>
                        <w:t>：</w:t>
                      </w:r>
                      <w:r>
                        <w:rPr>
                          <w:rFonts w:hint="eastAsia" w:ascii="仿宋" w:hAnsi="仿宋" w:eastAsia="仿宋" w:cs="方正小标宋简体"/>
                          <w:b/>
                          <w:bCs/>
                          <w:color w:val="000000"/>
                          <w:sz w:val="28"/>
                          <w:szCs w:val="28"/>
                        </w:rPr>
                        <w:t>花溪区青岩镇达夯村坡六塘集中式饮用水水源监管范围影像图</w:t>
                      </w:r>
                    </w:p>
                    <w:p w14:paraId="2EC95CFE">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v:textbox>
              </v:rect>
            </w:pict>
          </mc:Fallback>
        </mc:AlternateContent>
      </w:r>
    </w:p>
    <w:p w14:paraId="3AAE3519">
      <w:pPr>
        <w:widowControl/>
        <w:spacing w:line="240" w:lineRule="auto"/>
        <w:jc w:val="left"/>
        <w:rPr>
          <w:rFonts w:eastAsia="仿宋"/>
          <w:b/>
          <w:kern w:val="0"/>
          <w:szCs w:val="24"/>
        </w:rPr>
      </w:pPr>
      <w:r>
        <w:rPr>
          <w:rFonts w:eastAsia="仿宋"/>
          <w:b/>
          <w:kern w:val="0"/>
          <w:szCs w:val="24"/>
        </w:rPr>
        <w:drawing>
          <wp:anchor distT="0" distB="0" distL="114300" distR="114300" simplePos="0" relativeHeight="251678720" behindDoc="0" locked="0" layoutInCell="1" allowOverlap="1">
            <wp:simplePos x="0" y="0"/>
            <wp:positionH relativeFrom="column">
              <wp:posOffset>-128270</wp:posOffset>
            </wp:positionH>
            <wp:positionV relativeFrom="paragraph">
              <wp:posOffset>79375</wp:posOffset>
            </wp:positionV>
            <wp:extent cx="5801360" cy="8091805"/>
            <wp:effectExtent l="0" t="0" r="0" b="0"/>
            <wp:wrapNone/>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a:xfrm>
                      <a:off x="0" y="0"/>
                      <a:ext cx="5801360" cy="8091805"/>
                    </a:xfrm>
                    <a:prstGeom prst="rect">
                      <a:avLst/>
                    </a:prstGeom>
                    <a:noFill/>
                    <a:ln>
                      <a:noFill/>
                    </a:ln>
                  </pic:spPr>
                </pic:pic>
              </a:graphicData>
            </a:graphic>
          </wp:anchor>
        </w:drawing>
      </w:r>
      <w:r>
        <w:rPr>
          <w:rFonts w:eastAsia="仿宋"/>
          <w:b/>
          <w:kern w:val="0"/>
          <w:szCs w:val="24"/>
        </w:rPr>
        <w:br w:type="page"/>
      </w:r>
    </w:p>
    <w:p w14:paraId="63C509C3">
      <w:pPr>
        <w:widowControl/>
        <w:jc w:val="center"/>
        <w:rPr>
          <w:rFonts w:eastAsia="仿宋"/>
          <w:b/>
          <w:kern w:val="0"/>
          <w:szCs w:val="24"/>
        </w:rPr>
        <w:sectPr>
          <w:pgSz w:w="11906" w:h="16838"/>
          <w:pgMar w:top="1440" w:right="1644" w:bottom="1440" w:left="1644" w:header="851" w:footer="992" w:gutter="0"/>
          <w:cols w:space="425" w:num="1"/>
          <w:docGrid w:type="lines" w:linePitch="312" w:charSpace="0"/>
        </w:sectPr>
      </w:pPr>
    </w:p>
    <w:p w14:paraId="0473A995">
      <w:pPr>
        <w:widowControl/>
        <w:jc w:val="center"/>
        <w:rPr>
          <w:rFonts w:eastAsia="仿宋"/>
          <w:b/>
          <w:kern w:val="0"/>
          <w:szCs w:val="24"/>
        </w:rPr>
      </w:pPr>
      <w:r>
        <w:rPr>
          <w:rFonts w:eastAsia="仿宋"/>
          <w:b/>
          <w:kern w:val="0"/>
          <w:szCs w:val="24"/>
        </w:rPr>
        <mc:AlternateContent>
          <mc:Choice Requires="wps">
            <w:drawing>
              <wp:anchor distT="0" distB="0" distL="114300" distR="114300" simplePos="0" relativeHeight="251726848" behindDoc="0" locked="0" layoutInCell="1" allowOverlap="1">
                <wp:simplePos x="0" y="0"/>
                <wp:positionH relativeFrom="column">
                  <wp:posOffset>740410</wp:posOffset>
                </wp:positionH>
                <wp:positionV relativeFrom="paragraph">
                  <wp:posOffset>78105</wp:posOffset>
                </wp:positionV>
                <wp:extent cx="7308215" cy="434975"/>
                <wp:effectExtent l="6985" t="7620" r="9525" b="5080"/>
                <wp:wrapNone/>
                <wp:docPr id="76" name="Rectangle 84"/>
                <wp:cNvGraphicFramePr/>
                <a:graphic xmlns:a="http://schemas.openxmlformats.org/drawingml/2006/main">
                  <a:graphicData uri="http://schemas.microsoft.com/office/word/2010/wordprocessingShape">
                    <wps:wsp>
                      <wps:cNvSpPr>
                        <a:spLocks noChangeArrowheads="1"/>
                      </wps:cNvSpPr>
                      <wps:spPr bwMode="auto">
                        <a:xfrm>
                          <a:off x="0" y="0"/>
                          <a:ext cx="7308215" cy="434975"/>
                        </a:xfrm>
                        <a:prstGeom prst="rect">
                          <a:avLst/>
                        </a:prstGeom>
                        <a:solidFill>
                          <a:srgbClr val="FFFFFF"/>
                        </a:solidFill>
                        <a:ln w="9525">
                          <a:solidFill>
                            <a:srgbClr val="000000"/>
                          </a:solidFill>
                          <a:miter lim="800000"/>
                        </a:ln>
                      </wps:spPr>
                      <wps:txbx>
                        <w:txbxContent>
                          <w:p w14:paraId="0BF5FAB3">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33</w:t>
                            </w:r>
                            <w:r>
                              <w:rPr>
                                <w:rFonts w:hint="eastAsia" w:ascii="仿宋" w:hAnsi="仿宋" w:eastAsia="仿宋" w:cs="方正小标宋简体"/>
                                <w:b/>
                                <w:bCs/>
                                <w:sz w:val="28"/>
                                <w:szCs w:val="28"/>
                              </w:rPr>
                              <w:t xml:space="preserve"> ：</w:t>
                            </w:r>
                            <w:r>
                              <w:rPr>
                                <w:rFonts w:hint="eastAsia" w:ascii="仿宋" w:hAnsi="仿宋" w:eastAsia="仿宋" w:cs="方正小标宋简体"/>
                                <w:b/>
                                <w:bCs/>
                                <w:color w:val="000000"/>
                                <w:sz w:val="28"/>
                                <w:szCs w:val="28"/>
                              </w:rPr>
                              <w:t>花溪区青岩镇龙井村集中式饮用水水源监管范围划分图</w:t>
                            </w:r>
                          </w:p>
                          <w:p w14:paraId="4E2F9B2F">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wps:txbx>
                      <wps:bodyPr rot="0" vert="horz" wrap="square" lIns="91440" tIns="45720" rIns="91440" bIns="45720" anchor="t" anchorCtr="0" upright="1">
                        <a:noAutofit/>
                      </wps:bodyPr>
                    </wps:wsp>
                  </a:graphicData>
                </a:graphic>
              </wp:anchor>
            </w:drawing>
          </mc:Choice>
          <mc:Fallback>
            <w:pict>
              <v:rect id="Rectangle 84" o:spid="_x0000_s1026" o:spt="1" style="position:absolute;left:0pt;margin-left:58.3pt;margin-top:6.15pt;height:34.25pt;width:575.45pt;z-index:251726848;mso-width-relative:page;mso-height-relative:page;" fillcolor="#FFFFFF" filled="t" stroked="t" coordsize="21600,21600" o:gfxdata="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BcoK5PXAAAACgEAAA8AAAAAAAAAAQAgAAAAIgAAAGRycy9kb3ducmV2LnhtbFBL&#10;AQIUABQAAAAIAIdO4kBKCPdUMAIAAH8EAAAOAAAAAAAAAAEAIAAAACYBAABkcnMvZTJvRG9jLnht&#10;bFBLBQYAAAAABgAGAFkBAADIBQAAAAA=&#10;">
                <v:fill on="t" focussize="0,0"/>
                <v:stroke color="#000000" miterlimit="8" joinstyle="miter"/>
                <v:imagedata o:title=""/>
                <o:lock v:ext="edit" aspectratio="f"/>
                <v:textbox>
                  <w:txbxContent>
                    <w:p w14:paraId="0BF5FAB3">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33</w:t>
                      </w:r>
                      <w:r>
                        <w:rPr>
                          <w:rFonts w:hint="eastAsia" w:ascii="仿宋" w:hAnsi="仿宋" w:eastAsia="仿宋" w:cs="方正小标宋简体"/>
                          <w:b/>
                          <w:bCs/>
                          <w:sz w:val="28"/>
                          <w:szCs w:val="28"/>
                        </w:rPr>
                        <w:t xml:space="preserve"> ：</w:t>
                      </w:r>
                      <w:r>
                        <w:rPr>
                          <w:rFonts w:hint="eastAsia" w:ascii="仿宋" w:hAnsi="仿宋" w:eastAsia="仿宋" w:cs="方正小标宋简体"/>
                          <w:b/>
                          <w:bCs/>
                          <w:color w:val="000000"/>
                          <w:sz w:val="28"/>
                          <w:szCs w:val="28"/>
                        </w:rPr>
                        <w:t>花溪区青岩镇龙井村集中式饮用水水源监管范围划分图</w:t>
                      </w:r>
                    </w:p>
                    <w:p w14:paraId="4E2F9B2F">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v:textbox>
              </v:rect>
            </w:pict>
          </mc:Fallback>
        </mc:AlternateContent>
      </w:r>
    </w:p>
    <w:p w14:paraId="48BE5FCB">
      <w:pPr>
        <w:widowControl/>
        <w:spacing w:line="240" w:lineRule="auto"/>
        <w:jc w:val="left"/>
        <w:rPr>
          <w:rFonts w:eastAsia="仿宋"/>
          <w:b/>
          <w:kern w:val="0"/>
          <w:szCs w:val="24"/>
        </w:rPr>
      </w:pPr>
    </w:p>
    <w:p w14:paraId="68A19180">
      <w:pPr>
        <w:widowControl/>
        <w:spacing w:line="240" w:lineRule="auto"/>
        <w:jc w:val="left"/>
        <w:rPr>
          <w:rFonts w:eastAsia="仿宋"/>
          <w:b/>
          <w:kern w:val="0"/>
          <w:szCs w:val="24"/>
        </w:rPr>
      </w:pPr>
      <w:r>
        <w:rPr>
          <w:rFonts w:eastAsia="仿宋"/>
          <w:b/>
          <w:kern w:val="0"/>
          <w:szCs w:val="24"/>
        </w:rPr>
        <w:drawing>
          <wp:anchor distT="0" distB="0" distL="114300" distR="114300" simplePos="0" relativeHeight="251679744" behindDoc="0" locked="0" layoutInCell="1" allowOverlap="1">
            <wp:simplePos x="0" y="0"/>
            <wp:positionH relativeFrom="column">
              <wp:posOffset>732790</wp:posOffset>
            </wp:positionH>
            <wp:positionV relativeFrom="paragraph">
              <wp:posOffset>12700</wp:posOffset>
            </wp:positionV>
            <wp:extent cx="7312660" cy="4923155"/>
            <wp:effectExtent l="0" t="0" r="0" b="0"/>
            <wp:wrapNone/>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a:xfrm>
                      <a:off x="0" y="0"/>
                      <a:ext cx="7312909" cy="4922875"/>
                    </a:xfrm>
                    <a:prstGeom prst="rect">
                      <a:avLst/>
                    </a:prstGeom>
                    <a:noFill/>
                    <a:ln>
                      <a:noFill/>
                    </a:ln>
                  </pic:spPr>
                </pic:pic>
              </a:graphicData>
            </a:graphic>
          </wp:anchor>
        </w:drawing>
      </w:r>
    </w:p>
    <w:p w14:paraId="223F7ED5">
      <w:pPr>
        <w:widowControl/>
        <w:spacing w:line="240" w:lineRule="auto"/>
        <w:jc w:val="left"/>
        <w:rPr>
          <w:rFonts w:eastAsia="仿宋"/>
          <w:b/>
          <w:kern w:val="0"/>
          <w:szCs w:val="24"/>
        </w:rPr>
      </w:pPr>
    </w:p>
    <w:p w14:paraId="6D544A9B">
      <w:pPr>
        <w:widowControl/>
        <w:spacing w:line="240" w:lineRule="auto"/>
        <w:jc w:val="left"/>
        <w:rPr>
          <w:rFonts w:eastAsia="仿宋"/>
          <w:b/>
          <w:kern w:val="0"/>
          <w:szCs w:val="24"/>
        </w:rPr>
      </w:pPr>
    </w:p>
    <w:p w14:paraId="6942EA81">
      <w:pPr>
        <w:widowControl/>
        <w:spacing w:line="240" w:lineRule="auto"/>
        <w:jc w:val="left"/>
        <w:rPr>
          <w:rFonts w:eastAsia="仿宋"/>
          <w:b/>
          <w:kern w:val="0"/>
          <w:szCs w:val="24"/>
        </w:rPr>
      </w:pPr>
    </w:p>
    <w:p w14:paraId="179B31CE">
      <w:pPr>
        <w:widowControl/>
        <w:spacing w:line="240" w:lineRule="auto"/>
        <w:jc w:val="left"/>
        <w:rPr>
          <w:rFonts w:eastAsia="仿宋"/>
          <w:b/>
          <w:kern w:val="0"/>
          <w:szCs w:val="24"/>
        </w:rPr>
      </w:pPr>
    </w:p>
    <w:p w14:paraId="2F78FE5A">
      <w:pPr>
        <w:widowControl/>
        <w:spacing w:line="240" w:lineRule="auto"/>
        <w:jc w:val="left"/>
        <w:rPr>
          <w:rFonts w:eastAsia="仿宋"/>
          <w:b/>
          <w:kern w:val="0"/>
          <w:szCs w:val="24"/>
        </w:rPr>
      </w:pPr>
    </w:p>
    <w:p w14:paraId="0923CB98">
      <w:pPr>
        <w:widowControl/>
        <w:spacing w:line="240" w:lineRule="auto"/>
        <w:jc w:val="left"/>
        <w:rPr>
          <w:rFonts w:eastAsia="仿宋"/>
          <w:b/>
          <w:kern w:val="0"/>
          <w:szCs w:val="24"/>
        </w:rPr>
      </w:pPr>
    </w:p>
    <w:p w14:paraId="45BCFA50">
      <w:pPr>
        <w:widowControl/>
        <w:spacing w:line="240" w:lineRule="auto"/>
        <w:jc w:val="left"/>
        <w:rPr>
          <w:rFonts w:eastAsia="仿宋"/>
          <w:b/>
          <w:kern w:val="0"/>
          <w:szCs w:val="24"/>
        </w:rPr>
      </w:pPr>
    </w:p>
    <w:p w14:paraId="7EBDD040">
      <w:pPr>
        <w:widowControl/>
        <w:spacing w:line="240" w:lineRule="auto"/>
        <w:jc w:val="left"/>
        <w:rPr>
          <w:rFonts w:eastAsia="仿宋"/>
          <w:b/>
          <w:kern w:val="0"/>
          <w:szCs w:val="24"/>
        </w:rPr>
      </w:pPr>
    </w:p>
    <w:p w14:paraId="2E0778D6">
      <w:pPr>
        <w:widowControl/>
        <w:spacing w:line="240" w:lineRule="auto"/>
        <w:jc w:val="left"/>
        <w:rPr>
          <w:rFonts w:eastAsia="仿宋"/>
          <w:b/>
          <w:kern w:val="0"/>
          <w:szCs w:val="24"/>
        </w:rPr>
      </w:pPr>
    </w:p>
    <w:p w14:paraId="1D8E316A">
      <w:pPr>
        <w:widowControl/>
        <w:spacing w:line="240" w:lineRule="auto"/>
        <w:jc w:val="left"/>
        <w:rPr>
          <w:rFonts w:eastAsia="仿宋"/>
          <w:b/>
          <w:kern w:val="0"/>
          <w:szCs w:val="24"/>
        </w:rPr>
      </w:pPr>
    </w:p>
    <w:p w14:paraId="64C0C386">
      <w:pPr>
        <w:widowControl/>
        <w:spacing w:line="240" w:lineRule="auto"/>
        <w:jc w:val="left"/>
        <w:rPr>
          <w:rFonts w:eastAsia="仿宋"/>
          <w:b/>
          <w:kern w:val="0"/>
          <w:szCs w:val="24"/>
        </w:rPr>
      </w:pPr>
    </w:p>
    <w:p w14:paraId="40768296">
      <w:pPr>
        <w:widowControl/>
        <w:spacing w:line="240" w:lineRule="auto"/>
        <w:jc w:val="left"/>
        <w:rPr>
          <w:rFonts w:eastAsia="仿宋"/>
          <w:b/>
          <w:kern w:val="0"/>
          <w:szCs w:val="24"/>
        </w:rPr>
      </w:pPr>
    </w:p>
    <w:p w14:paraId="6259A7B2">
      <w:pPr>
        <w:widowControl/>
        <w:spacing w:line="240" w:lineRule="auto"/>
        <w:jc w:val="left"/>
        <w:rPr>
          <w:rFonts w:eastAsia="仿宋"/>
          <w:b/>
          <w:kern w:val="0"/>
          <w:szCs w:val="24"/>
        </w:rPr>
      </w:pPr>
    </w:p>
    <w:p w14:paraId="2EA01FB1">
      <w:pPr>
        <w:widowControl/>
        <w:spacing w:line="240" w:lineRule="auto"/>
        <w:jc w:val="left"/>
        <w:rPr>
          <w:rFonts w:eastAsia="仿宋"/>
          <w:b/>
          <w:kern w:val="0"/>
          <w:szCs w:val="24"/>
        </w:rPr>
      </w:pPr>
    </w:p>
    <w:p w14:paraId="42B7EF51">
      <w:pPr>
        <w:widowControl/>
        <w:spacing w:line="240" w:lineRule="auto"/>
        <w:jc w:val="left"/>
        <w:rPr>
          <w:rFonts w:eastAsia="仿宋"/>
          <w:b/>
          <w:kern w:val="0"/>
          <w:szCs w:val="24"/>
        </w:rPr>
      </w:pPr>
    </w:p>
    <w:p w14:paraId="50993C0D">
      <w:pPr>
        <w:widowControl/>
        <w:spacing w:line="240" w:lineRule="auto"/>
        <w:jc w:val="left"/>
        <w:rPr>
          <w:rFonts w:eastAsia="仿宋"/>
          <w:b/>
          <w:kern w:val="0"/>
          <w:szCs w:val="24"/>
        </w:rPr>
      </w:pPr>
    </w:p>
    <w:p w14:paraId="64EFAC4C">
      <w:pPr>
        <w:widowControl/>
        <w:spacing w:line="240" w:lineRule="auto"/>
        <w:jc w:val="left"/>
        <w:rPr>
          <w:rFonts w:eastAsia="仿宋"/>
          <w:b/>
          <w:kern w:val="0"/>
          <w:szCs w:val="24"/>
        </w:rPr>
      </w:pPr>
    </w:p>
    <w:p w14:paraId="5577BE3C">
      <w:pPr>
        <w:widowControl/>
        <w:spacing w:line="240" w:lineRule="auto"/>
        <w:jc w:val="left"/>
        <w:rPr>
          <w:rFonts w:eastAsia="仿宋"/>
          <w:b/>
          <w:kern w:val="0"/>
          <w:szCs w:val="24"/>
        </w:rPr>
      </w:pPr>
    </w:p>
    <w:p w14:paraId="392B2FE1">
      <w:pPr>
        <w:widowControl/>
        <w:spacing w:line="240" w:lineRule="auto"/>
        <w:jc w:val="left"/>
        <w:rPr>
          <w:rFonts w:eastAsia="仿宋"/>
          <w:b/>
          <w:kern w:val="0"/>
          <w:szCs w:val="24"/>
        </w:rPr>
      </w:pPr>
    </w:p>
    <w:p w14:paraId="43352636">
      <w:pPr>
        <w:widowControl/>
        <w:spacing w:line="240" w:lineRule="auto"/>
        <w:jc w:val="left"/>
        <w:rPr>
          <w:rFonts w:eastAsia="仿宋"/>
          <w:b/>
          <w:kern w:val="0"/>
          <w:szCs w:val="24"/>
        </w:rPr>
      </w:pPr>
    </w:p>
    <w:p w14:paraId="1360F1BC">
      <w:pPr>
        <w:widowControl/>
        <w:spacing w:line="240" w:lineRule="auto"/>
        <w:jc w:val="left"/>
        <w:rPr>
          <w:rFonts w:eastAsia="仿宋"/>
          <w:b/>
          <w:kern w:val="0"/>
          <w:szCs w:val="24"/>
        </w:rPr>
      </w:pPr>
    </w:p>
    <w:p w14:paraId="4B371E5C">
      <w:pPr>
        <w:widowControl/>
        <w:spacing w:line="240" w:lineRule="auto"/>
        <w:jc w:val="left"/>
        <w:rPr>
          <w:rFonts w:eastAsia="仿宋"/>
          <w:b/>
          <w:kern w:val="0"/>
          <w:szCs w:val="24"/>
        </w:rPr>
      </w:pPr>
    </w:p>
    <w:p w14:paraId="3DB80F0C">
      <w:pPr>
        <w:widowControl/>
        <w:spacing w:line="240" w:lineRule="auto"/>
        <w:jc w:val="left"/>
        <w:rPr>
          <w:rFonts w:eastAsia="仿宋"/>
          <w:b/>
          <w:kern w:val="0"/>
          <w:szCs w:val="24"/>
        </w:rPr>
      </w:pPr>
    </w:p>
    <w:p w14:paraId="1E468ECE">
      <w:pPr>
        <w:widowControl/>
        <w:spacing w:line="240" w:lineRule="auto"/>
        <w:jc w:val="left"/>
        <w:rPr>
          <w:rFonts w:eastAsia="仿宋"/>
          <w:b/>
          <w:kern w:val="0"/>
          <w:szCs w:val="24"/>
        </w:rPr>
      </w:pPr>
    </w:p>
    <w:p w14:paraId="412F7E98">
      <w:pPr>
        <w:widowControl/>
        <w:spacing w:line="240" w:lineRule="auto"/>
        <w:jc w:val="left"/>
        <w:rPr>
          <w:rFonts w:eastAsia="仿宋"/>
          <w:b/>
          <w:kern w:val="0"/>
          <w:szCs w:val="24"/>
        </w:rPr>
      </w:pPr>
      <w:r>
        <w:rPr>
          <w:rFonts w:eastAsia="仿宋"/>
          <w:b/>
          <w:kern w:val="0"/>
          <w:szCs w:val="24"/>
        </w:rPr>
        <mc:AlternateContent>
          <mc:Choice Requires="wps">
            <w:drawing>
              <wp:anchor distT="0" distB="0" distL="114300" distR="114300" simplePos="0" relativeHeight="251727872" behindDoc="0" locked="0" layoutInCell="1" allowOverlap="1">
                <wp:simplePos x="0" y="0"/>
                <wp:positionH relativeFrom="column">
                  <wp:posOffset>729615</wp:posOffset>
                </wp:positionH>
                <wp:positionV relativeFrom="paragraph">
                  <wp:posOffset>29845</wp:posOffset>
                </wp:positionV>
                <wp:extent cx="7521575" cy="434975"/>
                <wp:effectExtent l="5715" t="6985" r="6985" b="5715"/>
                <wp:wrapNone/>
                <wp:docPr id="73" name="Rectangle 86"/>
                <wp:cNvGraphicFramePr/>
                <a:graphic xmlns:a="http://schemas.openxmlformats.org/drawingml/2006/main">
                  <a:graphicData uri="http://schemas.microsoft.com/office/word/2010/wordprocessingShape">
                    <wps:wsp>
                      <wps:cNvSpPr>
                        <a:spLocks noChangeArrowheads="1"/>
                      </wps:cNvSpPr>
                      <wps:spPr bwMode="auto">
                        <a:xfrm>
                          <a:off x="0" y="0"/>
                          <a:ext cx="7521575" cy="434975"/>
                        </a:xfrm>
                        <a:prstGeom prst="rect">
                          <a:avLst/>
                        </a:prstGeom>
                        <a:solidFill>
                          <a:srgbClr val="FFFFFF"/>
                        </a:solidFill>
                        <a:ln w="9525">
                          <a:solidFill>
                            <a:srgbClr val="000000"/>
                          </a:solidFill>
                          <a:miter lim="800000"/>
                        </a:ln>
                      </wps:spPr>
                      <wps:txbx>
                        <w:txbxContent>
                          <w:p w14:paraId="30B3224A">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34</w:t>
                            </w:r>
                            <w:r>
                              <w:rPr>
                                <w:rFonts w:hint="eastAsia" w:ascii="仿宋" w:hAnsi="仿宋" w:eastAsia="仿宋" w:cs="方正小标宋简体"/>
                                <w:b/>
                                <w:bCs/>
                                <w:sz w:val="28"/>
                                <w:szCs w:val="28"/>
                              </w:rPr>
                              <w:t xml:space="preserve"> ：</w:t>
                            </w:r>
                            <w:r>
                              <w:rPr>
                                <w:rFonts w:hint="eastAsia" w:ascii="仿宋" w:hAnsi="仿宋" w:eastAsia="仿宋" w:cs="方正小标宋简体"/>
                                <w:b/>
                                <w:bCs/>
                                <w:color w:val="000000"/>
                                <w:sz w:val="28"/>
                                <w:szCs w:val="28"/>
                              </w:rPr>
                              <w:t>花溪区青岩镇龙井村集中式饮用水水源监管范围影像图</w:t>
                            </w:r>
                          </w:p>
                          <w:p w14:paraId="31B41EDC">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wps:txbx>
                      <wps:bodyPr rot="0" vert="horz" wrap="square" lIns="91440" tIns="45720" rIns="91440" bIns="45720" anchor="t" anchorCtr="0" upright="1">
                        <a:noAutofit/>
                      </wps:bodyPr>
                    </wps:wsp>
                  </a:graphicData>
                </a:graphic>
              </wp:anchor>
            </w:drawing>
          </mc:Choice>
          <mc:Fallback>
            <w:pict>
              <v:rect id="Rectangle 86" o:spid="_x0000_s1026" o:spt="1" style="position:absolute;left:0pt;margin-left:57.45pt;margin-top:2.35pt;height:34.25pt;width:592.25pt;z-index:251727872;mso-width-relative:page;mso-height-relative:page;" fillcolor="#FFFFFF" filled="t" stroked="t" coordsize="21600,21600" o:gfxdata="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AfbwBtcAAAAJAQAADwAAAAAAAAABACAAAAAiAAAAZHJzL2Rvd25yZXYueG1sUEsB&#10;AhQAFAAAAAgAh07iQH8LCwwvAgAAfwQAAA4AAAAAAAAAAQAgAAAAJgEAAGRycy9lMm9Eb2MueG1s&#10;UEsFBgAAAAAGAAYAWQEAAMcFAAAAAA==&#10;">
                <v:fill on="t" focussize="0,0"/>
                <v:stroke color="#000000" miterlimit="8" joinstyle="miter"/>
                <v:imagedata o:title=""/>
                <o:lock v:ext="edit" aspectratio="f"/>
                <v:textbox>
                  <w:txbxContent>
                    <w:p w14:paraId="30B3224A">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34</w:t>
                      </w:r>
                      <w:r>
                        <w:rPr>
                          <w:rFonts w:hint="eastAsia" w:ascii="仿宋" w:hAnsi="仿宋" w:eastAsia="仿宋" w:cs="方正小标宋简体"/>
                          <w:b/>
                          <w:bCs/>
                          <w:sz w:val="28"/>
                          <w:szCs w:val="28"/>
                        </w:rPr>
                        <w:t xml:space="preserve"> ：</w:t>
                      </w:r>
                      <w:r>
                        <w:rPr>
                          <w:rFonts w:hint="eastAsia" w:ascii="仿宋" w:hAnsi="仿宋" w:eastAsia="仿宋" w:cs="方正小标宋简体"/>
                          <w:b/>
                          <w:bCs/>
                          <w:color w:val="000000"/>
                          <w:sz w:val="28"/>
                          <w:szCs w:val="28"/>
                        </w:rPr>
                        <w:t>花溪区青岩镇龙井村集中式饮用水水源监管范围影像图</w:t>
                      </w:r>
                    </w:p>
                    <w:p w14:paraId="31B41EDC">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v:textbox>
              </v:rect>
            </w:pict>
          </mc:Fallback>
        </mc:AlternateContent>
      </w:r>
    </w:p>
    <w:p w14:paraId="60C6F82B">
      <w:pPr>
        <w:widowControl/>
        <w:spacing w:line="240" w:lineRule="auto"/>
        <w:jc w:val="left"/>
        <w:rPr>
          <w:rFonts w:eastAsia="仿宋"/>
          <w:b/>
          <w:kern w:val="0"/>
          <w:szCs w:val="24"/>
        </w:rPr>
      </w:pPr>
    </w:p>
    <w:p w14:paraId="7B2E9A9E">
      <w:pPr>
        <w:widowControl/>
        <w:spacing w:line="240" w:lineRule="auto"/>
        <w:jc w:val="left"/>
        <w:rPr>
          <w:rFonts w:eastAsia="仿宋"/>
          <w:b/>
          <w:kern w:val="0"/>
          <w:szCs w:val="24"/>
        </w:rPr>
      </w:pPr>
      <w:r>
        <w:rPr>
          <w:rFonts w:hint="eastAsia" w:eastAsia="仿宋"/>
          <w:b/>
          <w:kern w:val="0"/>
          <w:szCs w:val="24"/>
        </w:rPr>
        <w:drawing>
          <wp:anchor distT="0" distB="0" distL="114300" distR="114300" simplePos="0" relativeHeight="251680768" behindDoc="0" locked="0" layoutInCell="1" allowOverlap="1">
            <wp:simplePos x="0" y="0"/>
            <wp:positionH relativeFrom="column">
              <wp:posOffset>721360</wp:posOffset>
            </wp:positionH>
            <wp:positionV relativeFrom="paragraph">
              <wp:posOffset>40640</wp:posOffset>
            </wp:positionV>
            <wp:extent cx="7527925" cy="5064125"/>
            <wp:effectExtent l="0" t="0" r="0" b="0"/>
            <wp:wrapNone/>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a:xfrm>
                      <a:off x="0" y="0"/>
                      <a:ext cx="7527851" cy="5064404"/>
                    </a:xfrm>
                    <a:prstGeom prst="rect">
                      <a:avLst/>
                    </a:prstGeom>
                    <a:noFill/>
                    <a:ln>
                      <a:noFill/>
                    </a:ln>
                  </pic:spPr>
                </pic:pic>
              </a:graphicData>
            </a:graphic>
          </wp:anchor>
        </w:drawing>
      </w:r>
    </w:p>
    <w:p w14:paraId="70015D84">
      <w:pPr>
        <w:widowControl/>
        <w:spacing w:line="240" w:lineRule="auto"/>
        <w:jc w:val="left"/>
        <w:rPr>
          <w:rFonts w:eastAsia="仿宋"/>
          <w:b/>
          <w:kern w:val="0"/>
          <w:szCs w:val="24"/>
        </w:rPr>
      </w:pPr>
    </w:p>
    <w:p w14:paraId="0200CEB9">
      <w:pPr>
        <w:widowControl/>
        <w:spacing w:line="240" w:lineRule="auto"/>
        <w:jc w:val="left"/>
        <w:rPr>
          <w:rFonts w:eastAsia="仿宋"/>
          <w:b/>
          <w:kern w:val="0"/>
          <w:szCs w:val="24"/>
        </w:rPr>
      </w:pPr>
    </w:p>
    <w:p w14:paraId="6795E7E7">
      <w:pPr>
        <w:widowControl/>
        <w:spacing w:line="240" w:lineRule="auto"/>
        <w:jc w:val="left"/>
        <w:rPr>
          <w:rFonts w:eastAsia="仿宋"/>
          <w:b/>
          <w:kern w:val="0"/>
          <w:szCs w:val="24"/>
        </w:rPr>
      </w:pPr>
    </w:p>
    <w:p w14:paraId="51BB447E">
      <w:pPr>
        <w:widowControl/>
        <w:spacing w:line="240" w:lineRule="auto"/>
        <w:jc w:val="left"/>
        <w:rPr>
          <w:rFonts w:eastAsia="仿宋"/>
          <w:b/>
          <w:kern w:val="0"/>
          <w:szCs w:val="24"/>
        </w:rPr>
      </w:pPr>
    </w:p>
    <w:p w14:paraId="250BAA18">
      <w:pPr>
        <w:widowControl/>
        <w:spacing w:line="240" w:lineRule="auto"/>
        <w:jc w:val="left"/>
        <w:rPr>
          <w:rFonts w:eastAsia="仿宋"/>
          <w:b/>
          <w:kern w:val="0"/>
          <w:szCs w:val="24"/>
        </w:rPr>
      </w:pPr>
    </w:p>
    <w:p w14:paraId="3755A0A1">
      <w:pPr>
        <w:widowControl/>
        <w:spacing w:line="240" w:lineRule="auto"/>
        <w:jc w:val="left"/>
        <w:rPr>
          <w:rFonts w:eastAsia="仿宋"/>
          <w:b/>
          <w:kern w:val="0"/>
          <w:szCs w:val="24"/>
        </w:rPr>
      </w:pPr>
    </w:p>
    <w:p w14:paraId="1000E17F">
      <w:pPr>
        <w:widowControl/>
        <w:spacing w:line="240" w:lineRule="auto"/>
        <w:jc w:val="left"/>
        <w:rPr>
          <w:rFonts w:eastAsia="仿宋"/>
          <w:b/>
          <w:kern w:val="0"/>
          <w:szCs w:val="24"/>
        </w:rPr>
      </w:pPr>
    </w:p>
    <w:p w14:paraId="41CC696E">
      <w:pPr>
        <w:widowControl/>
        <w:spacing w:line="240" w:lineRule="auto"/>
        <w:jc w:val="left"/>
        <w:rPr>
          <w:rFonts w:eastAsia="仿宋"/>
          <w:b/>
          <w:kern w:val="0"/>
          <w:szCs w:val="24"/>
        </w:rPr>
      </w:pPr>
    </w:p>
    <w:p w14:paraId="08662193">
      <w:pPr>
        <w:widowControl/>
        <w:spacing w:line="240" w:lineRule="auto"/>
        <w:jc w:val="left"/>
        <w:rPr>
          <w:rFonts w:eastAsia="仿宋"/>
          <w:b/>
          <w:kern w:val="0"/>
          <w:szCs w:val="24"/>
        </w:rPr>
      </w:pPr>
    </w:p>
    <w:p w14:paraId="0A4C3EB5">
      <w:pPr>
        <w:widowControl/>
        <w:spacing w:line="240" w:lineRule="auto"/>
        <w:jc w:val="left"/>
        <w:rPr>
          <w:rFonts w:eastAsia="仿宋"/>
          <w:b/>
          <w:kern w:val="0"/>
          <w:szCs w:val="24"/>
        </w:rPr>
      </w:pPr>
    </w:p>
    <w:p w14:paraId="69925833">
      <w:pPr>
        <w:widowControl/>
        <w:spacing w:line="240" w:lineRule="auto"/>
        <w:jc w:val="left"/>
        <w:rPr>
          <w:rFonts w:eastAsia="仿宋"/>
          <w:b/>
          <w:kern w:val="0"/>
          <w:szCs w:val="24"/>
        </w:rPr>
      </w:pPr>
    </w:p>
    <w:p w14:paraId="422D476F">
      <w:pPr>
        <w:widowControl/>
        <w:spacing w:line="240" w:lineRule="auto"/>
        <w:jc w:val="left"/>
        <w:rPr>
          <w:rFonts w:eastAsia="仿宋"/>
          <w:b/>
          <w:kern w:val="0"/>
          <w:szCs w:val="24"/>
        </w:rPr>
      </w:pPr>
    </w:p>
    <w:p w14:paraId="273E28F8">
      <w:pPr>
        <w:widowControl/>
        <w:spacing w:line="240" w:lineRule="auto"/>
        <w:jc w:val="left"/>
        <w:rPr>
          <w:rFonts w:eastAsia="仿宋"/>
          <w:b/>
          <w:kern w:val="0"/>
          <w:szCs w:val="24"/>
        </w:rPr>
      </w:pPr>
    </w:p>
    <w:p w14:paraId="1D090E5F">
      <w:pPr>
        <w:widowControl/>
        <w:spacing w:line="240" w:lineRule="auto"/>
        <w:jc w:val="left"/>
        <w:rPr>
          <w:rFonts w:eastAsia="仿宋"/>
          <w:b/>
          <w:kern w:val="0"/>
          <w:szCs w:val="24"/>
        </w:rPr>
      </w:pPr>
    </w:p>
    <w:p w14:paraId="03AA89DD">
      <w:pPr>
        <w:widowControl/>
        <w:spacing w:line="240" w:lineRule="auto"/>
        <w:jc w:val="left"/>
        <w:rPr>
          <w:rFonts w:eastAsia="仿宋"/>
          <w:b/>
          <w:kern w:val="0"/>
          <w:szCs w:val="24"/>
        </w:rPr>
      </w:pPr>
    </w:p>
    <w:p w14:paraId="34058409">
      <w:pPr>
        <w:widowControl/>
        <w:spacing w:line="240" w:lineRule="auto"/>
        <w:jc w:val="left"/>
        <w:rPr>
          <w:rFonts w:eastAsia="仿宋"/>
          <w:b/>
          <w:kern w:val="0"/>
          <w:szCs w:val="24"/>
        </w:rPr>
      </w:pPr>
    </w:p>
    <w:p w14:paraId="4BB183B5">
      <w:pPr>
        <w:widowControl/>
        <w:spacing w:line="240" w:lineRule="auto"/>
        <w:jc w:val="left"/>
        <w:rPr>
          <w:rFonts w:eastAsia="仿宋"/>
          <w:b/>
          <w:kern w:val="0"/>
          <w:szCs w:val="24"/>
        </w:rPr>
      </w:pPr>
    </w:p>
    <w:p w14:paraId="1073E2F7">
      <w:pPr>
        <w:widowControl/>
        <w:spacing w:line="240" w:lineRule="auto"/>
        <w:jc w:val="left"/>
        <w:rPr>
          <w:rFonts w:eastAsia="仿宋"/>
          <w:b/>
          <w:kern w:val="0"/>
          <w:szCs w:val="24"/>
        </w:rPr>
      </w:pPr>
    </w:p>
    <w:p w14:paraId="7B94326F">
      <w:pPr>
        <w:widowControl/>
        <w:spacing w:line="240" w:lineRule="auto"/>
        <w:jc w:val="left"/>
        <w:rPr>
          <w:rFonts w:eastAsia="仿宋"/>
          <w:b/>
          <w:kern w:val="0"/>
          <w:szCs w:val="24"/>
        </w:rPr>
      </w:pPr>
    </w:p>
    <w:p w14:paraId="6BC26410">
      <w:pPr>
        <w:widowControl/>
        <w:spacing w:line="240" w:lineRule="auto"/>
        <w:jc w:val="left"/>
        <w:rPr>
          <w:rFonts w:eastAsia="仿宋"/>
          <w:b/>
          <w:kern w:val="0"/>
          <w:szCs w:val="24"/>
        </w:rPr>
      </w:pPr>
    </w:p>
    <w:p w14:paraId="3978F7AA">
      <w:pPr>
        <w:widowControl/>
        <w:spacing w:line="240" w:lineRule="auto"/>
        <w:jc w:val="left"/>
        <w:rPr>
          <w:rFonts w:eastAsia="仿宋"/>
          <w:b/>
          <w:kern w:val="0"/>
          <w:szCs w:val="24"/>
        </w:rPr>
      </w:pPr>
    </w:p>
    <w:p w14:paraId="394DEC7F">
      <w:pPr>
        <w:widowControl/>
        <w:spacing w:line="240" w:lineRule="auto"/>
        <w:jc w:val="left"/>
        <w:rPr>
          <w:rFonts w:eastAsia="仿宋"/>
          <w:b/>
          <w:kern w:val="0"/>
          <w:szCs w:val="24"/>
        </w:rPr>
      </w:pPr>
    </w:p>
    <w:p w14:paraId="022C08DA">
      <w:pPr>
        <w:widowControl/>
        <w:spacing w:line="240" w:lineRule="auto"/>
        <w:jc w:val="left"/>
        <w:rPr>
          <w:rFonts w:eastAsia="仿宋"/>
          <w:b/>
          <w:kern w:val="0"/>
          <w:szCs w:val="24"/>
        </w:rPr>
      </w:pPr>
    </w:p>
    <w:p w14:paraId="60BF8923">
      <w:pPr>
        <w:widowControl/>
        <w:spacing w:line="240" w:lineRule="auto"/>
        <w:jc w:val="left"/>
        <w:rPr>
          <w:rFonts w:eastAsia="仿宋"/>
          <w:b/>
          <w:kern w:val="0"/>
          <w:szCs w:val="24"/>
        </w:rPr>
      </w:pPr>
    </w:p>
    <w:p w14:paraId="4817A4DA">
      <w:pPr>
        <w:widowControl/>
        <w:spacing w:line="240" w:lineRule="auto"/>
        <w:jc w:val="left"/>
        <w:rPr>
          <w:rFonts w:eastAsia="仿宋"/>
          <w:b/>
          <w:kern w:val="0"/>
          <w:szCs w:val="24"/>
        </w:rPr>
      </w:pPr>
      <w:r>
        <w:rPr>
          <w:rFonts w:eastAsia="仿宋"/>
          <w:b/>
          <w:kern w:val="0"/>
          <w:szCs w:val="24"/>
        </w:rPr>
        <mc:AlternateContent>
          <mc:Choice Requires="wps">
            <w:drawing>
              <wp:anchor distT="0" distB="0" distL="114300" distR="114300" simplePos="0" relativeHeight="251728896" behindDoc="0" locked="0" layoutInCell="1" allowOverlap="1">
                <wp:simplePos x="0" y="0"/>
                <wp:positionH relativeFrom="column">
                  <wp:posOffset>616585</wp:posOffset>
                </wp:positionH>
                <wp:positionV relativeFrom="paragraph">
                  <wp:posOffset>105410</wp:posOffset>
                </wp:positionV>
                <wp:extent cx="7209155" cy="434975"/>
                <wp:effectExtent l="6985" t="6350" r="13335" b="6350"/>
                <wp:wrapNone/>
                <wp:docPr id="72" name="Rectangle 88"/>
                <wp:cNvGraphicFramePr/>
                <a:graphic xmlns:a="http://schemas.openxmlformats.org/drawingml/2006/main">
                  <a:graphicData uri="http://schemas.microsoft.com/office/word/2010/wordprocessingShape">
                    <wps:wsp>
                      <wps:cNvSpPr>
                        <a:spLocks noChangeArrowheads="1"/>
                      </wps:cNvSpPr>
                      <wps:spPr bwMode="auto">
                        <a:xfrm>
                          <a:off x="0" y="0"/>
                          <a:ext cx="7209155" cy="434975"/>
                        </a:xfrm>
                        <a:prstGeom prst="rect">
                          <a:avLst/>
                        </a:prstGeom>
                        <a:solidFill>
                          <a:srgbClr val="FFFFFF"/>
                        </a:solidFill>
                        <a:ln w="9525">
                          <a:solidFill>
                            <a:srgbClr val="000000"/>
                          </a:solidFill>
                          <a:miter lim="800000"/>
                        </a:ln>
                      </wps:spPr>
                      <wps:txbx>
                        <w:txbxContent>
                          <w:p w14:paraId="522E6938">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35</w:t>
                            </w:r>
                            <w:r>
                              <w:rPr>
                                <w:rFonts w:hint="eastAsia" w:ascii="仿宋" w:hAnsi="仿宋" w:eastAsia="仿宋" w:cs="方正小标宋简体"/>
                                <w:b/>
                                <w:bCs/>
                                <w:sz w:val="28"/>
                                <w:szCs w:val="28"/>
                              </w:rPr>
                              <w:t>：</w:t>
                            </w:r>
                            <w:r>
                              <w:rPr>
                                <w:rFonts w:hint="eastAsia" w:ascii="仿宋" w:hAnsi="仿宋" w:eastAsia="仿宋" w:cs="方正小标宋简体"/>
                                <w:b/>
                                <w:bCs/>
                                <w:color w:val="000000"/>
                                <w:sz w:val="28"/>
                                <w:szCs w:val="28"/>
                              </w:rPr>
                              <w:t>花溪区青岩镇思潜村赵司河集中式饮用水水源监管范围划分图</w:t>
                            </w:r>
                          </w:p>
                          <w:p w14:paraId="66C9A2BF">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wps:txbx>
                      <wps:bodyPr rot="0" vert="horz" wrap="square" lIns="91440" tIns="45720" rIns="91440" bIns="45720" anchor="t" anchorCtr="0" upright="1">
                        <a:noAutofit/>
                      </wps:bodyPr>
                    </wps:wsp>
                  </a:graphicData>
                </a:graphic>
              </wp:anchor>
            </w:drawing>
          </mc:Choice>
          <mc:Fallback>
            <w:pict>
              <v:rect id="Rectangle 88" o:spid="_x0000_s1026" o:spt="1" style="position:absolute;left:0pt;margin-left:48.55pt;margin-top:8.3pt;height:34.25pt;width:567.65pt;z-index:251728896;mso-width-relative:page;mso-height-relative:page;" fillcolor="#FFFFFF" filled="t" stroked="t" coordsize="21600,21600" o:gfxdata="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qiqrO2AAAAAkBAAAPAAAAAAAAAAEAIAAAACIAAABkcnMvZG93bnJldi54bWxQ&#10;SwECFAAUAAAACACHTuJAJd52zTACAAB/BAAADgAAAAAAAAABACAAAAAnAQAAZHJzL2Uyb0RvYy54&#10;bWxQSwUGAAAAAAYABgBZAQAAyQUAAAAA&#10;">
                <v:fill on="t" focussize="0,0"/>
                <v:stroke color="#000000" miterlimit="8" joinstyle="miter"/>
                <v:imagedata o:title=""/>
                <o:lock v:ext="edit" aspectratio="f"/>
                <v:textbox>
                  <w:txbxContent>
                    <w:p w14:paraId="522E6938">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35</w:t>
                      </w:r>
                      <w:r>
                        <w:rPr>
                          <w:rFonts w:hint="eastAsia" w:ascii="仿宋" w:hAnsi="仿宋" w:eastAsia="仿宋" w:cs="方正小标宋简体"/>
                          <w:b/>
                          <w:bCs/>
                          <w:sz w:val="28"/>
                          <w:szCs w:val="28"/>
                        </w:rPr>
                        <w:t>：</w:t>
                      </w:r>
                      <w:r>
                        <w:rPr>
                          <w:rFonts w:hint="eastAsia" w:ascii="仿宋" w:hAnsi="仿宋" w:eastAsia="仿宋" w:cs="方正小标宋简体"/>
                          <w:b/>
                          <w:bCs/>
                          <w:color w:val="000000"/>
                          <w:sz w:val="28"/>
                          <w:szCs w:val="28"/>
                        </w:rPr>
                        <w:t>花溪区青岩镇思潜村赵司河集中式饮用水水源监管范围划分图</w:t>
                      </w:r>
                    </w:p>
                    <w:p w14:paraId="66C9A2BF">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v:textbox>
              </v:rect>
            </w:pict>
          </mc:Fallback>
        </mc:AlternateContent>
      </w:r>
    </w:p>
    <w:p w14:paraId="08C5AB61">
      <w:pPr>
        <w:widowControl/>
        <w:spacing w:line="240" w:lineRule="auto"/>
        <w:jc w:val="left"/>
        <w:rPr>
          <w:rFonts w:eastAsia="仿宋"/>
          <w:b/>
          <w:kern w:val="0"/>
          <w:szCs w:val="24"/>
        </w:rPr>
      </w:pPr>
    </w:p>
    <w:p w14:paraId="75790AC2">
      <w:pPr>
        <w:widowControl/>
        <w:spacing w:line="240" w:lineRule="auto"/>
        <w:jc w:val="left"/>
        <w:rPr>
          <w:rFonts w:eastAsia="仿宋"/>
          <w:b/>
          <w:kern w:val="0"/>
          <w:szCs w:val="24"/>
        </w:rPr>
      </w:pPr>
      <w:r>
        <w:rPr>
          <w:rFonts w:eastAsia="仿宋"/>
          <w:b/>
          <w:kern w:val="0"/>
          <w:szCs w:val="24"/>
        </w:rPr>
        <w:drawing>
          <wp:anchor distT="0" distB="0" distL="114300" distR="114300" simplePos="0" relativeHeight="251681792" behindDoc="0" locked="0" layoutInCell="1" allowOverlap="1">
            <wp:simplePos x="0" y="0"/>
            <wp:positionH relativeFrom="column">
              <wp:posOffset>594995</wp:posOffset>
            </wp:positionH>
            <wp:positionV relativeFrom="paragraph">
              <wp:posOffset>143510</wp:posOffset>
            </wp:positionV>
            <wp:extent cx="7240905" cy="4855845"/>
            <wp:effectExtent l="0" t="0" r="0" b="0"/>
            <wp:wrapNone/>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a:xfrm>
                      <a:off x="0" y="0"/>
                      <a:ext cx="7240772" cy="4855729"/>
                    </a:xfrm>
                    <a:prstGeom prst="rect">
                      <a:avLst/>
                    </a:prstGeom>
                    <a:noFill/>
                    <a:ln>
                      <a:noFill/>
                    </a:ln>
                  </pic:spPr>
                </pic:pic>
              </a:graphicData>
            </a:graphic>
          </wp:anchor>
        </w:drawing>
      </w:r>
    </w:p>
    <w:p w14:paraId="59D8A362">
      <w:pPr>
        <w:widowControl/>
        <w:spacing w:line="240" w:lineRule="auto"/>
        <w:jc w:val="left"/>
        <w:rPr>
          <w:rFonts w:eastAsia="仿宋"/>
          <w:b/>
          <w:kern w:val="0"/>
          <w:szCs w:val="24"/>
        </w:rPr>
      </w:pPr>
    </w:p>
    <w:p w14:paraId="19399452">
      <w:pPr>
        <w:widowControl/>
        <w:spacing w:line="240" w:lineRule="auto"/>
        <w:jc w:val="left"/>
        <w:rPr>
          <w:rFonts w:eastAsia="仿宋"/>
          <w:b/>
          <w:kern w:val="0"/>
          <w:szCs w:val="24"/>
        </w:rPr>
      </w:pPr>
    </w:p>
    <w:p w14:paraId="33380906">
      <w:pPr>
        <w:widowControl/>
        <w:spacing w:line="240" w:lineRule="auto"/>
        <w:jc w:val="left"/>
        <w:rPr>
          <w:rFonts w:eastAsia="仿宋"/>
          <w:b/>
          <w:kern w:val="0"/>
          <w:szCs w:val="24"/>
        </w:rPr>
      </w:pPr>
    </w:p>
    <w:p w14:paraId="6174819E">
      <w:pPr>
        <w:widowControl/>
        <w:spacing w:line="240" w:lineRule="auto"/>
        <w:jc w:val="left"/>
        <w:rPr>
          <w:rFonts w:eastAsia="仿宋"/>
          <w:b/>
          <w:kern w:val="0"/>
          <w:szCs w:val="24"/>
        </w:rPr>
      </w:pPr>
    </w:p>
    <w:p w14:paraId="5988AEE0">
      <w:pPr>
        <w:widowControl/>
        <w:spacing w:line="240" w:lineRule="auto"/>
        <w:jc w:val="left"/>
        <w:rPr>
          <w:rFonts w:eastAsia="仿宋"/>
          <w:b/>
          <w:kern w:val="0"/>
          <w:szCs w:val="24"/>
        </w:rPr>
      </w:pPr>
    </w:p>
    <w:p w14:paraId="3C8E8322">
      <w:pPr>
        <w:widowControl/>
        <w:spacing w:line="240" w:lineRule="auto"/>
        <w:jc w:val="left"/>
        <w:rPr>
          <w:rFonts w:eastAsia="仿宋"/>
          <w:b/>
          <w:kern w:val="0"/>
          <w:szCs w:val="24"/>
        </w:rPr>
      </w:pPr>
    </w:p>
    <w:p w14:paraId="5FB57EE2">
      <w:pPr>
        <w:widowControl/>
        <w:spacing w:line="240" w:lineRule="auto"/>
        <w:jc w:val="left"/>
        <w:rPr>
          <w:rFonts w:eastAsia="仿宋"/>
          <w:b/>
          <w:kern w:val="0"/>
          <w:szCs w:val="24"/>
        </w:rPr>
      </w:pPr>
    </w:p>
    <w:p w14:paraId="112A8936">
      <w:pPr>
        <w:widowControl/>
        <w:spacing w:line="240" w:lineRule="auto"/>
        <w:jc w:val="left"/>
        <w:rPr>
          <w:rFonts w:eastAsia="仿宋"/>
          <w:b/>
          <w:kern w:val="0"/>
          <w:szCs w:val="24"/>
        </w:rPr>
      </w:pPr>
    </w:p>
    <w:p w14:paraId="7E6F0031">
      <w:pPr>
        <w:widowControl/>
        <w:spacing w:line="240" w:lineRule="auto"/>
        <w:jc w:val="left"/>
        <w:rPr>
          <w:rFonts w:eastAsia="仿宋"/>
          <w:b/>
          <w:kern w:val="0"/>
          <w:szCs w:val="24"/>
        </w:rPr>
      </w:pPr>
    </w:p>
    <w:p w14:paraId="67E994DC">
      <w:pPr>
        <w:widowControl/>
        <w:spacing w:line="240" w:lineRule="auto"/>
        <w:jc w:val="left"/>
        <w:rPr>
          <w:rFonts w:eastAsia="仿宋"/>
          <w:b/>
          <w:kern w:val="0"/>
          <w:szCs w:val="24"/>
        </w:rPr>
      </w:pPr>
    </w:p>
    <w:p w14:paraId="42FA0776">
      <w:pPr>
        <w:widowControl/>
        <w:spacing w:line="240" w:lineRule="auto"/>
        <w:jc w:val="left"/>
        <w:rPr>
          <w:rFonts w:eastAsia="仿宋"/>
          <w:b/>
          <w:kern w:val="0"/>
          <w:szCs w:val="24"/>
        </w:rPr>
      </w:pPr>
    </w:p>
    <w:p w14:paraId="0E29238C">
      <w:pPr>
        <w:widowControl/>
        <w:spacing w:line="240" w:lineRule="auto"/>
        <w:jc w:val="left"/>
        <w:rPr>
          <w:rFonts w:eastAsia="仿宋"/>
          <w:b/>
          <w:kern w:val="0"/>
          <w:szCs w:val="24"/>
        </w:rPr>
      </w:pPr>
    </w:p>
    <w:p w14:paraId="462BF071">
      <w:pPr>
        <w:widowControl/>
        <w:spacing w:line="240" w:lineRule="auto"/>
        <w:jc w:val="left"/>
        <w:rPr>
          <w:rFonts w:eastAsia="仿宋"/>
          <w:b/>
          <w:kern w:val="0"/>
          <w:szCs w:val="24"/>
        </w:rPr>
      </w:pPr>
    </w:p>
    <w:p w14:paraId="68820214">
      <w:pPr>
        <w:widowControl/>
        <w:spacing w:line="240" w:lineRule="auto"/>
        <w:jc w:val="left"/>
        <w:rPr>
          <w:rFonts w:eastAsia="仿宋"/>
          <w:b/>
          <w:kern w:val="0"/>
          <w:szCs w:val="24"/>
        </w:rPr>
      </w:pPr>
    </w:p>
    <w:p w14:paraId="73810A34">
      <w:pPr>
        <w:widowControl/>
        <w:spacing w:line="240" w:lineRule="auto"/>
        <w:jc w:val="left"/>
        <w:rPr>
          <w:rFonts w:eastAsia="仿宋"/>
          <w:b/>
          <w:kern w:val="0"/>
          <w:szCs w:val="24"/>
        </w:rPr>
      </w:pPr>
    </w:p>
    <w:p w14:paraId="5EFA08D3">
      <w:pPr>
        <w:widowControl/>
        <w:spacing w:line="240" w:lineRule="auto"/>
        <w:jc w:val="left"/>
        <w:rPr>
          <w:rFonts w:eastAsia="仿宋"/>
          <w:b/>
          <w:kern w:val="0"/>
          <w:szCs w:val="24"/>
        </w:rPr>
      </w:pPr>
    </w:p>
    <w:p w14:paraId="646ACB98">
      <w:pPr>
        <w:widowControl/>
        <w:spacing w:line="240" w:lineRule="auto"/>
        <w:jc w:val="left"/>
        <w:rPr>
          <w:rFonts w:eastAsia="仿宋"/>
          <w:b/>
          <w:kern w:val="0"/>
          <w:szCs w:val="24"/>
        </w:rPr>
      </w:pPr>
    </w:p>
    <w:p w14:paraId="1F7D2468">
      <w:pPr>
        <w:widowControl/>
        <w:spacing w:line="240" w:lineRule="auto"/>
        <w:jc w:val="left"/>
        <w:rPr>
          <w:rFonts w:eastAsia="仿宋"/>
          <w:b/>
          <w:kern w:val="0"/>
          <w:szCs w:val="24"/>
        </w:rPr>
      </w:pPr>
    </w:p>
    <w:p w14:paraId="055F7FF9">
      <w:pPr>
        <w:widowControl/>
        <w:spacing w:line="240" w:lineRule="auto"/>
        <w:jc w:val="left"/>
        <w:rPr>
          <w:rFonts w:eastAsia="仿宋"/>
          <w:b/>
          <w:kern w:val="0"/>
          <w:szCs w:val="24"/>
        </w:rPr>
      </w:pPr>
    </w:p>
    <w:p w14:paraId="529D231F">
      <w:pPr>
        <w:widowControl/>
        <w:spacing w:line="240" w:lineRule="auto"/>
        <w:jc w:val="left"/>
        <w:rPr>
          <w:rFonts w:eastAsia="仿宋"/>
          <w:b/>
          <w:kern w:val="0"/>
          <w:szCs w:val="24"/>
        </w:rPr>
      </w:pPr>
    </w:p>
    <w:p w14:paraId="25CD9052">
      <w:pPr>
        <w:widowControl/>
        <w:spacing w:line="240" w:lineRule="auto"/>
        <w:jc w:val="left"/>
        <w:rPr>
          <w:rFonts w:eastAsia="仿宋"/>
          <w:b/>
          <w:kern w:val="0"/>
          <w:szCs w:val="24"/>
        </w:rPr>
      </w:pPr>
    </w:p>
    <w:p w14:paraId="590FDC8E">
      <w:pPr>
        <w:widowControl/>
        <w:spacing w:line="240" w:lineRule="auto"/>
        <w:jc w:val="left"/>
        <w:rPr>
          <w:rFonts w:eastAsia="仿宋"/>
          <w:b/>
          <w:kern w:val="0"/>
          <w:szCs w:val="24"/>
        </w:rPr>
      </w:pPr>
    </w:p>
    <w:p w14:paraId="52E076BE">
      <w:pPr>
        <w:widowControl/>
        <w:spacing w:line="240" w:lineRule="auto"/>
        <w:jc w:val="left"/>
        <w:rPr>
          <w:rFonts w:eastAsia="仿宋"/>
          <w:b/>
          <w:kern w:val="0"/>
          <w:szCs w:val="24"/>
        </w:rPr>
      </w:pPr>
    </w:p>
    <w:p w14:paraId="6D1A3602">
      <w:pPr>
        <w:widowControl/>
        <w:spacing w:line="240" w:lineRule="auto"/>
        <w:jc w:val="left"/>
        <w:rPr>
          <w:rFonts w:eastAsia="仿宋"/>
          <w:b/>
          <w:kern w:val="0"/>
          <w:szCs w:val="24"/>
        </w:rPr>
      </w:pPr>
    </w:p>
    <w:p w14:paraId="22DF802D">
      <w:pPr>
        <w:widowControl/>
        <w:spacing w:line="240" w:lineRule="auto"/>
        <w:jc w:val="left"/>
        <w:rPr>
          <w:rFonts w:eastAsia="仿宋"/>
          <w:b/>
          <w:kern w:val="0"/>
          <w:szCs w:val="24"/>
        </w:rPr>
      </w:pPr>
      <w:r>
        <w:rPr>
          <w:rFonts w:eastAsia="仿宋"/>
          <w:b/>
          <w:kern w:val="0"/>
          <w:szCs w:val="24"/>
        </w:rPr>
        <mc:AlternateContent>
          <mc:Choice Requires="wps">
            <w:drawing>
              <wp:anchor distT="0" distB="0" distL="114300" distR="114300" simplePos="0" relativeHeight="251729920" behindDoc="0" locked="0" layoutInCell="1" allowOverlap="1">
                <wp:simplePos x="0" y="0"/>
                <wp:positionH relativeFrom="column">
                  <wp:posOffset>849630</wp:posOffset>
                </wp:positionH>
                <wp:positionV relativeFrom="paragraph">
                  <wp:posOffset>31115</wp:posOffset>
                </wp:positionV>
                <wp:extent cx="7421880" cy="434975"/>
                <wp:effectExtent l="11430" t="8255" r="5715" b="13970"/>
                <wp:wrapNone/>
                <wp:docPr id="69" name="Rectangle 90"/>
                <wp:cNvGraphicFramePr/>
                <a:graphic xmlns:a="http://schemas.openxmlformats.org/drawingml/2006/main">
                  <a:graphicData uri="http://schemas.microsoft.com/office/word/2010/wordprocessingShape">
                    <wps:wsp>
                      <wps:cNvSpPr>
                        <a:spLocks noChangeArrowheads="1"/>
                      </wps:cNvSpPr>
                      <wps:spPr bwMode="auto">
                        <a:xfrm>
                          <a:off x="0" y="0"/>
                          <a:ext cx="7421880" cy="434975"/>
                        </a:xfrm>
                        <a:prstGeom prst="rect">
                          <a:avLst/>
                        </a:prstGeom>
                        <a:solidFill>
                          <a:srgbClr val="FFFFFF"/>
                        </a:solidFill>
                        <a:ln w="9525">
                          <a:solidFill>
                            <a:srgbClr val="000000"/>
                          </a:solidFill>
                          <a:miter lim="800000"/>
                        </a:ln>
                      </wps:spPr>
                      <wps:txbx>
                        <w:txbxContent>
                          <w:p w14:paraId="00539F20">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36</w:t>
                            </w:r>
                            <w:r>
                              <w:rPr>
                                <w:rFonts w:hint="eastAsia" w:ascii="仿宋" w:hAnsi="仿宋" w:eastAsia="仿宋" w:cs="方正小标宋简体"/>
                                <w:b/>
                                <w:bCs/>
                                <w:sz w:val="28"/>
                                <w:szCs w:val="28"/>
                              </w:rPr>
                              <w:t>：</w:t>
                            </w:r>
                            <w:r>
                              <w:rPr>
                                <w:rFonts w:hint="eastAsia" w:ascii="仿宋" w:hAnsi="仿宋" w:eastAsia="仿宋" w:cs="方正小标宋简体"/>
                                <w:b/>
                                <w:bCs/>
                                <w:color w:val="000000"/>
                                <w:sz w:val="28"/>
                                <w:szCs w:val="28"/>
                              </w:rPr>
                              <w:t>花溪区青岩镇思潜村赵司河集中式饮用水水源监管范围影像图</w:t>
                            </w:r>
                          </w:p>
                          <w:p w14:paraId="600DFCF4">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wps:txbx>
                      <wps:bodyPr rot="0" vert="horz" wrap="square" lIns="91440" tIns="45720" rIns="91440" bIns="45720" anchor="t" anchorCtr="0" upright="1">
                        <a:noAutofit/>
                      </wps:bodyPr>
                    </wps:wsp>
                  </a:graphicData>
                </a:graphic>
              </wp:anchor>
            </w:drawing>
          </mc:Choice>
          <mc:Fallback>
            <w:pict>
              <v:rect id="Rectangle 90" o:spid="_x0000_s1026" o:spt="1" style="position:absolute;left:0pt;margin-left:66.9pt;margin-top:2.45pt;height:34.25pt;width:584.4pt;z-index:251729920;mso-width-relative:page;mso-height-relative:page;" fillcolor="#FFFFFF" filled="t" stroked="t" coordsize="21600,21600" o:gfxdata="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E3SIdnXAAAACQEAAA8AAAAAAAAAAQAgAAAAIgAAAGRycy9kb3ducmV2LnhtbFBL&#10;AQIUABQAAAAIAIdO4kAeOfADMAIAAH8EAAAOAAAAAAAAAAEAIAAAACYBAABkcnMvZTJvRG9jLnht&#10;bFBLBQYAAAAABgAGAFkBAADIBQAAAAA=&#10;">
                <v:fill on="t" focussize="0,0"/>
                <v:stroke color="#000000" miterlimit="8" joinstyle="miter"/>
                <v:imagedata o:title=""/>
                <o:lock v:ext="edit" aspectratio="f"/>
                <v:textbox>
                  <w:txbxContent>
                    <w:p w14:paraId="00539F20">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36</w:t>
                      </w:r>
                      <w:r>
                        <w:rPr>
                          <w:rFonts w:hint="eastAsia" w:ascii="仿宋" w:hAnsi="仿宋" w:eastAsia="仿宋" w:cs="方正小标宋简体"/>
                          <w:b/>
                          <w:bCs/>
                          <w:sz w:val="28"/>
                          <w:szCs w:val="28"/>
                        </w:rPr>
                        <w:t>：</w:t>
                      </w:r>
                      <w:r>
                        <w:rPr>
                          <w:rFonts w:hint="eastAsia" w:ascii="仿宋" w:hAnsi="仿宋" w:eastAsia="仿宋" w:cs="方正小标宋简体"/>
                          <w:b/>
                          <w:bCs/>
                          <w:color w:val="000000"/>
                          <w:sz w:val="28"/>
                          <w:szCs w:val="28"/>
                        </w:rPr>
                        <w:t>花溪区青岩镇思潜村赵司河集中式饮用水水源监管范围影像图</w:t>
                      </w:r>
                    </w:p>
                    <w:p w14:paraId="600DFCF4">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v:textbox>
              </v:rect>
            </w:pict>
          </mc:Fallback>
        </mc:AlternateContent>
      </w:r>
    </w:p>
    <w:p w14:paraId="1FAB8ECC">
      <w:pPr>
        <w:widowControl/>
        <w:spacing w:line="240" w:lineRule="auto"/>
        <w:jc w:val="left"/>
        <w:rPr>
          <w:rFonts w:eastAsia="仿宋"/>
          <w:b/>
          <w:kern w:val="0"/>
          <w:szCs w:val="24"/>
        </w:rPr>
      </w:pPr>
    </w:p>
    <w:p w14:paraId="27E0F6AB">
      <w:pPr>
        <w:widowControl/>
        <w:spacing w:line="240" w:lineRule="auto"/>
        <w:jc w:val="left"/>
        <w:rPr>
          <w:rFonts w:eastAsia="仿宋"/>
          <w:b/>
          <w:kern w:val="0"/>
          <w:szCs w:val="24"/>
        </w:rPr>
      </w:pPr>
      <w:r>
        <w:rPr>
          <w:rFonts w:eastAsia="仿宋"/>
          <w:b/>
          <w:kern w:val="0"/>
          <w:szCs w:val="24"/>
        </w:rPr>
        <w:drawing>
          <wp:anchor distT="0" distB="0" distL="114300" distR="114300" simplePos="0" relativeHeight="251682816" behindDoc="0" locked="0" layoutInCell="1" allowOverlap="1">
            <wp:simplePos x="0" y="0"/>
            <wp:positionH relativeFrom="column">
              <wp:posOffset>849630</wp:posOffset>
            </wp:positionH>
            <wp:positionV relativeFrom="paragraph">
              <wp:posOffset>69215</wp:posOffset>
            </wp:positionV>
            <wp:extent cx="7421245" cy="4979035"/>
            <wp:effectExtent l="0" t="0" r="0" b="0"/>
            <wp:wrapNone/>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a:xfrm>
                      <a:off x="0" y="0"/>
                      <a:ext cx="7421526" cy="4979269"/>
                    </a:xfrm>
                    <a:prstGeom prst="rect">
                      <a:avLst/>
                    </a:prstGeom>
                    <a:noFill/>
                    <a:ln>
                      <a:noFill/>
                    </a:ln>
                  </pic:spPr>
                </pic:pic>
              </a:graphicData>
            </a:graphic>
          </wp:anchor>
        </w:drawing>
      </w:r>
    </w:p>
    <w:p w14:paraId="2D5758FF">
      <w:pPr>
        <w:widowControl/>
        <w:spacing w:line="240" w:lineRule="auto"/>
        <w:jc w:val="left"/>
        <w:rPr>
          <w:rFonts w:eastAsia="仿宋"/>
          <w:b/>
          <w:kern w:val="0"/>
          <w:szCs w:val="24"/>
        </w:rPr>
      </w:pPr>
    </w:p>
    <w:p w14:paraId="730A5DC3">
      <w:pPr>
        <w:widowControl/>
        <w:spacing w:line="240" w:lineRule="auto"/>
        <w:jc w:val="left"/>
        <w:rPr>
          <w:rFonts w:eastAsia="仿宋"/>
          <w:b/>
          <w:kern w:val="0"/>
          <w:szCs w:val="24"/>
        </w:rPr>
      </w:pPr>
    </w:p>
    <w:p w14:paraId="659E9A03">
      <w:pPr>
        <w:widowControl/>
        <w:spacing w:line="240" w:lineRule="auto"/>
        <w:jc w:val="left"/>
        <w:rPr>
          <w:rFonts w:eastAsia="仿宋"/>
          <w:b/>
          <w:kern w:val="0"/>
          <w:szCs w:val="24"/>
        </w:rPr>
      </w:pPr>
    </w:p>
    <w:p w14:paraId="4C911154">
      <w:pPr>
        <w:widowControl/>
        <w:spacing w:line="240" w:lineRule="auto"/>
        <w:jc w:val="left"/>
        <w:rPr>
          <w:rFonts w:eastAsia="仿宋"/>
          <w:b/>
          <w:kern w:val="0"/>
          <w:szCs w:val="24"/>
        </w:rPr>
      </w:pPr>
    </w:p>
    <w:p w14:paraId="2E4C3006">
      <w:pPr>
        <w:widowControl/>
        <w:spacing w:line="240" w:lineRule="auto"/>
        <w:jc w:val="left"/>
        <w:rPr>
          <w:rFonts w:eastAsia="仿宋"/>
          <w:b/>
          <w:kern w:val="0"/>
          <w:szCs w:val="24"/>
        </w:rPr>
      </w:pPr>
    </w:p>
    <w:p w14:paraId="27C5B515">
      <w:pPr>
        <w:widowControl/>
        <w:spacing w:line="240" w:lineRule="auto"/>
        <w:jc w:val="left"/>
        <w:rPr>
          <w:rFonts w:eastAsia="仿宋"/>
          <w:b/>
          <w:kern w:val="0"/>
          <w:szCs w:val="24"/>
        </w:rPr>
      </w:pPr>
    </w:p>
    <w:p w14:paraId="69CCE2EE">
      <w:pPr>
        <w:widowControl/>
        <w:spacing w:line="240" w:lineRule="auto"/>
        <w:jc w:val="left"/>
        <w:rPr>
          <w:rFonts w:eastAsia="仿宋"/>
          <w:b/>
          <w:kern w:val="0"/>
          <w:szCs w:val="24"/>
        </w:rPr>
      </w:pPr>
    </w:p>
    <w:p w14:paraId="1895CF05">
      <w:pPr>
        <w:widowControl/>
        <w:spacing w:line="240" w:lineRule="auto"/>
        <w:jc w:val="left"/>
        <w:rPr>
          <w:rFonts w:eastAsia="仿宋"/>
          <w:b/>
          <w:kern w:val="0"/>
          <w:szCs w:val="24"/>
        </w:rPr>
      </w:pPr>
    </w:p>
    <w:p w14:paraId="749AF1B2">
      <w:pPr>
        <w:widowControl/>
        <w:spacing w:line="240" w:lineRule="auto"/>
        <w:jc w:val="left"/>
        <w:rPr>
          <w:rFonts w:eastAsia="仿宋"/>
          <w:b/>
          <w:kern w:val="0"/>
          <w:szCs w:val="24"/>
        </w:rPr>
      </w:pPr>
    </w:p>
    <w:p w14:paraId="70823991">
      <w:pPr>
        <w:widowControl/>
        <w:spacing w:line="240" w:lineRule="auto"/>
        <w:jc w:val="left"/>
        <w:rPr>
          <w:rFonts w:eastAsia="仿宋"/>
          <w:b/>
          <w:kern w:val="0"/>
          <w:szCs w:val="24"/>
        </w:rPr>
      </w:pPr>
    </w:p>
    <w:p w14:paraId="6B05F425">
      <w:pPr>
        <w:widowControl/>
        <w:spacing w:line="240" w:lineRule="auto"/>
        <w:jc w:val="left"/>
        <w:rPr>
          <w:rFonts w:eastAsia="仿宋"/>
          <w:b/>
          <w:kern w:val="0"/>
          <w:szCs w:val="24"/>
        </w:rPr>
      </w:pPr>
    </w:p>
    <w:p w14:paraId="554C820F">
      <w:pPr>
        <w:widowControl/>
        <w:spacing w:line="240" w:lineRule="auto"/>
        <w:jc w:val="left"/>
        <w:rPr>
          <w:rFonts w:eastAsia="仿宋"/>
          <w:b/>
          <w:kern w:val="0"/>
          <w:szCs w:val="24"/>
        </w:rPr>
      </w:pPr>
    </w:p>
    <w:p w14:paraId="77D14025">
      <w:pPr>
        <w:widowControl/>
        <w:spacing w:line="240" w:lineRule="auto"/>
        <w:jc w:val="left"/>
        <w:rPr>
          <w:rFonts w:eastAsia="仿宋"/>
          <w:b/>
          <w:kern w:val="0"/>
          <w:szCs w:val="24"/>
        </w:rPr>
      </w:pPr>
    </w:p>
    <w:p w14:paraId="6FD13061">
      <w:pPr>
        <w:widowControl/>
        <w:spacing w:line="240" w:lineRule="auto"/>
        <w:jc w:val="left"/>
        <w:rPr>
          <w:rFonts w:eastAsia="仿宋"/>
          <w:b/>
          <w:kern w:val="0"/>
          <w:szCs w:val="24"/>
        </w:rPr>
      </w:pPr>
    </w:p>
    <w:p w14:paraId="72C40462">
      <w:pPr>
        <w:widowControl/>
        <w:spacing w:line="240" w:lineRule="auto"/>
        <w:jc w:val="left"/>
        <w:rPr>
          <w:rFonts w:eastAsia="仿宋"/>
          <w:b/>
          <w:kern w:val="0"/>
          <w:szCs w:val="24"/>
        </w:rPr>
      </w:pPr>
    </w:p>
    <w:p w14:paraId="37027F27">
      <w:pPr>
        <w:widowControl/>
        <w:spacing w:line="240" w:lineRule="auto"/>
        <w:jc w:val="left"/>
        <w:rPr>
          <w:rFonts w:eastAsia="仿宋"/>
          <w:b/>
          <w:kern w:val="0"/>
          <w:szCs w:val="24"/>
        </w:rPr>
      </w:pPr>
    </w:p>
    <w:p w14:paraId="1A5F89EF">
      <w:pPr>
        <w:widowControl/>
        <w:spacing w:line="240" w:lineRule="auto"/>
        <w:jc w:val="left"/>
        <w:rPr>
          <w:rFonts w:eastAsia="仿宋"/>
          <w:b/>
          <w:kern w:val="0"/>
          <w:szCs w:val="24"/>
        </w:rPr>
      </w:pPr>
    </w:p>
    <w:p w14:paraId="7313547F">
      <w:pPr>
        <w:widowControl/>
        <w:spacing w:line="240" w:lineRule="auto"/>
        <w:jc w:val="left"/>
        <w:rPr>
          <w:rFonts w:eastAsia="仿宋"/>
          <w:b/>
          <w:kern w:val="0"/>
          <w:szCs w:val="24"/>
        </w:rPr>
      </w:pPr>
    </w:p>
    <w:p w14:paraId="63140A79">
      <w:pPr>
        <w:widowControl/>
        <w:spacing w:line="240" w:lineRule="auto"/>
        <w:jc w:val="left"/>
        <w:rPr>
          <w:rFonts w:eastAsia="仿宋"/>
          <w:b/>
          <w:kern w:val="0"/>
          <w:szCs w:val="24"/>
        </w:rPr>
      </w:pPr>
    </w:p>
    <w:p w14:paraId="6CC9A1E2">
      <w:pPr>
        <w:widowControl/>
        <w:spacing w:line="240" w:lineRule="auto"/>
        <w:jc w:val="left"/>
        <w:rPr>
          <w:rFonts w:eastAsia="仿宋"/>
          <w:b/>
          <w:kern w:val="0"/>
          <w:szCs w:val="24"/>
        </w:rPr>
      </w:pPr>
    </w:p>
    <w:p w14:paraId="5D0EF285">
      <w:pPr>
        <w:widowControl/>
        <w:spacing w:line="240" w:lineRule="auto"/>
        <w:jc w:val="left"/>
        <w:rPr>
          <w:rFonts w:eastAsia="仿宋"/>
          <w:b/>
          <w:kern w:val="0"/>
          <w:szCs w:val="24"/>
        </w:rPr>
      </w:pPr>
    </w:p>
    <w:p w14:paraId="4C412B3D">
      <w:pPr>
        <w:widowControl/>
        <w:spacing w:line="240" w:lineRule="auto"/>
        <w:jc w:val="left"/>
        <w:rPr>
          <w:rFonts w:eastAsia="仿宋"/>
          <w:b/>
          <w:kern w:val="0"/>
          <w:szCs w:val="24"/>
        </w:rPr>
      </w:pPr>
    </w:p>
    <w:p w14:paraId="412FD6EB">
      <w:pPr>
        <w:widowControl/>
        <w:spacing w:line="240" w:lineRule="auto"/>
        <w:jc w:val="left"/>
        <w:rPr>
          <w:rFonts w:eastAsia="仿宋"/>
          <w:b/>
          <w:kern w:val="0"/>
          <w:szCs w:val="24"/>
        </w:rPr>
      </w:pPr>
    </w:p>
    <w:p w14:paraId="6B25F948">
      <w:pPr>
        <w:widowControl/>
        <w:spacing w:line="240" w:lineRule="auto"/>
        <w:jc w:val="left"/>
        <w:rPr>
          <w:rFonts w:eastAsia="仿宋"/>
          <w:b/>
          <w:kern w:val="0"/>
          <w:szCs w:val="24"/>
        </w:rPr>
      </w:pPr>
    </w:p>
    <w:p w14:paraId="3E966A0C">
      <w:pPr>
        <w:widowControl/>
        <w:spacing w:line="240" w:lineRule="auto"/>
        <w:jc w:val="left"/>
        <w:rPr>
          <w:rFonts w:eastAsia="仿宋"/>
          <w:b/>
          <w:kern w:val="0"/>
          <w:szCs w:val="24"/>
        </w:rPr>
      </w:pPr>
      <w:r>
        <w:rPr>
          <w:rFonts w:eastAsia="仿宋"/>
          <w:b/>
          <w:kern w:val="0"/>
          <w:szCs w:val="24"/>
        </w:rPr>
        <mc:AlternateContent>
          <mc:Choice Requires="wps">
            <w:drawing>
              <wp:anchor distT="0" distB="0" distL="114300" distR="114300" simplePos="0" relativeHeight="251730944" behindDoc="0" locked="0" layoutInCell="1" allowOverlap="1">
                <wp:simplePos x="0" y="0"/>
                <wp:positionH relativeFrom="column">
                  <wp:posOffset>382270</wp:posOffset>
                </wp:positionH>
                <wp:positionV relativeFrom="paragraph">
                  <wp:posOffset>52070</wp:posOffset>
                </wp:positionV>
                <wp:extent cx="7411720" cy="434975"/>
                <wp:effectExtent l="10795" t="10160" r="6985" b="12065"/>
                <wp:wrapNone/>
                <wp:docPr id="68" name="Rectangle 92"/>
                <wp:cNvGraphicFramePr/>
                <a:graphic xmlns:a="http://schemas.openxmlformats.org/drawingml/2006/main">
                  <a:graphicData uri="http://schemas.microsoft.com/office/word/2010/wordprocessingShape">
                    <wps:wsp>
                      <wps:cNvSpPr>
                        <a:spLocks noChangeArrowheads="1"/>
                      </wps:cNvSpPr>
                      <wps:spPr bwMode="auto">
                        <a:xfrm>
                          <a:off x="0" y="0"/>
                          <a:ext cx="7411720" cy="434975"/>
                        </a:xfrm>
                        <a:prstGeom prst="rect">
                          <a:avLst/>
                        </a:prstGeom>
                        <a:solidFill>
                          <a:srgbClr val="FFFFFF"/>
                        </a:solidFill>
                        <a:ln w="9525">
                          <a:solidFill>
                            <a:srgbClr val="000000"/>
                          </a:solidFill>
                          <a:miter lim="800000"/>
                        </a:ln>
                      </wps:spPr>
                      <wps:txbx>
                        <w:txbxContent>
                          <w:p w14:paraId="763FDE48">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37</w:t>
                            </w:r>
                            <w:r>
                              <w:rPr>
                                <w:rFonts w:hint="eastAsia" w:ascii="仿宋" w:hAnsi="仿宋" w:eastAsia="仿宋" w:cs="方正小标宋简体"/>
                                <w:b/>
                                <w:bCs/>
                                <w:sz w:val="28"/>
                                <w:szCs w:val="28"/>
                              </w:rPr>
                              <w:t xml:space="preserve"> ：</w:t>
                            </w:r>
                            <w:r>
                              <w:rPr>
                                <w:rFonts w:hint="eastAsia" w:ascii="仿宋" w:hAnsi="仿宋" w:eastAsia="仿宋" w:cs="方正小标宋简体"/>
                                <w:b/>
                                <w:bCs/>
                                <w:color w:val="000000"/>
                                <w:sz w:val="28"/>
                                <w:szCs w:val="28"/>
                              </w:rPr>
                              <w:t>花溪区青岩镇西门河集中式饮用水水源监管范围划分图</w:t>
                            </w:r>
                          </w:p>
                          <w:p w14:paraId="0B63DCDE">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wps:txbx>
                      <wps:bodyPr rot="0" vert="horz" wrap="square" lIns="91440" tIns="45720" rIns="91440" bIns="45720" anchor="t" anchorCtr="0" upright="1">
                        <a:noAutofit/>
                      </wps:bodyPr>
                    </wps:wsp>
                  </a:graphicData>
                </a:graphic>
              </wp:anchor>
            </w:drawing>
          </mc:Choice>
          <mc:Fallback>
            <w:pict>
              <v:rect id="Rectangle 92" o:spid="_x0000_s1026" o:spt="1" style="position:absolute;left:0pt;margin-left:30.1pt;margin-top:4.1pt;height:34.25pt;width:583.6pt;z-index:251730944;mso-width-relative:page;mso-height-relative:page;" fillcolor="#FFFFFF" filled="t" stroked="t" coordsize="21600,21600" o:gfxdata="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fOdqf1wAAAAgBAAAPAAAAAAAAAAEAIAAAACIAAABkcnMvZG93bnJldi54bWxQSwEC&#10;FAAUAAAACACHTuJAX0DG8i4CAAB/BAAADgAAAAAAAAABACAAAAAmAQAAZHJzL2Uyb0RvYy54bWxQ&#10;SwUGAAAAAAYABgBZAQAAxgUAAAAA&#10;">
                <v:fill on="t" focussize="0,0"/>
                <v:stroke color="#000000" miterlimit="8" joinstyle="miter"/>
                <v:imagedata o:title=""/>
                <o:lock v:ext="edit" aspectratio="f"/>
                <v:textbox>
                  <w:txbxContent>
                    <w:p w14:paraId="763FDE48">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37</w:t>
                      </w:r>
                      <w:r>
                        <w:rPr>
                          <w:rFonts w:hint="eastAsia" w:ascii="仿宋" w:hAnsi="仿宋" w:eastAsia="仿宋" w:cs="方正小标宋简体"/>
                          <w:b/>
                          <w:bCs/>
                          <w:sz w:val="28"/>
                          <w:szCs w:val="28"/>
                        </w:rPr>
                        <w:t xml:space="preserve"> ：</w:t>
                      </w:r>
                      <w:r>
                        <w:rPr>
                          <w:rFonts w:hint="eastAsia" w:ascii="仿宋" w:hAnsi="仿宋" w:eastAsia="仿宋" w:cs="方正小标宋简体"/>
                          <w:b/>
                          <w:bCs/>
                          <w:color w:val="000000"/>
                          <w:sz w:val="28"/>
                          <w:szCs w:val="28"/>
                        </w:rPr>
                        <w:t>花溪区青岩镇西门河集中式饮用水水源监管范围划分图</w:t>
                      </w:r>
                    </w:p>
                    <w:p w14:paraId="0B63DCDE">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v:textbox>
              </v:rect>
            </w:pict>
          </mc:Fallback>
        </mc:AlternateContent>
      </w:r>
    </w:p>
    <w:p w14:paraId="2C2293FF">
      <w:pPr>
        <w:widowControl/>
        <w:spacing w:line="240" w:lineRule="auto"/>
        <w:jc w:val="left"/>
        <w:rPr>
          <w:rFonts w:eastAsia="仿宋"/>
          <w:b/>
          <w:kern w:val="0"/>
          <w:szCs w:val="24"/>
        </w:rPr>
      </w:pPr>
    </w:p>
    <w:p w14:paraId="5EBFE0FA">
      <w:pPr>
        <w:widowControl/>
        <w:spacing w:line="240" w:lineRule="auto"/>
        <w:jc w:val="left"/>
        <w:rPr>
          <w:rFonts w:eastAsia="仿宋"/>
          <w:b/>
          <w:kern w:val="0"/>
          <w:szCs w:val="24"/>
        </w:rPr>
      </w:pPr>
      <w:r>
        <w:rPr>
          <w:rFonts w:eastAsia="仿宋"/>
          <w:b/>
          <w:kern w:val="0"/>
          <w:szCs w:val="24"/>
        </w:rPr>
        <w:drawing>
          <wp:anchor distT="0" distB="0" distL="114300" distR="114300" simplePos="0" relativeHeight="251683840" behindDoc="0" locked="0" layoutInCell="1" allowOverlap="1">
            <wp:simplePos x="0" y="0"/>
            <wp:positionH relativeFrom="column">
              <wp:posOffset>360680</wp:posOffset>
            </wp:positionH>
            <wp:positionV relativeFrom="paragraph">
              <wp:posOffset>69215</wp:posOffset>
            </wp:positionV>
            <wp:extent cx="7453630" cy="5009515"/>
            <wp:effectExtent l="0" t="0" r="0" b="0"/>
            <wp:wrapNone/>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a:xfrm>
                      <a:off x="0" y="0"/>
                      <a:ext cx="7453424" cy="5009640"/>
                    </a:xfrm>
                    <a:prstGeom prst="rect">
                      <a:avLst/>
                    </a:prstGeom>
                    <a:noFill/>
                    <a:ln>
                      <a:noFill/>
                    </a:ln>
                  </pic:spPr>
                </pic:pic>
              </a:graphicData>
            </a:graphic>
          </wp:anchor>
        </w:drawing>
      </w:r>
    </w:p>
    <w:p w14:paraId="509AEC91">
      <w:pPr>
        <w:widowControl/>
        <w:spacing w:line="240" w:lineRule="auto"/>
        <w:jc w:val="left"/>
        <w:rPr>
          <w:rFonts w:eastAsia="仿宋"/>
          <w:b/>
          <w:kern w:val="0"/>
          <w:szCs w:val="24"/>
        </w:rPr>
      </w:pPr>
    </w:p>
    <w:p w14:paraId="27C9328D">
      <w:pPr>
        <w:widowControl/>
        <w:spacing w:line="240" w:lineRule="auto"/>
        <w:jc w:val="left"/>
        <w:rPr>
          <w:rFonts w:eastAsia="仿宋"/>
          <w:b/>
          <w:kern w:val="0"/>
          <w:szCs w:val="24"/>
        </w:rPr>
      </w:pPr>
    </w:p>
    <w:p w14:paraId="4DBABA0B">
      <w:pPr>
        <w:widowControl/>
        <w:spacing w:line="240" w:lineRule="auto"/>
        <w:jc w:val="left"/>
        <w:rPr>
          <w:rFonts w:eastAsia="仿宋"/>
          <w:b/>
          <w:kern w:val="0"/>
          <w:szCs w:val="24"/>
        </w:rPr>
      </w:pPr>
    </w:p>
    <w:p w14:paraId="3F93B978">
      <w:pPr>
        <w:widowControl/>
        <w:spacing w:line="240" w:lineRule="auto"/>
        <w:jc w:val="left"/>
        <w:rPr>
          <w:rFonts w:eastAsia="仿宋"/>
          <w:b/>
          <w:kern w:val="0"/>
          <w:szCs w:val="24"/>
        </w:rPr>
      </w:pPr>
    </w:p>
    <w:p w14:paraId="1A22036B">
      <w:pPr>
        <w:widowControl/>
        <w:spacing w:line="240" w:lineRule="auto"/>
        <w:jc w:val="left"/>
        <w:rPr>
          <w:rFonts w:eastAsia="仿宋"/>
          <w:b/>
          <w:kern w:val="0"/>
          <w:szCs w:val="24"/>
        </w:rPr>
      </w:pPr>
    </w:p>
    <w:p w14:paraId="627189C0">
      <w:pPr>
        <w:widowControl/>
        <w:spacing w:line="240" w:lineRule="auto"/>
        <w:jc w:val="left"/>
        <w:rPr>
          <w:rFonts w:eastAsia="仿宋"/>
          <w:b/>
          <w:kern w:val="0"/>
          <w:szCs w:val="24"/>
        </w:rPr>
      </w:pPr>
    </w:p>
    <w:p w14:paraId="0885B14A">
      <w:pPr>
        <w:widowControl/>
        <w:spacing w:line="240" w:lineRule="auto"/>
        <w:jc w:val="left"/>
        <w:rPr>
          <w:rFonts w:eastAsia="仿宋"/>
          <w:b/>
          <w:kern w:val="0"/>
          <w:szCs w:val="24"/>
        </w:rPr>
      </w:pPr>
    </w:p>
    <w:p w14:paraId="71246142">
      <w:pPr>
        <w:widowControl/>
        <w:spacing w:line="240" w:lineRule="auto"/>
        <w:jc w:val="left"/>
        <w:rPr>
          <w:rFonts w:eastAsia="仿宋"/>
          <w:b/>
          <w:kern w:val="0"/>
          <w:szCs w:val="24"/>
        </w:rPr>
      </w:pPr>
    </w:p>
    <w:p w14:paraId="0492D85D">
      <w:pPr>
        <w:widowControl/>
        <w:spacing w:line="240" w:lineRule="auto"/>
        <w:jc w:val="left"/>
        <w:rPr>
          <w:rFonts w:eastAsia="仿宋"/>
          <w:b/>
          <w:kern w:val="0"/>
          <w:szCs w:val="24"/>
        </w:rPr>
      </w:pPr>
    </w:p>
    <w:p w14:paraId="1149F75B">
      <w:pPr>
        <w:widowControl/>
        <w:spacing w:line="240" w:lineRule="auto"/>
        <w:jc w:val="left"/>
        <w:rPr>
          <w:rFonts w:eastAsia="仿宋"/>
          <w:b/>
          <w:kern w:val="0"/>
          <w:szCs w:val="24"/>
        </w:rPr>
      </w:pPr>
    </w:p>
    <w:p w14:paraId="422A7EBA">
      <w:pPr>
        <w:widowControl/>
        <w:spacing w:line="240" w:lineRule="auto"/>
        <w:jc w:val="left"/>
        <w:rPr>
          <w:rFonts w:eastAsia="仿宋"/>
          <w:b/>
          <w:kern w:val="0"/>
          <w:szCs w:val="24"/>
        </w:rPr>
      </w:pPr>
    </w:p>
    <w:p w14:paraId="398B203F">
      <w:pPr>
        <w:widowControl/>
        <w:spacing w:line="240" w:lineRule="auto"/>
        <w:jc w:val="left"/>
        <w:rPr>
          <w:rFonts w:eastAsia="仿宋"/>
          <w:b/>
          <w:kern w:val="0"/>
          <w:szCs w:val="24"/>
        </w:rPr>
      </w:pPr>
    </w:p>
    <w:p w14:paraId="37333195">
      <w:pPr>
        <w:widowControl/>
        <w:spacing w:line="240" w:lineRule="auto"/>
        <w:jc w:val="left"/>
        <w:rPr>
          <w:rFonts w:eastAsia="仿宋"/>
          <w:b/>
          <w:kern w:val="0"/>
          <w:szCs w:val="24"/>
        </w:rPr>
      </w:pPr>
    </w:p>
    <w:p w14:paraId="38890317">
      <w:pPr>
        <w:widowControl/>
        <w:spacing w:line="240" w:lineRule="auto"/>
        <w:jc w:val="left"/>
        <w:rPr>
          <w:rFonts w:eastAsia="仿宋"/>
          <w:b/>
          <w:kern w:val="0"/>
          <w:szCs w:val="24"/>
        </w:rPr>
      </w:pPr>
    </w:p>
    <w:p w14:paraId="542A2508">
      <w:pPr>
        <w:widowControl/>
        <w:spacing w:line="240" w:lineRule="auto"/>
        <w:jc w:val="left"/>
        <w:rPr>
          <w:rFonts w:eastAsia="仿宋"/>
          <w:b/>
          <w:kern w:val="0"/>
          <w:szCs w:val="24"/>
        </w:rPr>
      </w:pPr>
    </w:p>
    <w:p w14:paraId="6F55DB62">
      <w:pPr>
        <w:widowControl/>
        <w:spacing w:line="240" w:lineRule="auto"/>
        <w:jc w:val="left"/>
        <w:rPr>
          <w:rFonts w:eastAsia="仿宋"/>
          <w:b/>
          <w:kern w:val="0"/>
          <w:szCs w:val="24"/>
        </w:rPr>
      </w:pPr>
    </w:p>
    <w:p w14:paraId="252298ED">
      <w:pPr>
        <w:widowControl/>
        <w:spacing w:line="240" w:lineRule="auto"/>
        <w:jc w:val="left"/>
        <w:rPr>
          <w:rFonts w:eastAsia="仿宋"/>
          <w:b/>
          <w:kern w:val="0"/>
          <w:szCs w:val="24"/>
        </w:rPr>
      </w:pPr>
    </w:p>
    <w:p w14:paraId="6B4B7CD2">
      <w:pPr>
        <w:widowControl/>
        <w:spacing w:line="240" w:lineRule="auto"/>
        <w:jc w:val="left"/>
        <w:rPr>
          <w:rFonts w:eastAsia="仿宋"/>
          <w:b/>
          <w:kern w:val="0"/>
          <w:szCs w:val="24"/>
        </w:rPr>
      </w:pPr>
    </w:p>
    <w:p w14:paraId="1ED84BF4">
      <w:pPr>
        <w:widowControl/>
        <w:spacing w:line="240" w:lineRule="auto"/>
        <w:jc w:val="left"/>
        <w:rPr>
          <w:rFonts w:eastAsia="仿宋"/>
          <w:b/>
          <w:kern w:val="0"/>
          <w:szCs w:val="24"/>
        </w:rPr>
      </w:pPr>
    </w:p>
    <w:p w14:paraId="189EFCC6">
      <w:pPr>
        <w:widowControl/>
        <w:spacing w:line="240" w:lineRule="auto"/>
        <w:jc w:val="left"/>
        <w:rPr>
          <w:rFonts w:eastAsia="仿宋"/>
          <w:b/>
          <w:kern w:val="0"/>
          <w:szCs w:val="24"/>
        </w:rPr>
      </w:pPr>
    </w:p>
    <w:p w14:paraId="4D98D0AE">
      <w:pPr>
        <w:widowControl/>
        <w:spacing w:line="240" w:lineRule="auto"/>
        <w:jc w:val="left"/>
        <w:rPr>
          <w:rFonts w:eastAsia="仿宋"/>
          <w:b/>
          <w:kern w:val="0"/>
          <w:szCs w:val="24"/>
        </w:rPr>
      </w:pPr>
    </w:p>
    <w:p w14:paraId="6BC63B0F">
      <w:pPr>
        <w:widowControl/>
        <w:spacing w:line="240" w:lineRule="auto"/>
        <w:jc w:val="left"/>
        <w:rPr>
          <w:rFonts w:eastAsia="仿宋"/>
          <w:b/>
          <w:kern w:val="0"/>
          <w:szCs w:val="24"/>
        </w:rPr>
      </w:pPr>
    </w:p>
    <w:p w14:paraId="74478CB1">
      <w:pPr>
        <w:widowControl/>
        <w:spacing w:line="240" w:lineRule="auto"/>
        <w:jc w:val="left"/>
        <w:rPr>
          <w:rFonts w:eastAsia="仿宋"/>
          <w:b/>
          <w:kern w:val="0"/>
          <w:szCs w:val="24"/>
        </w:rPr>
      </w:pPr>
    </w:p>
    <w:p w14:paraId="63B0A090">
      <w:pPr>
        <w:widowControl/>
        <w:spacing w:line="240" w:lineRule="auto"/>
        <w:jc w:val="left"/>
        <w:rPr>
          <w:rFonts w:eastAsia="仿宋"/>
          <w:b/>
          <w:kern w:val="0"/>
          <w:szCs w:val="24"/>
        </w:rPr>
      </w:pPr>
    </w:p>
    <w:p w14:paraId="77395177">
      <w:pPr>
        <w:widowControl/>
        <w:spacing w:line="240" w:lineRule="auto"/>
        <w:jc w:val="left"/>
        <w:rPr>
          <w:rFonts w:eastAsia="仿宋"/>
          <w:b/>
          <w:kern w:val="0"/>
          <w:szCs w:val="24"/>
        </w:rPr>
      </w:pPr>
      <w:r>
        <w:rPr>
          <w:rFonts w:eastAsia="仿宋"/>
          <w:b/>
          <w:kern w:val="0"/>
          <w:szCs w:val="24"/>
        </w:rPr>
        <mc:AlternateContent>
          <mc:Choice Requires="wps">
            <w:drawing>
              <wp:anchor distT="0" distB="0" distL="114300" distR="114300" simplePos="0" relativeHeight="251731968" behindDoc="0" locked="0" layoutInCell="1" allowOverlap="1">
                <wp:simplePos x="0" y="0"/>
                <wp:positionH relativeFrom="column">
                  <wp:posOffset>563880</wp:posOffset>
                </wp:positionH>
                <wp:positionV relativeFrom="paragraph">
                  <wp:posOffset>52705</wp:posOffset>
                </wp:positionV>
                <wp:extent cx="7485380" cy="434975"/>
                <wp:effectExtent l="11430" t="10795" r="8890" b="11430"/>
                <wp:wrapNone/>
                <wp:docPr id="65" name="Rectangle 94"/>
                <wp:cNvGraphicFramePr/>
                <a:graphic xmlns:a="http://schemas.openxmlformats.org/drawingml/2006/main">
                  <a:graphicData uri="http://schemas.microsoft.com/office/word/2010/wordprocessingShape">
                    <wps:wsp>
                      <wps:cNvSpPr>
                        <a:spLocks noChangeArrowheads="1"/>
                      </wps:cNvSpPr>
                      <wps:spPr bwMode="auto">
                        <a:xfrm>
                          <a:off x="0" y="0"/>
                          <a:ext cx="7485380" cy="434975"/>
                        </a:xfrm>
                        <a:prstGeom prst="rect">
                          <a:avLst/>
                        </a:prstGeom>
                        <a:solidFill>
                          <a:srgbClr val="FFFFFF"/>
                        </a:solidFill>
                        <a:ln w="9525">
                          <a:solidFill>
                            <a:srgbClr val="000000"/>
                          </a:solidFill>
                          <a:miter lim="800000"/>
                        </a:ln>
                      </wps:spPr>
                      <wps:txbx>
                        <w:txbxContent>
                          <w:p w14:paraId="282E8143">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38</w:t>
                            </w:r>
                            <w:r>
                              <w:rPr>
                                <w:rFonts w:hint="eastAsia" w:ascii="仿宋" w:hAnsi="仿宋" w:eastAsia="仿宋" w:cs="方正小标宋简体"/>
                                <w:b/>
                                <w:bCs/>
                                <w:sz w:val="28"/>
                                <w:szCs w:val="28"/>
                              </w:rPr>
                              <w:t xml:space="preserve"> ：</w:t>
                            </w:r>
                            <w:r>
                              <w:rPr>
                                <w:rFonts w:hint="eastAsia" w:ascii="仿宋" w:hAnsi="仿宋" w:eastAsia="仿宋" w:cs="方正小标宋简体"/>
                                <w:b/>
                                <w:bCs/>
                                <w:color w:val="000000"/>
                                <w:sz w:val="28"/>
                                <w:szCs w:val="28"/>
                              </w:rPr>
                              <w:t>花溪区青岩镇西门河集中式饮用水水源监管范围影像图</w:t>
                            </w:r>
                          </w:p>
                          <w:p w14:paraId="7F90E158">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wps:txbx>
                      <wps:bodyPr rot="0" vert="horz" wrap="square" lIns="91440" tIns="45720" rIns="91440" bIns="45720" anchor="t" anchorCtr="0" upright="1">
                        <a:noAutofit/>
                      </wps:bodyPr>
                    </wps:wsp>
                  </a:graphicData>
                </a:graphic>
              </wp:anchor>
            </w:drawing>
          </mc:Choice>
          <mc:Fallback>
            <w:pict>
              <v:rect id="Rectangle 94" o:spid="_x0000_s1026" o:spt="1" style="position:absolute;left:0pt;margin-left:44.4pt;margin-top:4.15pt;height:34.25pt;width:589.4pt;z-index:251731968;mso-width-relative:page;mso-height-relative:page;" fillcolor="#FFFFFF" filled="t" stroked="t" coordsize="21600,21600" o:gfxdata="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B6HL4fXAAAACAEAAA8AAAAAAAAAAQAgAAAAIgAAAGRycy9kb3ducmV2LnhtbFBL&#10;AQIUABQAAAAIAIdO4kDNCWhUMAIAAH8EAAAOAAAAAAAAAAEAIAAAACYBAABkcnMvZTJvRG9jLnht&#10;bFBLBQYAAAAABgAGAFkBAADIBQAAAAA=&#10;">
                <v:fill on="t" focussize="0,0"/>
                <v:stroke color="#000000" miterlimit="8" joinstyle="miter"/>
                <v:imagedata o:title=""/>
                <o:lock v:ext="edit" aspectratio="f"/>
                <v:textbox>
                  <w:txbxContent>
                    <w:p w14:paraId="282E8143">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38</w:t>
                      </w:r>
                      <w:r>
                        <w:rPr>
                          <w:rFonts w:hint="eastAsia" w:ascii="仿宋" w:hAnsi="仿宋" w:eastAsia="仿宋" w:cs="方正小标宋简体"/>
                          <w:b/>
                          <w:bCs/>
                          <w:sz w:val="28"/>
                          <w:szCs w:val="28"/>
                        </w:rPr>
                        <w:t xml:space="preserve"> ：</w:t>
                      </w:r>
                      <w:r>
                        <w:rPr>
                          <w:rFonts w:hint="eastAsia" w:ascii="仿宋" w:hAnsi="仿宋" w:eastAsia="仿宋" w:cs="方正小标宋简体"/>
                          <w:b/>
                          <w:bCs/>
                          <w:color w:val="000000"/>
                          <w:sz w:val="28"/>
                          <w:szCs w:val="28"/>
                        </w:rPr>
                        <w:t>花溪区青岩镇西门河集中式饮用水水源监管范围影像图</w:t>
                      </w:r>
                    </w:p>
                    <w:p w14:paraId="7F90E158">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v:textbox>
              </v:rect>
            </w:pict>
          </mc:Fallback>
        </mc:AlternateContent>
      </w:r>
    </w:p>
    <w:p w14:paraId="4338AD51">
      <w:pPr>
        <w:widowControl/>
        <w:spacing w:line="240" w:lineRule="auto"/>
        <w:jc w:val="left"/>
        <w:rPr>
          <w:rFonts w:eastAsia="仿宋"/>
          <w:b/>
          <w:kern w:val="0"/>
          <w:szCs w:val="24"/>
        </w:rPr>
      </w:pPr>
    </w:p>
    <w:p w14:paraId="0AC77B47">
      <w:pPr>
        <w:widowControl/>
        <w:spacing w:line="240" w:lineRule="auto"/>
        <w:jc w:val="left"/>
        <w:rPr>
          <w:rFonts w:eastAsia="仿宋"/>
          <w:b/>
          <w:kern w:val="0"/>
          <w:szCs w:val="24"/>
        </w:rPr>
      </w:pPr>
      <w:r>
        <w:rPr>
          <w:rFonts w:eastAsia="仿宋"/>
          <w:b/>
          <w:kern w:val="0"/>
          <w:szCs w:val="24"/>
        </w:rPr>
        <w:drawing>
          <wp:anchor distT="0" distB="0" distL="114300" distR="114300" simplePos="0" relativeHeight="251684864" behindDoc="0" locked="0" layoutInCell="1" allowOverlap="1">
            <wp:simplePos x="0" y="0"/>
            <wp:positionH relativeFrom="column">
              <wp:posOffset>554355</wp:posOffset>
            </wp:positionH>
            <wp:positionV relativeFrom="paragraph">
              <wp:posOffset>90805</wp:posOffset>
            </wp:positionV>
            <wp:extent cx="7496175" cy="5038090"/>
            <wp:effectExtent l="0" t="0" r="0" b="0"/>
            <wp:wrapNone/>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a:xfrm>
                      <a:off x="0" y="0"/>
                      <a:ext cx="7495953" cy="5038225"/>
                    </a:xfrm>
                    <a:prstGeom prst="rect">
                      <a:avLst/>
                    </a:prstGeom>
                    <a:noFill/>
                    <a:ln>
                      <a:noFill/>
                    </a:ln>
                  </pic:spPr>
                </pic:pic>
              </a:graphicData>
            </a:graphic>
          </wp:anchor>
        </w:drawing>
      </w:r>
    </w:p>
    <w:p w14:paraId="28C6D933">
      <w:pPr>
        <w:widowControl/>
        <w:spacing w:line="240" w:lineRule="auto"/>
        <w:jc w:val="left"/>
        <w:rPr>
          <w:rFonts w:eastAsia="仿宋"/>
          <w:b/>
          <w:kern w:val="0"/>
          <w:szCs w:val="24"/>
        </w:rPr>
      </w:pPr>
    </w:p>
    <w:p w14:paraId="391819E0">
      <w:pPr>
        <w:widowControl/>
        <w:spacing w:line="240" w:lineRule="auto"/>
        <w:jc w:val="left"/>
        <w:rPr>
          <w:rFonts w:eastAsia="仿宋"/>
          <w:b/>
          <w:kern w:val="0"/>
          <w:szCs w:val="24"/>
        </w:rPr>
      </w:pPr>
    </w:p>
    <w:p w14:paraId="156518E7">
      <w:pPr>
        <w:widowControl/>
        <w:spacing w:line="240" w:lineRule="auto"/>
        <w:jc w:val="left"/>
        <w:rPr>
          <w:rFonts w:eastAsia="仿宋"/>
          <w:b/>
          <w:kern w:val="0"/>
          <w:szCs w:val="24"/>
        </w:rPr>
      </w:pPr>
    </w:p>
    <w:p w14:paraId="0B115F60">
      <w:pPr>
        <w:widowControl/>
        <w:spacing w:line="240" w:lineRule="auto"/>
        <w:jc w:val="left"/>
        <w:rPr>
          <w:rFonts w:eastAsia="仿宋"/>
          <w:b/>
          <w:kern w:val="0"/>
          <w:szCs w:val="24"/>
        </w:rPr>
      </w:pPr>
    </w:p>
    <w:p w14:paraId="1200E058">
      <w:pPr>
        <w:widowControl/>
        <w:spacing w:line="240" w:lineRule="auto"/>
        <w:jc w:val="left"/>
        <w:rPr>
          <w:rFonts w:eastAsia="仿宋"/>
          <w:b/>
          <w:kern w:val="0"/>
          <w:szCs w:val="24"/>
        </w:rPr>
      </w:pPr>
    </w:p>
    <w:p w14:paraId="2F7E7D70">
      <w:pPr>
        <w:widowControl/>
        <w:spacing w:line="240" w:lineRule="auto"/>
        <w:jc w:val="left"/>
        <w:rPr>
          <w:rFonts w:eastAsia="仿宋"/>
          <w:b/>
          <w:kern w:val="0"/>
          <w:szCs w:val="24"/>
        </w:rPr>
      </w:pPr>
    </w:p>
    <w:p w14:paraId="64704D30">
      <w:pPr>
        <w:widowControl/>
        <w:spacing w:line="240" w:lineRule="auto"/>
        <w:jc w:val="left"/>
        <w:rPr>
          <w:rFonts w:eastAsia="仿宋"/>
          <w:b/>
          <w:kern w:val="0"/>
          <w:szCs w:val="24"/>
        </w:rPr>
      </w:pPr>
    </w:p>
    <w:p w14:paraId="6C8BDA9B">
      <w:pPr>
        <w:widowControl/>
        <w:spacing w:line="240" w:lineRule="auto"/>
        <w:jc w:val="left"/>
        <w:rPr>
          <w:rFonts w:eastAsia="仿宋"/>
          <w:b/>
          <w:kern w:val="0"/>
          <w:szCs w:val="24"/>
        </w:rPr>
      </w:pPr>
    </w:p>
    <w:p w14:paraId="604E67E2">
      <w:pPr>
        <w:widowControl/>
        <w:spacing w:line="240" w:lineRule="auto"/>
        <w:jc w:val="left"/>
        <w:rPr>
          <w:rFonts w:eastAsia="仿宋"/>
          <w:b/>
          <w:kern w:val="0"/>
          <w:szCs w:val="24"/>
        </w:rPr>
      </w:pPr>
    </w:p>
    <w:p w14:paraId="00E21EB0">
      <w:pPr>
        <w:widowControl/>
        <w:spacing w:line="240" w:lineRule="auto"/>
        <w:jc w:val="left"/>
        <w:rPr>
          <w:rFonts w:eastAsia="仿宋"/>
          <w:b/>
          <w:kern w:val="0"/>
          <w:szCs w:val="24"/>
        </w:rPr>
      </w:pPr>
    </w:p>
    <w:p w14:paraId="30E8485D">
      <w:pPr>
        <w:widowControl/>
        <w:spacing w:line="240" w:lineRule="auto"/>
        <w:jc w:val="left"/>
        <w:rPr>
          <w:rFonts w:eastAsia="仿宋"/>
          <w:b/>
          <w:kern w:val="0"/>
          <w:szCs w:val="24"/>
        </w:rPr>
      </w:pPr>
    </w:p>
    <w:p w14:paraId="491A38CA">
      <w:pPr>
        <w:widowControl/>
        <w:spacing w:line="240" w:lineRule="auto"/>
        <w:jc w:val="left"/>
        <w:rPr>
          <w:rFonts w:eastAsia="仿宋"/>
          <w:b/>
          <w:kern w:val="0"/>
          <w:szCs w:val="24"/>
        </w:rPr>
      </w:pPr>
    </w:p>
    <w:p w14:paraId="496B27B1">
      <w:pPr>
        <w:widowControl/>
        <w:spacing w:line="240" w:lineRule="auto"/>
        <w:jc w:val="left"/>
        <w:rPr>
          <w:rFonts w:eastAsia="仿宋"/>
          <w:b/>
          <w:kern w:val="0"/>
          <w:szCs w:val="24"/>
        </w:rPr>
      </w:pPr>
    </w:p>
    <w:p w14:paraId="5361D8C3">
      <w:pPr>
        <w:widowControl/>
        <w:spacing w:line="240" w:lineRule="auto"/>
        <w:jc w:val="left"/>
        <w:rPr>
          <w:rFonts w:eastAsia="仿宋"/>
          <w:b/>
          <w:kern w:val="0"/>
          <w:szCs w:val="24"/>
        </w:rPr>
      </w:pPr>
    </w:p>
    <w:p w14:paraId="6683548F">
      <w:pPr>
        <w:widowControl/>
        <w:spacing w:line="240" w:lineRule="auto"/>
        <w:jc w:val="left"/>
        <w:rPr>
          <w:rFonts w:eastAsia="仿宋"/>
          <w:b/>
          <w:kern w:val="0"/>
          <w:szCs w:val="24"/>
        </w:rPr>
      </w:pPr>
    </w:p>
    <w:p w14:paraId="1AE18E55">
      <w:pPr>
        <w:widowControl/>
        <w:spacing w:line="240" w:lineRule="auto"/>
        <w:jc w:val="left"/>
        <w:rPr>
          <w:rFonts w:eastAsia="仿宋"/>
          <w:b/>
          <w:kern w:val="0"/>
          <w:szCs w:val="24"/>
        </w:rPr>
      </w:pPr>
    </w:p>
    <w:p w14:paraId="2FD0E6FC">
      <w:pPr>
        <w:widowControl/>
        <w:spacing w:line="240" w:lineRule="auto"/>
        <w:jc w:val="left"/>
        <w:rPr>
          <w:rFonts w:eastAsia="仿宋"/>
          <w:b/>
          <w:kern w:val="0"/>
          <w:szCs w:val="24"/>
        </w:rPr>
      </w:pPr>
    </w:p>
    <w:p w14:paraId="437E9899">
      <w:pPr>
        <w:widowControl/>
        <w:spacing w:line="240" w:lineRule="auto"/>
        <w:jc w:val="left"/>
        <w:rPr>
          <w:rFonts w:eastAsia="仿宋"/>
          <w:b/>
          <w:kern w:val="0"/>
          <w:szCs w:val="24"/>
        </w:rPr>
      </w:pPr>
    </w:p>
    <w:p w14:paraId="12493299">
      <w:pPr>
        <w:widowControl/>
        <w:spacing w:line="240" w:lineRule="auto"/>
        <w:jc w:val="left"/>
        <w:rPr>
          <w:rFonts w:eastAsia="仿宋"/>
          <w:b/>
          <w:kern w:val="0"/>
          <w:szCs w:val="24"/>
        </w:rPr>
      </w:pPr>
    </w:p>
    <w:p w14:paraId="6EFA0102">
      <w:pPr>
        <w:widowControl/>
        <w:spacing w:line="240" w:lineRule="auto"/>
        <w:jc w:val="left"/>
        <w:rPr>
          <w:rFonts w:eastAsia="仿宋"/>
          <w:b/>
          <w:kern w:val="0"/>
          <w:szCs w:val="24"/>
        </w:rPr>
        <w:sectPr>
          <w:pgSz w:w="16838" w:h="11906" w:orient="landscape"/>
          <w:pgMar w:top="1644" w:right="1440" w:bottom="1644" w:left="1440" w:header="851" w:footer="992" w:gutter="0"/>
          <w:cols w:space="425" w:num="1"/>
          <w:docGrid w:type="lines" w:linePitch="312" w:charSpace="0"/>
        </w:sectPr>
      </w:pPr>
    </w:p>
    <w:p w14:paraId="1D724CB9">
      <w:pPr>
        <w:widowControl/>
        <w:spacing w:line="240" w:lineRule="auto"/>
        <w:jc w:val="left"/>
        <w:rPr>
          <w:rFonts w:eastAsia="仿宋"/>
          <w:b/>
          <w:kern w:val="0"/>
          <w:szCs w:val="24"/>
        </w:rPr>
      </w:pPr>
      <w:r>
        <w:rPr>
          <w:rFonts w:eastAsia="仿宋"/>
          <w:b/>
          <w:kern w:val="0"/>
          <w:szCs w:val="24"/>
        </w:rPr>
        <w:drawing>
          <wp:anchor distT="0" distB="0" distL="114300" distR="114300" simplePos="0" relativeHeight="251685888" behindDoc="0" locked="0" layoutInCell="1" allowOverlap="1">
            <wp:simplePos x="0" y="0"/>
            <wp:positionH relativeFrom="column">
              <wp:posOffset>-12065</wp:posOffset>
            </wp:positionH>
            <wp:positionV relativeFrom="paragraph">
              <wp:posOffset>478155</wp:posOffset>
            </wp:positionV>
            <wp:extent cx="5472430" cy="7633335"/>
            <wp:effectExtent l="0" t="0" r="0" b="0"/>
            <wp:wrapNone/>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a:xfrm>
                      <a:off x="0" y="0"/>
                      <a:ext cx="5472430" cy="7633335"/>
                    </a:xfrm>
                    <a:prstGeom prst="rect">
                      <a:avLst/>
                    </a:prstGeom>
                    <a:noFill/>
                    <a:ln>
                      <a:noFill/>
                    </a:ln>
                  </pic:spPr>
                </pic:pic>
              </a:graphicData>
            </a:graphic>
          </wp:anchor>
        </w:drawing>
      </w:r>
      <w:r>
        <w:rPr>
          <w:rFonts w:eastAsia="仿宋"/>
          <w:b/>
          <w:kern w:val="0"/>
          <w:szCs w:val="24"/>
        </w:rPr>
        <mc:AlternateContent>
          <mc:Choice Requires="wps">
            <w:drawing>
              <wp:anchor distT="0" distB="0" distL="114300" distR="114300" simplePos="0" relativeHeight="251732992" behindDoc="0" locked="0" layoutInCell="1" allowOverlap="1">
                <wp:simplePos x="0" y="0"/>
                <wp:positionH relativeFrom="column">
                  <wp:posOffset>-4445</wp:posOffset>
                </wp:positionH>
                <wp:positionV relativeFrom="paragraph">
                  <wp:posOffset>53975</wp:posOffset>
                </wp:positionV>
                <wp:extent cx="5467350" cy="434975"/>
                <wp:effectExtent l="10795" t="6350" r="8255" b="6350"/>
                <wp:wrapNone/>
                <wp:docPr id="63" name="Rectangle 96"/>
                <wp:cNvGraphicFramePr/>
                <a:graphic xmlns:a="http://schemas.openxmlformats.org/drawingml/2006/main">
                  <a:graphicData uri="http://schemas.microsoft.com/office/word/2010/wordprocessingShape">
                    <wps:wsp>
                      <wps:cNvSpPr>
                        <a:spLocks noChangeArrowheads="1"/>
                      </wps:cNvSpPr>
                      <wps:spPr bwMode="auto">
                        <a:xfrm>
                          <a:off x="0" y="0"/>
                          <a:ext cx="5467350" cy="434975"/>
                        </a:xfrm>
                        <a:prstGeom prst="rect">
                          <a:avLst/>
                        </a:prstGeom>
                        <a:solidFill>
                          <a:srgbClr val="FFFFFF"/>
                        </a:solidFill>
                        <a:ln w="9525">
                          <a:solidFill>
                            <a:srgbClr val="000000"/>
                          </a:solidFill>
                          <a:miter lim="800000"/>
                        </a:ln>
                      </wps:spPr>
                      <wps:txbx>
                        <w:txbxContent>
                          <w:p w14:paraId="08BB0859">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39</w:t>
                            </w:r>
                            <w:r>
                              <w:rPr>
                                <w:rFonts w:hint="eastAsia" w:ascii="仿宋" w:hAnsi="仿宋" w:eastAsia="仿宋" w:cs="方正小标宋简体"/>
                                <w:b/>
                                <w:bCs/>
                                <w:sz w:val="28"/>
                                <w:szCs w:val="28"/>
                              </w:rPr>
                              <w:t xml:space="preserve"> ：</w:t>
                            </w:r>
                            <w:r>
                              <w:rPr>
                                <w:rFonts w:hint="eastAsia" w:ascii="仿宋" w:hAnsi="仿宋" w:eastAsia="仿宋" w:cs="方正小标宋简体"/>
                                <w:b/>
                                <w:bCs/>
                                <w:color w:val="000000"/>
                                <w:sz w:val="28"/>
                                <w:szCs w:val="28"/>
                              </w:rPr>
                              <w:t>花溪区青岩镇新楼村集中式饮用水水源监管范围划分图</w:t>
                            </w:r>
                          </w:p>
                          <w:p w14:paraId="25E00436">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wps:txbx>
                      <wps:bodyPr rot="0" vert="horz" wrap="square" lIns="91440" tIns="45720" rIns="91440" bIns="45720" anchor="t" anchorCtr="0" upright="1">
                        <a:noAutofit/>
                      </wps:bodyPr>
                    </wps:wsp>
                  </a:graphicData>
                </a:graphic>
              </wp:anchor>
            </w:drawing>
          </mc:Choice>
          <mc:Fallback>
            <w:pict>
              <v:rect id="Rectangle 96" o:spid="_x0000_s1026" o:spt="1" style="position:absolute;left:0pt;margin-left:-0.35pt;margin-top:4.25pt;height:34.25pt;width:430.5pt;z-index:251732992;mso-width-relative:page;mso-height-relative:page;" fillcolor="#FFFFFF" filled="t" stroked="t" coordsize="21600,21600" o:gfxdata="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B7Epl/VAAAABgEAAA8AAAAAAAAAAQAgAAAAIgAAAGRycy9kb3ducmV2LnhtbFBLAQIU&#10;ABQAAAAIAIdO4kAC+dPsLwIAAH8EAAAOAAAAAAAAAAEAIAAAACQBAABkcnMvZTJvRG9jLnhtbFBL&#10;BQYAAAAABgAGAFkBAADFBQAAAAA=&#10;">
                <v:fill on="t" focussize="0,0"/>
                <v:stroke color="#000000" miterlimit="8" joinstyle="miter"/>
                <v:imagedata o:title=""/>
                <o:lock v:ext="edit" aspectratio="f"/>
                <v:textbox>
                  <w:txbxContent>
                    <w:p w14:paraId="08BB0859">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39</w:t>
                      </w:r>
                      <w:r>
                        <w:rPr>
                          <w:rFonts w:hint="eastAsia" w:ascii="仿宋" w:hAnsi="仿宋" w:eastAsia="仿宋" w:cs="方正小标宋简体"/>
                          <w:b/>
                          <w:bCs/>
                          <w:sz w:val="28"/>
                          <w:szCs w:val="28"/>
                        </w:rPr>
                        <w:t xml:space="preserve"> ：</w:t>
                      </w:r>
                      <w:r>
                        <w:rPr>
                          <w:rFonts w:hint="eastAsia" w:ascii="仿宋" w:hAnsi="仿宋" w:eastAsia="仿宋" w:cs="方正小标宋简体"/>
                          <w:b/>
                          <w:bCs/>
                          <w:color w:val="000000"/>
                          <w:sz w:val="28"/>
                          <w:szCs w:val="28"/>
                        </w:rPr>
                        <w:t>花溪区青岩镇新楼村集中式饮用水水源监管范围划分图</w:t>
                      </w:r>
                    </w:p>
                    <w:p w14:paraId="25E00436">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v:textbox>
              </v:rect>
            </w:pict>
          </mc:Fallback>
        </mc:AlternateContent>
      </w:r>
      <w:r>
        <w:rPr>
          <w:rFonts w:eastAsia="仿宋"/>
          <w:b/>
          <w:kern w:val="0"/>
          <w:szCs w:val="24"/>
        </w:rPr>
        <w:br w:type="page"/>
      </w:r>
      <w:r>
        <w:rPr>
          <w:rFonts w:eastAsia="仿宋"/>
          <w:b/>
          <w:kern w:val="0"/>
          <w:szCs w:val="24"/>
        </w:rPr>
        <w:drawing>
          <wp:anchor distT="0" distB="0" distL="114300" distR="114300" simplePos="0" relativeHeight="251660288" behindDoc="0" locked="0" layoutInCell="1" allowOverlap="1">
            <wp:simplePos x="0" y="0"/>
            <wp:positionH relativeFrom="column">
              <wp:posOffset>0</wp:posOffset>
            </wp:positionH>
            <wp:positionV relativeFrom="paragraph">
              <wp:posOffset>416560</wp:posOffset>
            </wp:positionV>
            <wp:extent cx="5472430" cy="7633335"/>
            <wp:effectExtent l="0" t="0" r="0" b="0"/>
            <wp:wrapNone/>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a:xfrm>
                      <a:off x="0" y="0"/>
                      <a:ext cx="5472430" cy="7633335"/>
                    </a:xfrm>
                    <a:prstGeom prst="rect">
                      <a:avLst/>
                    </a:prstGeom>
                    <a:noFill/>
                    <a:ln>
                      <a:noFill/>
                    </a:ln>
                  </pic:spPr>
                </pic:pic>
              </a:graphicData>
            </a:graphic>
          </wp:anchor>
        </w:drawing>
      </w:r>
      <w:r>
        <w:rPr>
          <w:rFonts w:eastAsia="仿宋"/>
          <w:b/>
          <w:kern w:val="0"/>
          <w:szCs w:val="24"/>
        </w:rPr>
        <mc:AlternateContent>
          <mc:Choice Requires="wps">
            <w:drawing>
              <wp:anchor distT="0" distB="0" distL="114300" distR="114300" simplePos="0" relativeHeight="251734016" behindDoc="0" locked="0" layoutInCell="1" allowOverlap="1">
                <wp:simplePos x="0" y="0"/>
                <wp:positionH relativeFrom="column">
                  <wp:posOffset>-1905</wp:posOffset>
                </wp:positionH>
                <wp:positionV relativeFrom="paragraph">
                  <wp:posOffset>-3175</wp:posOffset>
                </wp:positionV>
                <wp:extent cx="5465445" cy="434975"/>
                <wp:effectExtent l="13335" t="6350" r="7620" b="6350"/>
                <wp:wrapNone/>
                <wp:docPr id="62" name="Rectangle 98"/>
                <wp:cNvGraphicFramePr/>
                <a:graphic xmlns:a="http://schemas.openxmlformats.org/drawingml/2006/main">
                  <a:graphicData uri="http://schemas.microsoft.com/office/word/2010/wordprocessingShape">
                    <wps:wsp>
                      <wps:cNvSpPr>
                        <a:spLocks noChangeArrowheads="1"/>
                      </wps:cNvSpPr>
                      <wps:spPr bwMode="auto">
                        <a:xfrm>
                          <a:off x="0" y="0"/>
                          <a:ext cx="5465445" cy="434975"/>
                        </a:xfrm>
                        <a:prstGeom prst="rect">
                          <a:avLst/>
                        </a:prstGeom>
                        <a:solidFill>
                          <a:srgbClr val="FFFFFF"/>
                        </a:solidFill>
                        <a:ln w="9525">
                          <a:solidFill>
                            <a:srgbClr val="000000"/>
                          </a:solidFill>
                          <a:miter lim="800000"/>
                        </a:ln>
                      </wps:spPr>
                      <wps:txbx>
                        <w:txbxContent>
                          <w:p w14:paraId="3AAEC471">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40</w:t>
                            </w:r>
                            <w:r>
                              <w:rPr>
                                <w:rFonts w:hint="eastAsia" w:ascii="仿宋" w:hAnsi="仿宋" w:eastAsia="仿宋" w:cs="方正小标宋简体"/>
                                <w:b/>
                                <w:bCs/>
                                <w:sz w:val="28"/>
                                <w:szCs w:val="28"/>
                              </w:rPr>
                              <w:t>：</w:t>
                            </w:r>
                            <w:r>
                              <w:rPr>
                                <w:rFonts w:hint="eastAsia" w:ascii="仿宋" w:hAnsi="仿宋" w:eastAsia="仿宋" w:cs="方正小标宋简体"/>
                                <w:b/>
                                <w:bCs/>
                                <w:color w:val="000000"/>
                                <w:sz w:val="28"/>
                                <w:szCs w:val="28"/>
                              </w:rPr>
                              <w:t>花溪区青岩镇新楼村集中式饮用水水源监管范围影像图</w:t>
                            </w:r>
                          </w:p>
                          <w:p w14:paraId="16D99E16">
                            <w:pPr>
                              <w:rPr>
                                <w:rFonts w:ascii="仿宋" w:hAnsi="仿宋" w:eastAsia="仿宋"/>
                                <w:b/>
                                <w:bCs/>
                                <w:sz w:val="28"/>
                                <w:szCs w:val="28"/>
                              </w:rPr>
                            </w:pPr>
                            <w:r>
                              <w:rPr>
                                <w:rFonts w:hint="eastAsia" w:ascii="仿宋" w:hAnsi="仿宋" w:eastAsia="仿宋" w:cs="方正小标宋简体"/>
                                <w:b/>
                                <w:bCs/>
                                <w:color w:val="000000"/>
                                <w:sz w:val="28"/>
                                <w:szCs w:val="28"/>
                              </w:rPr>
                              <w:t>中式饮用水水源监管范围划分图</w:t>
                            </w:r>
                          </w:p>
                        </w:txbxContent>
                      </wps:txbx>
                      <wps:bodyPr rot="0" vert="horz" wrap="square" lIns="91440" tIns="45720" rIns="91440" bIns="45720" anchor="t" anchorCtr="0" upright="1">
                        <a:noAutofit/>
                      </wps:bodyPr>
                    </wps:wsp>
                  </a:graphicData>
                </a:graphic>
              </wp:anchor>
            </w:drawing>
          </mc:Choice>
          <mc:Fallback>
            <w:pict>
              <v:rect id="Rectangle 98" o:spid="_x0000_s1026" o:spt="1" style="position:absolute;left:0pt;margin-left:-0.15pt;margin-top:-0.25pt;height:34.25pt;width:430.35pt;z-index:251734016;mso-width-relative:page;mso-height-relative:page;" fillcolor="#FFFFFF" filled="t" stroked="t" coordsize="21600,21600" o:gfxdata="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XsZcl1QAAAAYBAAAPAAAAAAAAAAEAIAAAACIAAABkcnMvZG93bnJldi54bWxQSwEC&#10;FAAUAAAACACHTuJAySP4wTACAAB/BAAADgAAAAAAAAABACAAAAAkAQAAZHJzL2Uyb0RvYy54bWxQ&#10;SwUGAAAAAAYABgBZAQAAxgUAAAAA&#10;">
                <v:fill on="t" focussize="0,0"/>
                <v:stroke color="#000000" miterlimit="8" joinstyle="miter"/>
                <v:imagedata o:title=""/>
                <o:lock v:ext="edit" aspectratio="f"/>
                <v:textbox>
                  <w:txbxContent>
                    <w:p w14:paraId="3AAEC471">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40</w:t>
                      </w:r>
                      <w:r>
                        <w:rPr>
                          <w:rFonts w:hint="eastAsia" w:ascii="仿宋" w:hAnsi="仿宋" w:eastAsia="仿宋" w:cs="方正小标宋简体"/>
                          <w:b/>
                          <w:bCs/>
                          <w:sz w:val="28"/>
                          <w:szCs w:val="28"/>
                        </w:rPr>
                        <w:t>：</w:t>
                      </w:r>
                      <w:r>
                        <w:rPr>
                          <w:rFonts w:hint="eastAsia" w:ascii="仿宋" w:hAnsi="仿宋" w:eastAsia="仿宋" w:cs="方正小标宋简体"/>
                          <w:b/>
                          <w:bCs/>
                          <w:color w:val="000000"/>
                          <w:sz w:val="28"/>
                          <w:szCs w:val="28"/>
                        </w:rPr>
                        <w:t>花溪区青岩镇新楼村集中式饮用水水源监管范围影像图</w:t>
                      </w:r>
                    </w:p>
                    <w:p w14:paraId="16D99E16">
                      <w:pPr>
                        <w:rPr>
                          <w:rFonts w:ascii="仿宋" w:hAnsi="仿宋" w:eastAsia="仿宋"/>
                          <w:b/>
                          <w:bCs/>
                          <w:sz w:val="28"/>
                          <w:szCs w:val="28"/>
                        </w:rPr>
                      </w:pPr>
                      <w:r>
                        <w:rPr>
                          <w:rFonts w:hint="eastAsia" w:ascii="仿宋" w:hAnsi="仿宋" w:eastAsia="仿宋" w:cs="方正小标宋简体"/>
                          <w:b/>
                          <w:bCs/>
                          <w:color w:val="000000"/>
                          <w:sz w:val="28"/>
                          <w:szCs w:val="28"/>
                        </w:rPr>
                        <w:t>中式饮用水水源监管范围划分图</w:t>
                      </w:r>
                    </w:p>
                  </w:txbxContent>
                </v:textbox>
              </v:rect>
            </w:pict>
          </mc:Fallback>
        </mc:AlternateContent>
      </w:r>
      <w:r>
        <w:rPr>
          <w:rFonts w:eastAsia="仿宋"/>
          <w:b/>
          <w:kern w:val="0"/>
          <w:szCs w:val="24"/>
        </w:rPr>
        <w:br w:type="page"/>
      </w:r>
      <w:r>
        <w:rPr>
          <w:rFonts w:eastAsia="仿宋"/>
          <w:b/>
          <w:kern w:val="0"/>
          <w:szCs w:val="24"/>
        </w:rPr>
        <mc:AlternateContent>
          <mc:Choice Requires="wps">
            <w:drawing>
              <wp:anchor distT="0" distB="0" distL="114300" distR="114300" simplePos="0" relativeHeight="251735040" behindDoc="0" locked="0" layoutInCell="1" allowOverlap="1">
                <wp:simplePos x="0" y="0"/>
                <wp:positionH relativeFrom="column">
                  <wp:posOffset>-44450</wp:posOffset>
                </wp:positionH>
                <wp:positionV relativeFrom="paragraph">
                  <wp:posOffset>16510</wp:posOffset>
                </wp:positionV>
                <wp:extent cx="5614035" cy="434975"/>
                <wp:effectExtent l="8890" t="6985" r="6350" b="5715"/>
                <wp:wrapNone/>
                <wp:docPr id="59" name="Rectangle 100"/>
                <wp:cNvGraphicFramePr/>
                <a:graphic xmlns:a="http://schemas.openxmlformats.org/drawingml/2006/main">
                  <a:graphicData uri="http://schemas.microsoft.com/office/word/2010/wordprocessingShape">
                    <wps:wsp>
                      <wps:cNvSpPr>
                        <a:spLocks noChangeArrowheads="1"/>
                      </wps:cNvSpPr>
                      <wps:spPr bwMode="auto">
                        <a:xfrm>
                          <a:off x="0" y="0"/>
                          <a:ext cx="5614035" cy="434975"/>
                        </a:xfrm>
                        <a:prstGeom prst="rect">
                          <a:avLst/>
                        </a:prstGeom>
                        <a:solidFill>
                          <a:srgbClr val="FFFFFF"/>
                        </a:solidFill>
                        <a:ln w="9525">
                          <a:solidFill>
                            <a:srgbClr val="000000"/>
                          </a:solidFill>
                          <a:miter lim="800000"/>
                        </a:ln>
                      </wps:spPr>
                      <wps:txbx>
                        <w:txbxContent>
                          <w:p w14:paraId="34466AFF">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41</w:t>
                            </w:r>
                            <w:r>
                              <w:rPr>
                                <w:rFonts w:hint="eastAsia" w:ascii="仿宋" w:hAnsi="仿宋" w:eastAsia="仿宋" w:cs="方正小标宋简体"/>
                                <w:b/>
                                <w:bCs/>
                                <w:sz w:val="28"/>
                                <w:szCs w:val="28"/>
                              </w:rPr>
                              <w:t>：</w:t>
                            </w:r>
                            <w:r>
                              <w:rPr>
                                <w:rFonts w:hint="eastAsia" w:ascii="仿宋" w:hAnsi="仿宋" w:eastAsia="仿宋" w:cs="方正小标宋简体"/>
                                <w:b/>
                                <w:bCs/>
                                <w:color w:val="000000"/>
                                <w:sz w:val="28"/>
                                <w:szCs w:val="28"/>
                              </w:rPr>
                              <w:t>花溪区清溪街道9855厂集中式饮用水水源监管范围划分图</w:t>
                            </w:r>
                          </w:p>
                          <w:p w14:paraId="74D3F250">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wps:txbx>
                      <wps:bodyPr rot="0" vert="horz" wrap="square" lIns="91440" tIns="45720" rIns="91440" bIns="45720" anchor="t" anchorCtr="0" upright="1">
                        <a:noAutofit/>
                      </wps:bodyPr>
                    </wps:wsp>
                  </a:graphicData>
                </a:graphic>
              </wp:anchor>
            </w:drawing>
          </mc:Choice>
          <mc:Fallback>
            <w:pict>
              <v:rect id="Rectangle 100" o:spid="_x0000_s1026" o:spt="1" style="position:absolute;left:0pt;margin-left:-3.5pt;margin-top:1.3pt;height:34.25pt;width:442.05pt;z-index:251735040;mso-width-relative:page;mso-height-relative:page;" fillcolor="#FFFFFF" filled="t" stroked="t" coordsize="21600,21600" o:gfxdata="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BnBeW7WAAAABwEAAA8AAAAAAAAAAQAgAAAAIgAAAGRycy9kb3ducmV2LnhtbFBL&#10;AQIUABQAAAAIAIdO4kD4sKLKMQIAAIAEAAAOAAAAAAAAAAEAIAAAACUBAABkcnMvZTJvRG9jLnht&#10;bFBLBQYAAAAABgAGAFkBAADIBQAAAAA=&#10;">
                <v:fill on="t" focussize="0,0"/>
                <v:stroke color="#000000" miterlimit="8" joinstyle="miter"/>
                <v:imagedata o:title=""/>
                <o:lock v:ext="edit" aspectratio="f"/>
                <v:textbox>
                  <w:txbxContent>
                    <w:p w14:paraId="34466AFF">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41</w:t>
                      </w:r>
                      <w:r>
                        <w:rPr>
                          <w:rFonts w:hint="eastAsia" w:ascii="仿宋" w:hAnsi="仿宋" w:eastAsia="仿宋" w:cs="方正小标宋简体"/>
                          <w:b/>
                          <w:bCs/>
                          <w:sz w:val="28"/>
                          <w:szCs w:val="28"/>
                        </w:rPr>
                        <w:t>：</w:t>
                      </w:r>
                      <w:r>
                        <w:rPr>
                          <w:rFonts w:hint="eastAsia" w:ascii="仿宋" w:hAnsi="仿宋" w:eastAsia="仿宋" w:cs="方正小标宋简体"/>
                          <w:b/>
                          <w:bCs/>
                          <w:color w:val="000000"/>
                          <w:sz w:val="28"/>
                          <w:szCs w:val="28"/>
                        </w:rPr>
                        <w:t>花溪区清溪街道9855厂集中式饮用水水源监管范围划分图</w:t>
                      </w:r>
                    </w:p>
                    <w:p w14:paraId="74D3F250">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v:textbox>
              </v:rect>
            </w:pict>
          </mc:Fallback>
        </mc:AlternateContent>
      </w:r>
      <w:r>
        <w:rPr>
          <w:rFonts w:eastAsia="仿宋"/>
          <w:b/>
          <w:kern w:val="0"/>
          <w:szCs w:val="24"/>
        </w:rPr>
        <w:drawing>
          <wp:anchor distT="0" distB="0" distL="114300" distR="114300" simplePos="0" relativeHeight="251686912" behindDoc="0" locked="0" layoutInCell="1" allowOverlap="1">
            <wp:simplePos x="0" y="0"/>
            <wp:positionH relativeFrom="column">
              <wp:posOffset>-54610</wp:posOffset>
            </wp:positionH>
            <wp:positionV relativeFrom="paragraph">
              <wp:posOffset>435610</wp:posOffset>
            </wp:positionV>
            <wp:extent cx="5645785" cy="7889875"/>
            <wp:effectExtent l="0" t="0" r="0" b="0"/>
            <wp:wrapNone/>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a:xfrm>
                      <a:off x="0" y="0"/>
                      <a:ext cx="5647004" cy="7891259"/>
                    </a:xfrm>
                    <a:prstGeom prst="rect">
                      <a:avLst/>
                    </a:prstGeom>
                    <a:noFill/>
                    <a:ln>
                      <a:noFill/>
                    </a:ln>
                  </pic:spPr>
                </pic:pic>
              </a:graphicData>
            </a:graphic>
          </wp:anchor>
        </w:drawing>
      </w:r>
      <w:r>
        <w:rPr>
          <w:rFonts w:eastAsia="仿宋"/>
          <w:b/>
          <w:kern w:val="0"/>
          <w:szCs w:val="24"/>
        </w:rPr>
        <w:br w:type="page"/>
      </w:r>
    </w:p>
    <w:p w14:paraId="53E238FF">
      <w:pPr>
        <w:widowControl/>
        <w:spacing w:line="240" w:lineRule="auto"/>
        <w:jc w:val="left"/>
        <w:rPr>
          <w:rFonts w:eastAsia="仿宋"/>
          <w:b/>
          <w:kern w:val="0"/>
          <w:szCs w:val="24"/>
        </w:rPr>
      </w:pPr>
      <w:r>
        <w:rPr>
          <w:rFonts w:eastAsia="仿宋"/>
          <w:b/>
          <w:kern w:val="0"/>
          <w:szCs w:val="24"/>
        </w:rPr>
        <mc:AlternateContent>
          <mc:Choice Requires="wps">
            <w:drawing>
              <wp:anchor distT="0" distB="0" distL="114300" distR="114300" simplePos="0" relativeHeight="251736064" behindDoc="0" locked="0" layoutInCell="1" allowOverlap="1">
                <wp:simplePos x="0" y="0"/>
                <wp:positionH relativeFrom="column">
                  <wp:posOffset>-57785</wp:posOffset>
                </wp:positionH>
                <wp:positionV relativeFrom="paragraph">
                  <wp:posOffset>-9525</wp:posOffset>
                </wp:positionV>
                <wp:extent cx="5584825" cy="434975"/>
                <wp:effectExtent l="5080" t="9525" r="10795" b="12700"/>
                <wp:wrapNone/>
                <wp:docPr id="58" name="Rectangle 102"/>
                <wp:cNvGraphicFramePr/>
                <a:graphic xmlns:a="http://schemas.openxmlformats.org/drawingml/2006/main">
                  <a:graphicData uri="http://schemas.microsoft.com/office/word/2010/wordprocessingShape">
                    <wps:wsp>
                      <wps:cNvSpPr>
                        <a:spLocks noChangeArrowheads="1"/>
                      </wps:cNvSpPr>
                      <wps:spPr bwMode="auto">
                        <a:xfrm>
                          <a:off x="0" y="0"/>
                          <a:ext cx="5584825" cy="434975"/>
                        </a:xfrm>
                        <a:prstGeom prst="rect">
                          <a:avLst/>
                        </a:prstGeom>
                        <a:solidFill>
                          <a:srgbClr val="FFFFFF"/>
                        </a:solidFill>
                        <a:ln w="9525">
                          <a:solidFill>
                            <a:srgbClr val="000000"/>
                          </a:solidFill>
                          <a:miter lim="800000"/>
                        </a:ln>
                      </wps:spPr>
                      <wps:txbx>
                        <w:txbxContent>
                          <w:p w14:paraId="062CBB50">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42</w:t>
                            </w:r>
                            <w:r>
                              <w:rPr>
                                <w:rFonts w:hint="eastAsia" w:ascii="仿宋" w:hAnsi="仿宋" w:eastAsia="仿宋" w:cs="方正小标宋简体"/>
                                <w:b/>
                                <w:bCs/>
                                <w:sz w:val="28"/>
                                <w:szCs w:val="28"/>
                              </w:rPr>
                              <w:t>：</w:t>
                            </w:r>
                            <w:r>
                              <w:rPr>
                                <w:rFonts w:hint="eastAsia" w:ascii="仿宋" w:hAnsi="仿宋" w:eastAsia="仿宋" w:cs="方正小标宋简体"/>
                                <w:b/>
                                <w:bCs/>
                                <w:color w:val="000000"/>
                                <w:sz w:val="28"/>
                                <w:szCs w:val="28"/>
                              </w:rPr>
                              <w:t>花溪区清溪街道9855厂集中式饮用水水源监管范围影像图</w:t>
                            </w:r>
                          </w:p>
                          <w:p w14:paraId="6A1BEA59">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wps:txbx>
                      <wps:bodyPr rot="0" vert="horz" wrap="square" lIns="91440" tIns="45720" rIns="91440" bIns="45720" anchor="t" anchorCtr="0" upright="1">
                        <a:noAutofit/>
                      </wps:bodyPr>
                    </wps:wsp>
                  </a:graphicData>
                </a:graphic>
              </wp:anchor>
            </w:drawing>
          </mc:Choice>
          <mc:Fallback>
            <w:pict>
              <v:rect id="Rectangle 102" o:spid="_x0000_s1026" o:spt="1" style="position:absolute;left:0pt;margin-left:-4.55pt;margin-top:-0.75pt;height:34.25pt;width:439.75pt;z-index:251736064;mso-width-relative:page;mso-height-relative:page;" fillcolor="#FFFFFF" filled="t" stroked="t" coordsize="21600,21600" o:gfxdata="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vg2p72AAAAAgBAAAPAAAAAAAAAAEAIAAAACIAAABkcnMvZG93bnJldi54bWxQSwEC&#10;FAAUAAAACACHTuJAHZCCSy0CAACABAAADgAAAAAAAAABACAAAAAnAQAAZHJzL2Uyb0RvYy54bWxQ&#10;SwUGAAAAAAYABgBZAQAAxgUAAAAA&#10;">
                <v:fill on="t" focussize="0,0"/>
                <v:stroke color="#000000" miterlimit="8" joinstyle="miter"/>
                <v:imagedata o:title=""/>
                <o:lock v:ext="edit" aspectratio="f"/>
                <v:textbox>
                  <w:txbxContent>
                    <w:p w14:paraId="062CBB50">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42</w:t>
                      </w:r>
                      <w:r>
                        <w:rPr>
                          <w:rFonts w:hint="eastAsia" w:ascii="仿宋" w:hAnsi="仿宋" w:eastAsia="仿宋" w:cs="方正小标宋简体"/>
                          <w:b/>
                          <w:bCs/>
                          <w:sz w:val="28"/>
                          <w:szCs w:val="28"/>
                        </w:rPr>
                        <w:t>：</w:t>
                      </w:r>
                      <w:r>
                        <w:rPr>
                          <w:rFonts w:hint="eastAsia" w:ascii="仿宋" w:hAnsi="仿宋" w:eastAsia="仿宋" w:cs="方正小标宋简体"/>
                          <w:b/>
                          <w:bCs/>
                          <w:color w:val="000000"/>
                          <w:sz w:val="28"/>
                          <w:szCs w:val="28"/>
                        </w:rPr>
                        <w:t>花溪区清溪街道9855厂集中式饮用水水源监管范围影像图</w:t>
                      </w:r>
                    </w:p>
                    <w:p w14:paraId="6A1BEA59">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v:textbox>
              </v:rect>
            </w:pict>
          </mc:Fallback>
        </mc:AlternateContent>
      </w:r>
      <w:r>
        <w:rPr>
          <w:rFonts w:eastAsia="仿宋"/>
          <w:b/>
          <w:kern w:val="0"/>
          <w:szCs w:val="24"/>
        </w:rPr>
        <w:drawing>
          <wp:anchor distT="0" distB="0" distL="114300" distR="114300" simplePos="0" relativeHeight="251687936" behindDoc="0" locked="0" layoutInCell="1" allowOverlap="1">
            <wp:simplePos x="0" y="0"/>
            <wp:positionH relativeFrom="column">
              <wp:posOffset>-65405</wp:posOffset>
            </wp:positionH>
            <wp:positionV relativeFrom="paragraph">
              <wp:posOffset>403860</wp:posOffset>
            </wp:positionV>
            <wp:extent cx="5624830" cy="7856855"/>
            <wp:effectExtent l="0" t="0" r="0" b="0"/>
            <wp:wrapNone/>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a:xfrm>
                      <a:off x="0" y="0"/>
                      <a:ext cx="5624624" cy="7856721"/>
                    </a:xfrm>
                    <a:prstGeom prst="rect">
                      <a:avLst/>
                    </a:prstGeom>
                    <a:noFill/>
                    <a:ln>
                      <a:noFill/>
                    </a:ln>
                  </pic:spPr>
                </pic:pic>
              </a:graphicData>
            </a:graphic>
          </wp:anchor>
        </w:drawing>
      </w:r>
      <w:r>
        <w:rPr>
          <w:rFonts w:eastAsia="仿宋"/>
          <w:b/>
          <w:kern w:val="0"/>
          <w:szCs w:val="24"/>
        </w:rPr>
        <w:br w:type="page"/>
      </w:r>
    </w:p>
    <w:p w14:paraId="02578DB5">
      <w:pPr>
        <w:widowControl/>
        <w:spacing w:line="240" w:lineRule="auto"/>
        <w:jc w:val="left"/>
        <w:rPr>
          <w:rFonts w:eastAsia="仿宋"/>
          <w:b/>
          <w:kern w:val="0"/>
          <w:szCs w:val="24"/>
        </w:rPr>
      </w:pPr>
      <w:r>
        <w:rPr>
          <w:rFonts w:eastAsia="仿宋"/>
          <w:b/>
          <w:kern w:val="0"/>
          <w:szCs w:val="24"/>
        </w:rPr>
        <w:drawing>
          <wp:anchor distT="0" distB="0" distL="114300" distR="114300" simplePos="0" relativeHeight="251661312" behindDoc="0" locked="0" layoutInCell="1" allowOverlap="1">
            <wp:simplePos x="0" y="0"/>
            <wp:positionH relativeFrom="column">
              <wp:posOffset>0</wp:posOffset>
            </wp:positionH>
            <wp:positionV relativeFrom="paragraph">
              <wp:posOffset>431800</wp:posOffset>
            </wp:positionV>
            <wp:extent cx="5472430" cy="7635875"/>
            <wp:effectExtent l="0" t="0" r="0" b="0"/>
            <wp:wrapNone/>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a:xfrm>
                      <a:off x="0" y="0"/>
                      <a:ext cx="5472430" cy="7635875"/>
                    </a:xfrm>
                    <a:prstGeom prst="rect">
                      <a:avLst/>
                    </a:prstGeom>
                    <a:noFill/>
                    <a:ln>
                      <a:noFill/>
                    </a:ln>
                  </pic:spPr>
                </pic:pic>
              </a:graphicData>
            </a:graphic>
          </wp:anchor>
        </w:drawing>
      </w:r>
      <w:r>
        <w:rPr>
          <w:rFonts w:eastAsia="仿宋"/>
          <w:b/>
          <w:kern w:val="0"/>
          <w:szCs w:val="24"/>
        </w:rPr>
        <mc:AlternateContent>
          <mc:Choice Requires="wps">
            <w:drawing>
              <wp:anchor distT="0" distB="0" distL="114300" distR="114300" simplePos="0" relativeHeight="251737088" behindDoc="0" locked="0" layoutInCell="1" allowOverlap="1">
                <wp:simplePos x="0" y="0"/>
                <wp:positionH relativeFrom="column">
                  <wp:posOffset>8890</wp:posOffset>
                </wp:positionH>
                <wp:positionV relativeFrom="paragraph">
                  <wp:posOffset>-3175</wp:posOffset>
                </wp:positionV>
                <wp:extent cx="5454015" cy="434975"/>
                <wp:effectExtent l="5080" t="6350" r="8255" b="6350"/>
                <wp:wrapNone/>
                <wp:docPr id="55" name="Rectangle 104"/>
                <wp:cNvGraphicFramePr/>
                <a:graphic xmlns:a="http://schemas.openxmlformats.org/drawingml/2006/main">
                  <a:graphicData uri="http://schemas.microsoft.com/office/word/2010/wordprocessingShape">
                    <wps:wsp>
                      <wps:cNvSpPr>
                        <a:spLocks noChangeArrowheads="1"/>
                      </wps:cNvSpPr>
                      <wps:spPr bwMode="auto">
                        <a:xfrm>
                          <a:off x="0" y="0"/>
                          <a:ext cx="5454015" cy="434975"/>
                        </a:xfrm>
                        <a:prstGeom prst="rect">
                          <a:avLst/>
                        </a:prstGeom>
                        <a:solidFill>
                          <a:srgbClr val="FFFFFF"/>
                        </a:solidFill>
                        <a:ln w="9525">
                          <a:solidFill>
                            <a:srgbClr val="000000"/>
                          </a:solidFill>
                          <a:miter lim="800000"/>
                        </a:ln>
                      </wps:spPr>
                      <wps:txbx>
                        <w:txbxContent>
                          <w:p w14:paraId="16F8B1FF">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43</w:t>
                            </w:r>
                            <w:r>
                              <w:rPr>
                                <w:rFonts w:hint="eastAsia" w:ascii="仿宋" w:hAnsi="仿宋" w:eastAsia="仿宋" w:cs="方正小标宋简体"/>
                                <w:b/>
                                <w:bCs/>
                                <w:sz w:val="28"/>
                                <w:szCs w:val="28"/>
                              </w:rPr>
                              <w:t>：</w:t>
                            </w:r>
                            <w:r>
                              <w:rPr>
                                <w:rFonts w:hint="eastAsia" w:ascii="仿宋" w:hAnsi="仿宋" w:eastAsia="仿宋" w:cs="方正小标宋简体"/>
                                <w:b/>
                                <w:bCs/>
                                <w:color w:val="000000"/>
                                <w:sz w:val="28"/>
                                <w:szCs w:val="28"/>
                              </w:rPr>
                              <w:t>花溪区清溪街道机械厂集中式饮用水水源监管范围划分图</w:t>
                            </w:r>
                          </w:p>
                          <w:p w14:paraId="7638794A">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wps:txbx>
                      <wps:bodyPr rot="0" vert="horz" wrap="square" lIns="91440" tIns="45720" rIns="91440" bIns="45720" anchor="t" anchorCtr="0" upright="1">
                        <a:noAutofit/>
                      </wps:bodyPr>
                    </wps:wsp>
                  </a:graphicData>
                </a:graphic>
              </wp:anchor>
            </w:drawing>
          </mc:Choice>
          <mc:Fallback>
            <w:pict>
              <v:rect id="Rectangle 104" o:spid="_x0000_s1026" o:spt="1" style="position:absolute;left:0pt;margin-left:0.7pt;margin-top:-0.25pt;height:34.25pt;width:429.45pt;z-index:251737088;mso-width-relative:page;mso-height-relative:page;" fillcolor="#FFFFFF" filled="t" stroked="t" coordsize="21600,21600" o:gfxdata="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i5nIFNQAAAAGAQAADwAAAAAAAAABACAAAAAiAAAAZHJzL2Rvd25yZXYueG1sUEsBAhQA&#10;FAAAAAgAh07iQGpKvCMvAgAAgAQAAA4AAAAAAAAAAQAgAAAAIwEAAGRycy9lMm9Eb2MueG1sUEsF&#10;BgAAAAAGAAYAWQEAAMQFAAAAAA==&#10;">
                <v:fill on="t" focussize="0,0"/>
                <v:stroke color="#000000" miterlimit="8" joinstyle="miter"/>
                <v:imagedata o:title=""/>
                <o:lock v:ext="edit" aspectratio="f"/>
                <v:textbox>
                  <w:txbxContent>
                    <w:p w14:paraId="16F8B1FF">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43</w:t>
                      </w:r>
                      <w:r>
                        <w:rPr>
                          <w:rFonts w:hint="eastAsia" w:ascii="仿宋" w:hAnsi="仿宋" w:eastAsia="仿宋" w:cs="方正小标宋简体"/>
                          <w:b/>
                          <w:bCs/>
                          <w:sz w:val="28"/>
                          <w:szCs w:val="28"/>
                        </w:rPr>
                        <w:t>：</w:t>
                      </w:r>
                      <w:r>
                        <w:rPr>
                          <w:rFonts w:hint="eastAsia" w:ascii="仿宋" w:hAnsi="仿宋" w:eastAsia="仿宋" w:cs="方正小标宋简体"/>
                          <w:b/>
                          <w:bCs/>
                          <w:color w:val="000000"/>
                          <w:sz w:val="28"/>
                          <w:szCs w:val="28"/>
                        </w:rPr>
                        <w:t>花溪区清溪街道机械厂集中式饮用水水源监管范围划分图</w:t>
                      </w:r>
                    </w:p>
                    <w:p w14:paraId="7638794A">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v:textbox>
              </v:rect>
            </w:pict>
          </mc:Fallback>
        </mc:AlternateContent>
      </w:r>
      <w:r>
        <w:rPr>
          <w:rFonts w:eastAsia="仿宋"/>
          <w:b/>
          <w:kern w:val="0"/>
          <w:szCs w:val="24"/>
        </w:rPr>
        <w:br w:type="page"/>
      </w:r>
    </w:p>
    <w:p w14:paraId="6ABA5099">
      <w:pPr>
        <w:widowControl/>
        <w:spacing w:line="240" w:lineRule="auto"/>
        <w:jc w:val="left"/>
        <w:rPr>
          <w:rFonts w:eastAsia="仿宋"/>
          <w:b/>
          <w:kern w:val="0"/>
          <w:szCs w:val="24"/>
        </w:rPr>
      </w:pPr>
      <w:r>
        <w:rPr>
          <w:rFonts w:eastAsia="仿宋"/>
          <w:b/>
          <w:kern w:val="0"/>
          <w:szCs w:val="24"/>
        </w:rPr>
        <w:drawing>
          <wp:anchor distT="0" distB="0" distL="114300" distR="114300" simplePos="0" relativeHeight="251662336" behindDoc="0" locked="0" layoutInCell="1" allowOverlap="1">
            <wp:simplePos x="0" y="0"/>
            <wp:positionH relativeFrom="column">
              <wp:posOffset>1905</wp:posOffset>
            </wp:positionH>
            <wp:positionV relativeFrom="paragraph">
              <wp:posOffset>411480</wp:posOffset>
            </wp:positionV>
            <wp:extent cx="5472430" cy="7631430"/>
            <wp:effectExtent l="0" t="0" r="0" b="0"/>
            <wp:wrapNone/>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a:xfrm>
                      <a:off x="0" y="0"/>
                      <a:ext cx="5472430" cy="7631430"/>
                    </a:xfrm>
                    <a:prstGeom prst="rect">
                      <a:avLst/>
                    </a:prstGeom>
                    <a:noFill/>
                    <a:ln>
                      <a:noFill/>
                    </a:ln>
                  </pic:spPr>
                </pic:pic>
              </a:graphicData>
            </a:graphic>
          </wp:anchor>
        </w:drawing>
      </w:r>
      <w:r>
        <w:rPr>
          <w:rFonts w:eastAsia="仿宋"/>
          <w:b/>
          <w:kern w:val="0"/>
          <w:szCs w:val="24"/>
        </w:rPr>
        <mc:AlternateContent>
          <mc:Choice Requires="wps">
            <w:drawing>
              <wp:anchor distT="0" distB="0" distL="114300" distR="114300" simplePos="0" relativeHeight="251738112" behindDoc="0" locked="0" layoutInCell="1" allowOverlap="1">
                <wp:simplePos x="0" y="0"/>
                <wp:positionH relativeFrom="column">
                  <wp:posOffset>-1905</wp:posOffset>
                </wp:positionH>
                <wp:positionV relativeFrom="paragraph">
                  <wp:posOffset>-3810</wp:posOffset>
                </wp:positionV>
                <wp:extent cx="5475605" cy="434975"/>
                <wp:effectExtent l="13335" t="5715" r="6985" b="6985"/>
                <wp:wrapNone/>
                <wp:docPr id="54" name="Rectangle 106"/>
                <wp:cNvGraphicFramePr/>
                <a:graphic xmlns:a="http://schemas.openxmlformats.org/drawingml/2006/main">
                  <a:graphicData uri="http://schemas.microsoft.com/office/word/2010/wordprocessingShape">
                    <wps:wsp>
                      <wps:cNvSpPr>
                        <a:spLocks noChangeArrowheads="1"/>
                      </wps:cNvSpPr>
                      <wps:spPr bwMode="auto">
                        <a:xfrm>
                          <a:off x="0" y="0"/>
                          <a:ext cx="5475605" cy="434975"/>
                        </a:xfrm>
                        <a:prstGeom prst="rect">
                          <a:avLst/>
                        </a:prstGeom>
                        <a:solidFill>
                          <a:srgbClr val="FFFFFF"/>
                        </a:solidFill>
                        <a:ln w="9525">
                          <a:solidFill>
                            <a:srgbClr val="000000"/>
                          </a:solidFill>
                          <a:miter lim="800000"/>
                        </a:ln>
                      </wps:spPr>
                      <wps:txbx>
                        <w:txbxContent>
                          <w:p w14:paraId="012ACE47">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44</w:t>
                            </w:r>
                            <w:r>
                              <w:rPr>
                                <w:rFonts w:hint="eastAsia" w:ascii="仿宋" w:hAnsi="仿宋" w:eastAsia="仿宋" w:cs="方正小标宋简体"/>
                                <w:b/>
                                <w:bCs/>
                                <w:sz w:val="28"/>
                                <w:szCs w:val="28"/>
                              </w:rPr>
                              <w:t xml:space="preserve"> ：</w:t>
                            </w:r>
                            <w:r>
                              <w:rPr>
                                <w:rFonts w:hint="eastAsia" w:ascii="仿宋" w:hAnsi="仿宋" w:eastAsia="仿宋" w:cs="方正小标宋简体"/>
                                <w:b/>
                                <w:bCs/>
                                <w:color w:val="000000"/>
                                <w:sz w:val="28"/>
                                <w:szCs w:val="28"/>
                              </w:rPr>
                              <w:t>花溪区清溪街道机械厂集中式饮用水水源监管范围影像图</w:t>
                            </w:r>
                          </w:p>
                          <w:p w14:paraId="74C533EA">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wps:txbx>
                      <wps:bodyPr rot="0" vert="horz" wrap="square" lIns="91440" tIns="45720" rIns="91440" bIns="45720" anchor="t" anchorCtr="0" upright="1">
                        <a:noAutofit/>
                      </wps:bodyPr>
                    </wps:wsp>
                  </a:graphicData>
                </a:graphic>
              </wp:anchor>
            </w:drawing>
          </mc:Choice>
          <mc:Fallback>
            <w:pict>
              <v:rect id="Rectangle 106" o:spid="_x0000_s1026" o:spt="1" style="position:absolute;left:0pt;margin-left:-0.15pt;margin-top:-0.3pt;height:34.25pt;width:431.15pt;z-index:251738112;mso-width-relative:page;mso-height-relative:page;" fillcolor="#FFFFFF" filled="t" stroked="t" coordsize="21600,21600" o:gfxdata="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Oq2gYHWAAAABgEAAA8AAAAAAAAAAQAgAAAAIgAAAGRycy9kb3ducmV2LnhtbFBL&#10;AQIUABQAAAAIAIdO4kBHOf4nMQIAAIAEAAAOAAAAAAAAAAEAIAAAACUBAABkcnMvZTJvRG9jLnht&#10;bFBLBQYAAAAABgAGAFkBAADIBQAAAAA=&#10;">
                <v:fill on="t" focussize="0,0"/>
                <v:stroke color="#000000" miterlimit="8" joinstyle="miter"/>
                <v:imagedata o:title=""/>
                <o:lock v:ext="edit" aspectratio="f"/>
                <v:textbox>
                  <w:txbxContent>
                    <w:p w14:paraId="012ACE47">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44</w:t>
                      </w:r>
                      <w:r>
                        <w:rPr>
                          <w:rFonts w:hint="eastAsia" w:ascii="仿宋" w:hAnsi="仿宋" w:eastAsia="仿宋" w:cs="方正小标宋简体"/>
                          <w:b/>
                          <w:bCs/>
                          <w:sz w:val="28"/>
                          <w:szCs w:val="28"/>
                        </w:rPr>
                        <w:t xml:space="preserve"> ：</w:t>
                      </w:r>
                      <w:r>
                        <w:rPr>
                          <w:rFonts w:hint="eastAsia" w:ascii="仿宋" w:hAnsi="仿宋" w:eastAsia="仿宋" w:cs="方正小标宋简体"/>
                          <w:b/>
                          <w:bCs/>
                          <w:color w:val="000000"/>
                          <w:sz w:val="28"/>
                          <w:szCs w:val="28"/>
                        </w:rPr>
                        <w:t>花溪区清溪街道机械厂集中式饮用水水源监管范围影像图</w:t>
                      </w:r>
                    </w:p>
                    <w:p w14:paraId="74C533EA">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v:textbox>
              </v:rect>
            </w:pict>
          </mc:Fallback>
        </mc:AlternateContent>
      </w:r>
      <w:r>
        <w:rPr>
          <w:rFonts w:eastAsia="仿宋"/>
          <w:b/>
          <w:kern w:val="0"/>
          <w:szCs w:val="24"/>
        </w:rPr>
        <w:br w:type="page"/>
      </w:r>
    </w:p>
    <w:p w14:paraId="466B9EA5">
      <w:pPr>
        <w:widowControl/>
        <w:spacing w:line="240" w:lineRule="auto"/>
        <w:jc w:val="left"/>
        <w:rPr>
          <w:rFonts w:eastAsia="仿宋"/>
          <w:b/>
          <w:kern w:val="0"/>
          <w:szCs w:val="24"/>
        </w:rPr>
      </w:pPr>
      <w:r>
        <w:rPr>
          <w:rFonts w:eastAsia="仿宋"/>
          <w:b/>
          <w:kern w:val="0"/>
          <w:szCs w:val="24"/>
        </w:rPr>
        <w:drawing>
          <wp:anchor distT="0" distB="0" distL="114300" distR="114300" simplePos="0" relativeHeight="251663360" behindDoc="0" locked="0" layoutInCell="1" allowOverlap="1">
            <wp:simplePos x="0" y="0"/>
            <wp:positionH relativeFrom="column">
              <wp:posOffset>-15240</wp:posOffset>
            </wp:positionH>
            <wp:positionV relativeFrom="paragraph">
              <wp:posOffset>516255</wp:posOffset>
            </wp:positionV>
            <wp:extent cx="5472430" cy="7643495"/>
            <wp:effectExtent l="0" t="0" r="0" b="0"/>
            <wp:wrapNone/>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a:xfrm>
                      <a:off x="0" y="0"/>
                      <a:ext cx="5472430" cy="7643495"/>
                    </a:xfrm>
                    <a:prstGeom prst="rect">
                      <a:avLst/>
                    </a:prstGeom>
                    <a:noFill/>
                    <a:ln>
                      <a:noFill/>
                    </a:ln>
                  </pic:spPr>
                </pic:pic>
              </a:graphicData>
            </a:graphic>
          </wp:anchor>
        </w:drawing>
      </w:r>
      <w:r>
        <w:rPr>
          <w:rFonts w:eastAsia="仿宋"/>
          <w:b/>
          <w:kern w:val="0"/>
          <w:szCs w:val="24"/>
        </w:rPr>
        <mc:AlternateContent>
          <mc:Choice Requires="wps">
            <w:drawing>
              <wp:anchor distT="0" distB="0" distL="114300" distR="114300" simplePos="0" relativeHeight="251739136" behindDoc="0" locked="0" layoutInCell="1" allowOverlap="1">
                <wp:simplePos x="0" y="0"/>
                <wp:positionH relativeFrom="column">
                  <wp:posOffset>-12065</wp:posOffset>
                </wp:positionH>
                <wp:positionV relativeFrom="paragraph">
                  <wp:posOffset>75565</wp:posOffset>
                </wp:positionV>
                <wp:extent cx="5474970" cy="434975"/>
                <wp:effectExtent l="12700" t="8890" r="8255" b="13335"/>
                <wp:wrapNone/>
                <wp:docPr id="51" name="Rectangle 108"/>
                <wp:cNvGraphicFramePr/>
                <a:graphic xmlns:a="http://schemas.openxmlformats.org/drawingml/2006/main">
                  <a:graphicData uri="http://schemas.microsoft.com/office/word/2010/wordprocessingShape">
                    <wps:wsp>
                      <wps:cNvSpPr>
                        <a:spLocks noChangeArrowheads="1"/>
                      </wps:cNvSpPr>
                      <wps:spPr bwMode="auto">
                        <a:xfrm>
                          <a:off x="0" y="0"/>
                          <a:ext cx="5474970" cy="434975"/>
                        </a:xfrm>
                        <a:prstGeom prst="rect">
                          <a:avLst/>
                        </a:prstGeom>
                        <a:solidFill>
                          <a:srgbClr val="FFFFFF"/>
                        </a:solidFill>
                        <a:ln w="9525">
                          <a:solidFill>
                            <a:srgbClr val="000000"/>
                          </a:solidFill>
                          <a:miter lim="800000"/>
                        </a:ln>
                      </wps:spPr>
                      <wps:txbx>
                        <w:txbxContent>
                          <w:p w14:paraId="6BB27D45">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45</w:t>
                            </w:r>
                            <w:r>
                              <w:rPr>
                                <w:rFonts w:hint="eastAsia" w:ascii="仿宋" w:hAnsi="仿宋" w:eastAsia="仿宋" w:cs="方正小标宋简体"/>
                                <w:b/>
                                <w:bCs/>
                                <w:sz w:val="28"/>
                                <w:szCs w:val="28"/>
                              </w:rPr>
                              <w:t xml:space="preserve"> ：</w:t>
                            </w:r>
                            <w:r>
                              <w:rPr>
                                <w:rFonts w:hint="eastAsia" w:ascii="仿宋" w:hAnsi="仿宋" w:eastAsia="仿宋" w:cs="方正小标宋简体"/>
                                <w:b/>
                                <w:bCs/>
                                <w:color w:val="000000"/>
                                <w:sz w:val="28"/>
                                <w:szCs w:val="28"/>
                              </w:rPr>
                              <w:t>花溪区石板镇盖冗村集中式饮用水水源监管范围划分图</w:t>
                            </w:r>
                          </w:p>
                          <w:p w14:paraId="0C6B484C">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wps:txbx>
                      <wps:bodyPr rot="0" vert="horz" wrap="square" lIns="91440" tIns="45720" rIns="91440" bIns="45720" anchor="t" anchorCtr="0" upright="1">
                        <a:noAutofit/>
                      </wps:bodyPr>
                    </wps:wsp>
                  </a:graphicData>
                </a:graphic>
              </wp:anchor>
            </w:drawing>
          </mc:Choice>
          <mc:Fallback>
            <w:pict>
              <v:rect id="Rectangle 108" o:spid="_x0000_s1026" o:spt="1" style="position:absolute;left:0pt;margin-left:-0.95pt;margin-top:5.95pt;height:34.25pt;width:431.1pt;z-index:251739136;mso-width-relative:page;mso-height-relative:page;" fillcolor="#FFFFFF" filled="t" stroked="t" coordsize="21600,21600" o:gfxdata="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zMh6W1gAAAAgBAAAPAAAAAAAAAAEAIAAAACIAAABkcnMvZG93bnJldi54bWxQSwEC&#10;FAAUAAAACACHTuJA93ZEPy8CAACABAAADgAAAAAAAAABACAAAAAlAQAAZHJzL2Uyb0RvYy54bWxQ&#10;SwUGAAAAAAYABgBZAQAAxgUAAAAA&#10;">
                <v:fill on="t" focussize="0,0"/>
                <v:stroke color="#000000" miterlimit="8" joinstyle="miter"/>
                <v:imagedata o:title=""/>
                <o:lock v:ext="edit" aspectratio="f"/>
                <v:textbox>
                  <w:txbxContent>
                    <w:p w14:paraId="6BB27D45">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45</w:t>
                      </w:r>
                      <w:r>
                        <w:rPr>
                          <w:rFonts w:hint="eastAsia" w:ascii="仿宋" w:hAnsi="仿宋" w:eastAsia="仿宋" w:cs="方正小标宋简体"/>
                          <w:b/>
                          <w:bCs/>
                          <w:sz w:val="28"/>
                          <w:szCs w:val="28"/>
                        </w:rPr>
                        <w:t xml:space="preserve"> ：</w:t>
                      </w:r>
                      <w:r>
                        <w:rPr>
                          <w:rFonts w:hint="eastAsia" w:ascii="仿宋" w:hAnsi="仿宋" w:eastAsia="仿宋" w:cs="方正小标宋简体"/>
                          <w:b/>
                          <w:bCs/>
                          <w:color w:val="000000"/>
                          <w:sz w:val="28"/>
                          <w:szCs w:val="28"/>
                        </w:rPr>
                        <w:t>花溪区石板镇盖冗村集中式饮用水水源监管范围划分图</w:t>
                      </w:r>
                    </w:p>
                    <w:p w14:paraId="0C6B484C">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v:textbox>
              </v:rect>
            </w:pict>
          </mc:Fallback>
        </mc:AlternateContent>
      </w:r>
      <w:r>
        <w:rPr>
          <w:rFonts w:eastAsia="仿宋"/>
          <w:b/>
          <w:kern w:val="0"/>
          <w:szCs w:val="24"/>
        </w:rPr>
        <w:br w:type="page"/>
      </w:r>
    </w:p>
    <w:p w14:paraId="122AA980">
      <w:pPr>
        <w:widowControl/>
        <w:spacing w:line="240" w:lineRule="auto"/>
        <w:jc w:val="left"/>
        <w:rPr>
          <w:rFonts w:eastAsia="仿宋"/>
          <w:b/>
          <w:kern w:val="0"/>
          <w:szCs w:val="24"/>
        </w:rPr>
      </w:pPr>
      <w:r>
        <w:rPr>
          <w:rFonts w:eastAsia="仿宋"/>
          <w:b/>
          <w:kern w:val="0"/>
          <w:szCs w:val="24"/>
        </w:rPr>
        <w:drawing>
          <wp:anchor distT="0" distB="0" distL="114300" distR="114300" simplePos="0" relativeHeight="251664384" behindDoc="0" locked="0" layoutInCell="1" allowOverlap="1">
            <wp:simplePos x="0" y="0"/>
            <wp:positionH relativeFrom="column">
              <wp:posOffset>-4445</wp:posOffset>
            </wp:positionH>
            <wp:positionV relativeFrom="paragraph">
              <wp:posOffset>438150</wp:posOffset>
            </wp:positionV>
            <wp:extent cx="5472430" cy="7649845"/>
            <wp:effectExtent l="0" t="0" r="0" b="0"/>
            <wp:wrapNone/>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a:xfrm>
                      <a:off x="0" y="0"/>
                      <a:ext cx="5472430" cy="7649845"/>
                    </a:xfrm>
                    <a:prstGeom prst="rect">
                      <a:avLst/>
                    </a:prstGeom>
                    <a:noFill/>
                    <a:ln>
                      <a:noFill/>
                    </a:ln>
                  </pic:spPr>
                </pic:pic>
              </a:graphicData>
            </a:graphic>
          </wp:anchor>
        </w:drawing>
      </w:r>
      <w:r>
        <w:rPr>
          <w:rFonts w:eastAsia="仿宋"/>
          <w:b/>
          <w:kern w:val="0"/>
          <w:szCs w:val="24"/>
        </w:rPr>
        <mc:AlternateContent>
          <mc:Choice Requires="wps">
            <w:drawing>
              <wp:anchor distT="0" distB="0" distL="114300" distR="114300" simplePos="0" relativeHeight="251740160" behindDoc="0" locked="0" layoutInCell="1" allowOverlap="1">
                <wp:simplePos x="0" y="0"/>
                <wp:positionH relativeFrom="column">
                  <wp:posOffset>-1905</wp:posOffset>
                </wp:positionH>
                <wp:positionV relativeFrom="paragraph">
                  <wp:posOffset>14605</wp:posOffset>
                </wp:positionV>
                <wp:extent cx="5454650" cy="434975"/>
                <wp:effectExtent l="13335" t="5080" r="8890" b="7620"/>
                <wp:wrapNone/>
                <wp:docPr id="50" name="Rectangle 110"/>
                <wp:cNvGraphicFramePr/>
                <a:graphic xmlns:a="http://schemas.openxmlformats.org/drawingml/2006/main">
                  <a:graphicData uri="http://schemas.microsoft.com/office/word/2010/wordprocessingShape">
                    <wps:wsp>
                      <wps:cNvSpPr>
                        <a:spLocks noChangeArrowheads="1"/>
                      </wps:cNvSpPr>
                      <wps:spPr bwMode="auto">
                        <a:xfrm>
                          <a:off x="0" y="0"/>
                          <a:ext cx="5454650" cy="434975"/>
                        </a:xfrm>
                        <a:prstGeom prst="rect">
                          <a:avLst/>
                        </a:prstGeom>
                        <a:solidFill>
                          <a:srgbClr val="FFFFFF"/>
                        </a:solidFill>
                        <a:ln w="9525">
                          <a:solidFill>
                            <a:srgbClr val="000000"/>
                          </a:solidFill>
                          <a:miter lim="800000"/>
                        </a:ln>
                      </wps:spPr>
                      <wps:txbx>
                        <w:txbxContent>
                          <w:p w14:paraId="441823DB">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46</w:t>
                            </w:r>
                            <w:r>
                              <w:rPr>
                                <w:rFonts w:hint="eastAsia" w:ascii="仿宋" w:hAnsi="仿宋" w:eastAsia="仿宋" w:cs="方正小标宋简体"/>
                                <w:b/>
                                <w:bCs/>
                                <w:sz w:val="28"/>
                                <w:szCs w:val="28"/>
                              </w:rPr>
                              <w:t xml:space="preserve"> ：</w:t>
                            </w:r>
                            <w:r>
                              <w:rPr>
                                <w:rFonts w:hint="eastAsia" w:ascii="仿宋" w:hAnsi="仿宋" w:eastAsia="仿宋" w:cs="方正小标宋简体"/>
                                <w:b/>
                                <w:bCs/>
                                <w:color w:val="000000"/>
                                <w:sz w:val="28"/>
                                <w:szCs w:val="28"/>
                              </w:rPr>
                              <w:t>花溪区石板镇盖冗村集中式饮用水水源监管范围影像图</w:t>
                            </w:r>
                          </w:p>
                          <w:p w14:paraId="516D7DD5">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wps:txbx>
                      <wps:bodyPr rot="0" vert="horz" wrap="square" lIns="91440" tIns="45720" rIns="91440" bIns="45720" anchor="t" anchorCtr="0" upright="1">
                        <a:noAutofit/>
                      </wps:bodyPr>
                    </wps:wsp>
                  </a:graphicData>
                </a:graphic>
              </wp:anchor>
            </w:drawing>
          </mc:Choice>
          <mc:Fallback>
            <w:pict>
              <v:rect id="Rectangle 110" o:spid="_x0000_s1026" o:spt="1" style="position:absolute;left:0pt;margin-left:-0.15pt;margin-top:1.15pt;height:34.25pt;width:429.5pt;z-index:251740160;mso-width-relative:page;mso-height-relative:page;" fillcolor="#FFFFFF" filled="t" stroked="t" coordsize="21600,21600" o:gfxdata="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Jk4bHbVAAAABgEAAA8AAAAAAAAAAQAgAAAAIgAAAGRycy9kb3ducmV2LnhtbFBLAQIU&#10;ABQAAAAIAIdO4kCzKKxILwIAAIAEAAAOAAAAAAAAAAEAIAAAACQBAABkcnMvZTJvRG9jLnhtbFBL&#10;BQYAAAAABgAGAFkBAADFBQAAAAA=&#10;">
                <v:fill on="t" focussize="0,0"/>
                <v:stroke color="#000000" miterlimit="8" joinstyle="miter"/>
                <v:imagedata o:title=""/>
                <o:lock v:ext="edit" aspectratio="f"/>
                <v:textbox>
                  <w:txbxContent>
                    <w:p w14:paraId="441823DB">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46</w:t>
                      </w:r>
                      <w:r>
                        <w:rPr>
                          <w:rFonts w:hint="eastAsia" w:ascii="仿宋" w:hAnsi="仿宋" w:eastAsia="仿宋" w:cs="方正小标宋简体"/>
                          <w:b/>
                          <w:bCs/>
                          <w:sz w:val="28"/>
                          <w:szCs w:val="28"/>
                        </w:rPr>
                        <w:t xml:space="preserve"> ：</w:t>
                      </w:r>
                      <w:r>
                        <w:rPr>
                          <w:rFonts w:hint="eastAsia" w:ascii="仿宋" w:hAnsi="仿宋" w:eastAsia="仿宋" w:cs="方正小标宋简体"/>
                          <w:b/>
                          <w:bCs/>
                          <w:color w:val="000000"/>
                          <w:sz w:val="28"/>
                          <w:szCs w:val="28"/>
                        </w:rPr>
                        <w:t>花溪区石板镇盖冗村集中式饮用水水源监管范围影像图</w:t>
                      </w:r>
                    </w:p>
                    <w:p w14:paraId="516D7DD5">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v:textbox>
              </v:rect>
            </w:pict>
          </mc:Fallback>
        </mc:AlternateContent>
      </w:r>
      <w:r>
        <w:rPr>
          <w:rFonts w:eastAsia="仿宋"/>
          <w:b/>
          <w:kern w:val="0"/>
          <w:szCs w:val="24"/>
        </w:rPr>
        <w:br w:type="page"/>
      </w:r>
    </w:p>
    <w:p w14:paraId="3E664F3D">
      <w:pPr>
        <w:widowControl/>
        <w:spacing w:line="240" w:lineRule="auto"/>
        <w:jc w:val="left"/>
        <w:rPr>
          <w:rFonts w:eastAsia="仿宋"/>
          <w:b/>
          <w:kern w:val="0"/>
          <w:szCs w:val="24"/>
        </w:rPr>
      </w:pPr>
      <w:r>
        <w:rPr>
          <w:rFonts w:eastAsia="仿宋"/>
          <w:b/>
          <w:kern w:val="0"/>
          <w:szCs w:val="24"/>
        </w:rPr>
        <mc:AlternateContent>
          <mc:Choice Requires="wps">
            <w:drawing>
              <wp:anchor distT="0" distB="0" distL="114300" distR="114300" simplePos="0" relativeHeight="251741184" behindDoc="0" locked="0" layoutInCell="1" allowOverlap="1">
                <wp:simplePos x="0" y="0"/>
                <wp:positionH relativeFrom="column">
                  <wp:posOffset>19050</wp:posOffset>
                </wp:positionH>
                <wp:positionV relativeFrom="paragraph">
                  <wp:posOffset>-1905</wp:posOffset>
                </wp:positionV>
                <wp:extent cx="5486400" cy="434975"/>
                <wp:effectExtent l="5715" t="7620" r="13335" b="5080"/>
                <wp:wrapNone/>
                <wp:docPr id="47" name="Rectangle 112"/>
                <wp:cNvGraphicFramePr/>
                <a:graphic xmlns:a="http://schemas.openxmlformats.org/drawingml/2006/main">
                  <a:graphicData uri="http://schemas.microsoft.com/office/word/2010/wordprocessingShape">
                    <wps:wsp>
                      <wps:cNvSpPr>
                        <a:spLocks noChangeArrowheads="1"/>
                      </wps:cNvSpPr>
                      <wps:spPr bwMode="auto">
                        <a:xfrm>
                          <a:off x="0" y="0"/>
                          <a:ext cx="5486400" cy="434975"/>
                        </a:xfrm>
                        <a:prstGeom prst="rect">
                          <a:avLst/>
                        </a:prstGeom>
                        <a:solidFill>
                          <a:srgbClr val="FFFFFF"/>
                        </a:solidFill>
                        <a:ln w="9525">
                          <a:solidFill>
                            <a:srgbClr val="000000"/>
                          </a:solidFill>
                          <a:miter lim="800000"/>
                        </a:ln>
                      </wps:spPr>
                      <wps:txbx>
                        <w:txbxContent>
                          <w:p w14:paraId="238D3B18">
                            <w:pPr>
                              <w:jc w:val="center"/>
                              <w:rPr>
                                <w:rFonts w:ascii="黑体" w:hAnsi="黑体" w:eastAsia="黑体"/>
                                <w:sz w:val="28"/>
                                <w:szCs w:val="28"/>
                              </w:rPr>
                            </w:pPr>
                            <w:r>
                              <w:rPr>
                                <w:rFonts w:hint="eastAsia" w:ascii="方正小标宋简体" w:hAnsi="方正小标宋简体" w:eastAsia="方正小标宋简体" w:cs="方正小标宋简体"/>
                                <w:sz w:val="28"/>
                                <w:szCs w:val="28"/>
                              </w:rPr>
                              <w:t>附图</w:t>
                            </w:r>
                            <w:r>
                              <w:rPr>
                                <w:rFonts w:ascii="方正小标宋简体" w:hAnsi="方正小标宋简体" w:eastAsia="方正小标宋简体" w:cs="方正小标宋简体"/>
                                <w:sz w:val="28"/>
                                <w:szCs w:val="28"/>
                              </w:rPr>
                              <w:t>47</w:t>
                            </w:r>
                            <w:r>
                              <w:rPr>
                                <w:rFonts w:hint="eastAsia" w:ascii="方正小标宋简体" w:hAnsi="方正小标宋简体" w:eastAsia="方正小标宋简体" w:cs="方正小标宋简体"/>
                                <w:sz w:val="28"/>
                                <w:szCs w:val="28"/>
                              </w:rPr>
                              <w:t xml:space="preserve"> ：</w:t>
                            </w:r>
                            <w:r>
                              <w:rPr>
                                <w:rFonts w:hint="eastAsia" w:ascii="方正小标宋简体" w:hAnsi="方正小标宋简体" w:eastAsia="方正小标宋简体" w:cs="方正小标宋简体"/>
                                <w:color w:val="000000"/>
                                <w:sz w:val="28"/>
                                <w:szCs w:val="28"/>
                              </w:rPr>
                              <w:t>花溪区燕楼镇坝楼村集中式饮用水水源监管范围划分图</w:t>
                            </w:r>
                          </w:p>
                          <w:p w14:paraId="53DDFDD8">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wps:txbx>
                      <wps:bodyPr rot="0" vert="horz" wrap="square" lIns="91440" tIns="45720" rIns="91440" bIns="45720" anchor="t" anchorCtr="0" upright="1">
                        <a:noAutofit/>
                      </wps:bodyPr>
                    </wps:wsp>
                  </a:graphicData>
                </a:graphic>
              </wp:anchor>
            </w:drawing>
          </mc:Choice>
          <mc:Fallback>
            <w:pict>
              <v:rect id="Rectangle 112" o:spid="_x0000_s1026" o:spt="1" style="position:absolute;left:0pt;margin-left:1.5pt;margin-top:-0.15pt;height:34.25pt;width:432pt;z-index:251741184;mso-width-relative:page;mso-height-relative:page;" fillcolor="#FFFFFF" filled="t" stroked="t" coordsize="21600,21600" o:gfxdata="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G0+N1QAAAAYBAAAPAAAAAAAAAAEAIAAAACIAAABkcnMvZG93bnJldi54bWxQSwEC&#10;FAAUAAAACACHTuJAtbAtOTACAACABAAADgAAAAAAAAABACAAAAAkAQAAZHJzL2Uyb0RvYy54bWxQ&#10;SwUGAAAAAAYABgBZAQAAxgUAAAAA&#10;">
                <v:fill on="t" focussize="0,0"/>
                <v:stroke color="#000000" miterlimit="8" joinstyle="miter"/>
                <v:imagedata o:title=""/>
                <o:lock v:ext="edit" aspectratio="f"/>
                <v:textbox>
                  <w:txbxContent>
                    <w:p w14:paraId="238D3B18">
                      <w:pPr>
                        <w:jc w:val="center"/>
                        <w:rPr>
                          <w:rFonts w:ascii="黑体" w:hAnsi="黑体" w:eastAsia="黑体"/>
                          <w:sz w:val="28"/>
                          <w:szCs w:val="28"/>
                        </w:rPr>
                      </w:pPr>
                      <w:r>
                        <w:rPr>
                          <w:rFonts w:hint="eastAsia" w:ascii="方正小标宋简体" w:hAnsi="方正小标宋简体" w:eastAsia="方正小标宋简体" w:cs="方正小标宋简体"/>
                          <w:sz w:val="28"/>
                          <w:szCs w:val="28"/>
                        </w:rPr>
                        <w:t>附图</w:t>
                      </w:r>
                      <w:r>
                        <w:rPr>
                          <w:rFonts w:ascii="方正小标宋简体" w:hAnsi="方正小标宋简体" w:eastAsia="方正小标宋简体" w:cs="方正小标宋简体"/>
                          <w:sz w:val="28"/>
                          <w:szCs w:val="28"/>
                        </w:rPr>
                        <w:t>47</w:t>
                      </w:r>
                      <w:r>
                        <w:rPr>
                          <w:rFonts w:hint="eastAsia" w:ascii="方正小标宋简体" w:hAnsi="方正小标宋简体" w:eastAsia="方正小标宋简体" w:cs="方正小标宋简体"/>
                          <w:sz w:val="28"/>
                          <w:szCs w:val="28"/>
                        </w:rPr>
                        <w:t xml:space="preserve"> ：</w:t>
                      </w:r>
                      <w:r>
                        <w:rPr>
                          <w:rFonts w:hint="eastAsia" w:ascii="方正小标宋简体" w:hAnsi="方正小标宋简体" w:eastAsia="方正小标宋简体" w:cs="方正小标宋简体"/>
                          <w:color w:val="000000"/>
                          <w:sz w:val="28"/>
                          <w:szCs w:val="28"/>
                        </w:rPr>
                        <w:t>花溪区燕楼镇坝楼村集中式饮用水水源监管范围划分图</w:t>
                      </w:r>
                    </w:p>
                    <w:p w14:paraId="53DDFDD8">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v:textbox>
              </v:rect>
            </w:pict>
          </mc:Fallback>
        </mc:AlternateContent>
      </w:r>
      <w:r>
        <w:rPr>
          <w:rFonts w:eastAsia="仿宋"/>
          <w:b/>
          <w:kern w:val="0"/>
          <w:szCs w:val="24"/>
        </w:rPr>
        <w:drawing>
          <wp:anchor distT="0" distB="0" distL="114300" distR="114300" simplePos="0" relativeHeight="251688960" behindDoc="0" locked="0" layoutInCell="1" allowOverlap="1">
            <wp:simplePos x="0" y="0"/>
            <wp:positionH relativeFrom="column">
              <wp:posOffset>12700</wp:posOffset>
            </wp:positionH>
            <wp:positionV relativeFrom="paragraph">
              <wp:posOffset>409575</wp:posOffset>
            </wp:positionV>
            <wp:extent cx="5472430" cy="7635240"/>
            <wp:effectExtent l="0" t="0" r="0" b="0"/>
            <wp:wrapNone/>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a:xfrm>
                      <a:off x="0" y="0"/>
                      <a:ext cx="5472430" cy="7635240"/>
                    </a:xfrm>
                    <a:prstGeom prst="rect">
                      <a:avLst/>
                    </a:prstGeom>
                    <a:noFill/>
                    <a:ln>
                      <a:noFill/>
                    </a:ln>
                  </pic:spPr>
                </pic:pic>
              </a:graphicData>
            </a:graphic>
          </wp:anchor>
        </w:drawing>
      </w:r>
      <w:r>
        <w:rPr>
          <w:rFonts w:eastAsia="仿宋"/>
          <w:b/>
          <w:kern w:val="0"/>
          <w:szCs w:val="24"/>
        </w:rPr>
        <w:br w:type="page"/>
      </w:r>
    </w:p>
    <w:p w14:paraId="2DDD044C">
      <w:pPr>
        <w:widowControl/>
        <w:spacing w:line="240" w:lineRule="auto"/>
        <w:jc w:val="left"/>
        <w:rPr>
          <w:rFonts w:eastAsia="仿宋"/>
          <w:b/>
          <w:kern w:val="0"/>
          <w:szCs w:val="24"/>
        </w:rPr>
      </w:pPr>
      <w:r>
        <w:rPr>
          <w:rFonts w:eastAsia="仿宋"/>
          <w:b/>
          <w:kern w:val="0"/>
          <w:szCs w:val="24"/>
        </w:rPr>
        <mc:AlternateContent>
          <mc:Choice Requires="wps">
            <w:drawing>
              <wp:anchor distT="0" distB="0" distL="114300" distR="114300" simplePos="0" relativeHeight="251742208" behindDoc="0" locked="0" layoutInCell="1" allowOverlap="1">
                <wp:simplePos x="0" y="0"/>
                <wp:positionH relativeFrom="column">
                  <wp:posOffset>-23495</wp:posOffset>
                </wp:positionH>
                <wp:positionV relativeFrom="paragraph">
                  <wp:posOffset>54610</wp:posOffset>
                </wp:positionV>
                <wp:extent cx="5443855" cy="434975"/>
                <wp:effectExtent l="10795" t="6985" r="12700" b="5715"/>
                <wp:wrapNone/>
                <wp:docPr id="41" name="Rectangle 114"/>
                <wp:cNvGraphicFramePr/>
                <a:graphic xmlns:a="http://schemas.openxmlformats.org/drawingml/2006/main">
                  <a:graphicData uri="http://schemas.microsoft.com/office/word/2010/wordprocessingShape">
                    <wps:wsp>
                      <wps:cNvSpPr>
                        <a:spLocks noChangeArrowheads="1"/>
                      </wps:cNvSpPr>
                      <wps:spPr bwMode="auto">
                        <a:xfrm>
                          <a:off x="0" y="0"/>
                          <a:ext cx="5443855" cy="434975"/>
                        </a:xfrm>
                        <a:prstGeom prst="rect">
                          <a:avLst/>
                        </a:prstGeom>
                        <a:solidFill>
                          <a:srgbClr val="FFFFFF"/>
                        </a:solidFill>
                        <a:ln w="9525">
                          <a:solidFill>
                            <a:srgbClr val="000000"/>
                          </a:solidFill>
                          <a:miter lim="800000"/>
                        </a:ln>
                      </wps:spPr>
                      <wps:txbx>
                        <w:txbxContent>
                          <w:p w14:paraId="371DA4F6">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48</w:t>
                            </w:r>
                            <w:r>
                              <w:rPr>
                                <w:rFonts w:hint="eastAsia" w:ascii="仿宋" w:hAnsi="仿宋" w:eastAsia="仿宋" w:cs="方正小标宋简体"/>
                                <w:b/>
                                <w:bCs/>
                                <w:sz w:val="28"/>
                                <w:szCs w:val="28"/>
                              </w:rPr>
                              <w:t>：</w:t>
                            </w:r>
                            <w:r>
                              <w:rPr>
                                <w:rFonts w:hint="eastAsia" w:ascii="仿宋" w:hAnsi="仿宋" w:eastAsia="仿宋" w:cs="方正小标宋简体"/>
                                <w:b/>
                                <w:bCs/>
                                <w:color w:val="000000"/>
                                <w:sz w:val="28"/>
                                <w:szCs w:val="28"/>
                              </w:rPr>
                              <w:t>花溪区燕楼镇坝楼村集中式饮用水水源监管范围影像图</w:t>
                            </w:r>
                          </w:p>
                          <w:p w14:paraId="24D1B709">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wps:txbx>
                      <wps:bodyPr rot="0" vert="horz" wrap="square" lIns="91440" tIns="45720" rIns="91440" bIns="45720" anchor="t" anchorCtr="0" upright="1">
                        <a:noAutofit/>
                      </wps:bodyPr>
                    </wps:wsp>
                  </a:graphicData>
                </a:graphic>
              </wp:anchor>
            </w:drawing>
          </mc:Choice>
          <mc:Fallback>
            <w:pict>
              <v:rect id="Rectangle 114" o:spid="_x0000_s1026" o:spt="1" style="position:absolute;left:0pt;margin-left:-1.85pt;margin-top:4.3pt;height:34.25pt;width:428.65pt;z-index:251742208;mso-width-relative:page;mso-height-relative:page;" fillcolor="#FFFFFF" filled="t" stroked="t" coordsize="21600,21600" o:gfxdata="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X/7KWNYAAAAHAQAADwAAAAAAAAABACAAAAAiAAAAZHJzL2Rvd25yZXYueG1sUEsB&#10;AhQAFAAAAAgAh07iQGlQ25cwAgAAgAQAAA4AAAAAAAAAAQAgAAAAJQEAAGRycy9lMm9Eb2MueG1s&#10;UEsFBgAAAAAGAAYAWQEAAMcFAAAAAA==&#10;">
                <v:fill on="t" focussize="0,0"/>
                <v:stroke color="#000000" miterlimit="8" joinstyle="miter"/>
                <v:imagedata o:title=""/>
                <o:lock v:ext="edit" aspectratio="f"/>
                <v:textbox>
                  <w:txbxContent>
                    <w:p w14:paraId="371DA4F6">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48</w:t>
                      </w:r>
                      <w:r>
                        <w:rPr>
                          <w:rFonts w:hint="eastAsia" w:ascii="仿宋" w:hAnsi="仿宋" w:eastAsia="仿宋" w:cs="方正小标宋简体"/>
                          <w:b/>
                          <w:bCs/>
                          <w:sz w:val="28"/>
                          <w:szCs w:val="28"/>
                        </w:rPr>
                        <w:t>：</w:t>
                      </w:r>
                      <w:r>
                        <w:rPr>
                          <w:rFonts w:hint="eastAsia" w:ascii="仿宋" w:hAnsi="仿宋" w:eastAsia="仿宋" w:cs="方正小标宋简体"/>
                          <w:b/>
                          <w:bCs/>
                          <w:color w:val="000000"/>
                          <w:sz w:val="28"/>
                          <w:szCs w:val="28"/>
                        </w:rPr>
                        <w:t>花溪区燕楼镇坝楼村集中式饮用水水源监管范围影像图</w:t>
                      </w:r>
                    </w:p>
                    <w:p w14:paraId="24D1B709">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v:textbox>
              </v:rect>
            </w:pict>
          </mc:Fallback>
        </mc:AlternateContent>
      </w:r>
      <w:r>
        <w:rPr>
          <w:rFonts w:eastAsia="仿宋"/>
          <w:b/>
          <w:kern w:val="0"/>
          <w:szCs w:val="24"/>
        </w:rPr>
        <w:drawing>
          <wp:anchor distT="0" distB="0" distL="114300" distR="114300" simplePos="0" relativeHeight="251689984" behindDoc="0" locked="0" layoutInCell="1" allowOverlap="1">
            <wp:simplePos x="0" y="0"/>
            <wp:positionH relativeFrom="column">
              <wp:posOffset>-29210</wp:posOffset>
            </wp:positionH>
            <wp:positionV relativeFrom="paragraph">
              <wp:posOffset>484505</wp:posOffset>
            </wp:positionV>
            <wp:extent cx="5472430" cy="7630795"/>
            <wp:effectExtent l="0" t="0" r="0" b="0"/>
            <wp:wrapNone/>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a:xfrm>
                      <a:off x="0" y="0"/>
                      <a:ext cx="5472430" cy="7630795"/>
                    </a:xfrm>
                    <a:prstGeom prst="rect">
                      <a:avLst/>
                    </a:prstGeom>
                    <a:noFill/>
                    <a:ln>
                      <a:noFill/>
                    </a:ln>
                  </pic:spPr>
                </pic:pic>
              </a:graphicData>
            </a:graphic>
          </wp:anchor>
        </w:drawing>
      </w:r>
    </w:p>
    <w:p w14:paraId="6CBD5610">
      <w:pPr>
        <w:widowControl/>
        <w:spacing w:line="240" w:lineRule="auto"/>
        <w:jc w:val="left"/>
        <w:rPr>
          <w:rFonts w:eastAsia="仿宋"/>
          <w:b/>
          <w:kern w:val="0"/>
          <w:szCs w:val="24"/>
        </w:rPr>
        <w:sectPr>
          <w:pgSz w:w="11906" w:h="16838"/>
          <w:pgMar w:top="1440" w:right="1644" w:bottom="1440" w:left="1644" w:header="851" w:footer="992" w:gutter="0"/>
          <w:cols w:space="425" w:num="1"/>
          <w:docGrid w:type="lines" w:linePitch="312" w:charSpace="0"/>
        </w:sectPr>
      </w:pPr>
      <w:r>
        <w:rPr>
          <w:rFonts w:eastAsia="仿宋"/>
          <w:b/>
          <w:kern w:val="0"/>
          <w:szCs w:val="24"/>
        </w:rPr>
        <w:br w:type="page"/>
      </w:r>
    </w:p>
    <w:p w14:paraId="5F63B29F">
      <w:pPr>
        <w:widowControl/>
        <w:spacing w:line="240" w:lineRule="auto"/>
        <w:jc w:val="left"/>
        <w:rPr>
          <w:rFonts w:eastAsia="仿宋"/>
          <w:b/>
          <w:kern w:val="0"/>
          <w:szCs w:val="24"/>
        </w:rPr>
      </w:pPr>
      <w:r>
        <w:rPr>
          <w:rFonts w:eastAsia="仿宋"/>
          <w:b/>
          <w:kern w:val="0"/>
          <w:szCs w:val="24"/>
        </w:rPr>
        <mc:AlternateContent>
          <mc:Choice Requires="wps">
            <w:drawing>
              <wp:anchor distT="0" distB="0" distL="114300" distR="114300" simplePos="0" relativeHeight="251743232" behindDoc="0" locked="0" layoutInCell="1" allowOverlap="1">
                <wp:simplePos x="0" y="0"/>
                <wp:positionH relativeFrom="column">
                  <wp:posOffset>678180</wp:posOffset>
                </wp:positionH>
                <wp:positionV relativeFrom="paragraph">
                  <wp:posOffset>-28575</wp:posOffset>
                </wp:positionV>
                <wp:extent cx="7346315" cy="434975"/>
                <wp:effectExtent l="11430" t="5715" r="5080" b="6985"/>
                <wp:wrapNone/>
                <wp:docPr id="22" name="Rectangle 116"/>
                <wp:cNvGraphicFramePr/>
                <a:graphic xmlns:a="http://schemas.openxmlformats.org/drawingml/2006/main">
                  <a:graphicData uri="http://schemas.microsoft.com/office/word/2010/wordprocessingShape">
                    <wps:wsp>
                      <wps:cNvSpPr>
                        <a:spLocks noChangeArrowheads="1"/>
                      </wps:cNvSpPr>
                      <wps:spPr bwMode="auto">
                        <a:xfrm>
                          <a:off x="0" y="0"/>
                          <a:ext cx="7346315" cy="434975"/>
                        </a:xfrm>
                        <a:prstGeom prst="rect">
                          <a:avLst/>
                        </a:prstGeom>
                        <a:solidFill>
                          <a:srgbClr val="FFFFFF"/>
                        </a:solidFill>
                        <a:ln w="9525">
                          <a:solidFill>
                            <a:srgbClr val="000000"/>
                          </a:solidFill>
                          <a:miter lim="800000"/>
                        </a:ln>
                      </wps:spPr>
                      <wps:txbx>
                        <w:txbxContent>
                          <w:p w14:paraId="3E589A25">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49</w:t>
                            </w:r>
                            <w:r>
                              <w:rPr>
                                <w:rFonts w:hint="eastAsia" w:ascii="仿宋" w:hAnsi="仿宋" w:eastAsia="仿宋" w:cs="方正小标宋简体"/>
                                <w:b/>
                                <w:bCs/>
                                <w:sz w:val="28"/>
                                <w:szCs w:val="28"/>
                              </w:rPr>
                              <w:t>：</w:t>
                            </w:r>
                            <w:r>
                              <w:rPr>
                                <w:rFonts w:hint="eastAsia" w:ascii="仿宋" w:hAnsi="仿宋" w:eastAsia="仿宋" w:cs="方正小标宋简体"/>
                                <w:b/>
                                <w:bCs/>
                                <w:color w:val="000000"/>
                                <w:sz w:val="28"/>
                                <w:szCs w:val="28"/>
                              </w:rPr>
                              <w:t>花溪区燕楼镇槐舟村集中式饮用水水源监管范围划分图</w:t>
                            </w:r>
                          </w:p>
                          <w:p w14:paraId="6D65B296">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wps:txbx>
                      <wps:bodyPr rot="0" vert="horz" wrap="square" lIns="91440" tIns="45720" rIns="91440" bIns="45720" anchor="t" anchorCtr="0" upright="1">
                        <a:noAutofit/>
                      </wps:bodyPr>
                    </wps:wsp>
                  </a:graphicData>
                </a:graphic>
              </wp:anchor>
            </w:drawing>
          </mc:Choice>
          <mc:Fallback>
            <w:pict>
              <v:rect id="Rectangle 116" o:spid="_x0000_s1026" o:spt="1" style="position:absolute;left:0pt;margin-left:53.4pt;margin-top:-2.25pt;height:34.25pt;width:578.45pt;z-index:251743232;mso-width-relative:page;mso-height-relative:page;" fillcolor="#FFFFFF" filled="t" stroked="t" coordsize="21600,21600" o:gfxdata="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ATGUQy1wAAAAoBAAAPAAAAAAAAAAEAIAAAACIAAABkcnMvZG93bnJldi54bWxQ&#10;SwECFAAUAAAACACHTuJAs8JX3TECAACABAAADgAAAAAAAAABACAAAAAmAQAAZHJzL2Uyb0RvYy54&#10;bWxQSwUGAAAAAAYABgBZAQAAyQUAAAAA&#10;">
                <v:fill on="t" focussize="0,0"/>
                <v:stroke color="#000000" miterlimit="8" joinstyle="miter"/>
                <v:imagedata o:title=""/>
                <o:lock v:ext="edit" aspectratio="f"/>
                <v:textbox>
                  <w:txbxContent>
                    <w:p w14:paraId="3E589A25">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49</w:t>
                      </w:r>
                      <w:r>
                        <w:rPr>
                          <w:rFonts w:hint="eastAsia" w:ascii="仿宋" w:hAnsi="仿宋" w:eastAsia="仿宋" w:cs="方正小标宋简体"/>
                          <w:b/>
                          <w:bCs/>
                          <w:sz w:val="28"/>
                          <w:szCs w:val="28"/>
                        </w:rPr>
                        <w:t>：</w:t>
                      </w:r>
                      <w:r>
                        <w:rPr>
                          <w:rFonts w:hint="eastAsia" w:ascii="仿宋" w:hAnsi="仿宋" w:eastAsia="仿宋" w:cs="方正小标宋简体"/>
                          <w:b/>
                          <w:bCs/>
                          <w:color w:val="000000"/>
                          <w:sz w:val="28"/>
                          <w:szCs w:val="28"/>
                        </w:rPr>
                        <w:t>花溪区燕楼镇槐舟村集中式饮用水水源监管范围划分图</w:t>
                      </w:r>
                    </w:p>
                    <w:p w14:paraId="6D65B296">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v:textbox>
              </v:rect>
            </w:pict>
          </mc:Fallback>
        </mc:AlternateContent>
      </w:r>
    </w:p>
    <w:p w14:paraId="1D0F3EA1">
      <w:pPr>
        <w:widowControl/>
        <w:spacing w:line="240" w:lineRule="auto"/>
        <w:jc w:val="left"/>
        <w:rPr>
          <w:rFonts w:eastAsia="仿宋"/>
          <w:b/>
          <w:kern w:val="0"/>
          <w:szCs w:val="24"/>
        </w:rPr>
      </w:pPr>
    </w:p>
    <w:p w14:paraId="5424E7A7">
      <w:pPr>
        <w:widowControl/>
        <w:spacing w:line="240" w:lineRule="auto"/>
        <w:jc w:val="left"/>
        <w:rPr>
          <w:rFonts w:eastAsia="仿宋"/>
          <w:b/>
          <w:kern w:val="0"/>
          <w:szCs w:val="24"/>
        </w:rPr>
      </w:pPr>
      <w:r>
        <w:rPr>
          <w:rFonts w:eastAsia="仿宋"/>
          <w:b/>
          <w:kern w:val="0"/>
          <w:szCs w:val="24"/>
        </w:rPr>
        <w:drawing>
          <wp:anchor distT="0" distB="0" distL="114300" distR="114300" simplePos="0" relativeHeight="251691008" behindDoc="0" locked="0" layoutInCell="1" allowOverlap="1">
            <wp:simplePos x="0" y="0"/>
            <wp:positionH relativeFrom="column">
              <wp:posOffset>676910</wp:posOffset>
            </wp:positionH>
            <wp:positionV relativeFrom="paragraph">
              <wp:posOffset>10160</wp:posOffset>
            </wp:positionV>
            <wp:extent cx="7348855" cy="4950460"/>
            <wp:effectExtent l="0" t="0" r="0" b="0"/>
            <wp:wrapNone/>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a:xfrm>
                      <a:off x="0" y="0"/>
                      <a:ext cx="7349159" cy="4950372"/>
                    </a:xfrm>
                    <a:prstGeom prst="rect">
                      <a:avLst/>
                    </a:prstGeom>
                    <a:noFill/>
                    <a:ln>
                      <a:noFill/>
                    </a:ln>
                  </pic:spPr>
                </pic:pic>
              </a:graphicData>
            </a:graphic>
          </wp:anchor>
        </w:drawing>
      </w:r>
    </w:p>
    <w:p w14:paraId="422FA552">
      <w:pPr>
        <w:widowControl/>
        <w:spacing w:line="240" w:lineRule="auto"/>
        <w:jc w:val="left"/>
        <w:rPr>
          <w:rFonts w:eastAsia="仿宋"/>
          <w:b/>
          <w:kern w:val="0"/>
          <w:szCs w:val="24"/>
        </w:rPr>
      </w:pPr>
    </w:p>
    <w:p w14:paraId="4593CF9B">
      <w:pPr>
        <w:widowControl/>
        <w:spacing w:line="240" w:lineRule="auto"/>
        <w:jc w:val="left"/>
        <w:rPr>
          <w:rFonts w:eastAsia="仿宋"/>
          <w:b/>
          <w:kern w:val="0"/>
          <w:szCs w:val="24"/>
        </w:rPr>
      </w:pPr>
    </w:p>
    <w:p w14:paraId="1398DCA8">
      <w:pPr>
        <w:widowControl/>
        <w:spacing w:line="240" w:lineRule="auto"/>
        <w:jc w:val="left"/>
        <w:rPr>
          <w:rFonts w:eastAsia="仿宋"/>
          <w:b/>
          <w:kern w:val="0"/>
          <w:szCs w:val="24"/>
        </w:rPr>
      </w:pPr>
    </w:p>
    <w:p w14:paraId="2757712F">
      <w:pPr>
        <w:widowControl/>
        <w:spacing w:line="240" w:lineRule="auto"/>
        <w:jc w:val="left"/>
        <w:rPr>
          <w:rFonts w:eastAsia="仿宋"/>
          <w:b/>
          <w:kern w:val="0"/>
          <w:szCs w:val="24"/>
        </w:rPr>
      </w:pPr>
    </w:p>
    <w:p w14:paraId="3916CAF6">
      <w:pPr>
        <w:widowControl/>
        <w:spacing w:line="240" w:lineRule="auto"/>
        <w:jc w:val="left"/>
        <w:rPr>
          <w:rFonts w:eastAsia="仿宋"/>
          <w:b/>
          <w:kern w:val="0"/>
          <w:szCs w:val="24"/>
        </w:rPr>
      </w:pPr>
    </w:p>
    <w:p w14:paraId="04D1DB16">
      <w:pPr>
        <w:widowControl/>
        <w:spacing w:line="240" w:lineRule="auto"/>
        <w:jc w:val="left"/>
        <w:rPr>
          <w:rFonts w:eastAsia="仿宋"/>
          <w:b/>
          <w:kern w:val="0"/>
          <w:szCs w:val="24"/>
        </w:rPr>
      </w:pPr>
    </w:p>
    <w:p w14:paraId="5840FB8F">
      <w:pPr>
        <w:widowControl/>
        <w:spacing w:line="240" w:lineRule="auto"/>
        <w:jc w:val="left"/>
        <w:rPr>
          <w:rFonts w:eastAsia="仿宋"/>
          <w:b/>
          <w:kern w:val="0"/>
          <w:szCs w:val="24"/>
        </w:rPr>
      </w:pPr>
    </w:p>
    <w:p w14:paraId="73ABD6F0">
      <w:pPr>
        <w:widowControl/>
        <w:spacing w:line="240" w:lineRule="auto"/>
        <w:jc w:val="left"/>
        <w:rPr>
          <w:rFonts w:eastAsia="仿宋"/>
          <w:b/>
          <w:kern w:val="0"/>
          <w:szCs w:val="24"/>
        </w:rPr>
      </w:pPr>
    </w:p>
    <w:p w14:paraId="35856671">
      <w:pPr>
        <w:widowControl/>
        <w:spacing w:line="240" w:lineRule="auto"/>
        <w:jc w:val="left"/>
        <w:rPr>
          <w:rFonts w:eastAsia="仿宋"/>
          <w:b/>
          <w:kern w:val="0"/>
          <w:szCs w:val="24"/>
        </w:rPr>
      </w:pPr>
    </w:p>
    <w:p w14:paraId="75CB9ED0">
      <w:pPr>
        <w:widowControl/>
        <w:spacing w:line="240" w:lineRule="auto"/>
        <w:jc w:val="left"/>
        <w:rPr>
          <w:rFonts w:eastAsia="仿宋"/>
          <w:b/>
          <w:kern w:val="0"/>
          <w:szCs w:val="24"/>
        </w:rPr>
      </w:pPr>
    </w:p>
    <w:p w14:paraId="1AAC5357">
      <w:pPr>
        <w:widowControl/>
        <w:spacing w:line="240" w:lineRule="auto"/>
        <w:jc w:val="left"/>
        <w:rPr>
          <w:rFonts w:eastAsia="仿宋"/>
          <w:b/>
          <w:kern w:val="0"/>
          <w:szCs w:val="24"/>
        </w:rPr>
      </w:pPr>
    </w:p>
    <w:p w14:paraId="1E9D53FF">
      <w:pPr>
        <w:widowControl/>
        <w:spacing w:line="240" w:lineRule="auto"/>
        <w:jc w:val="left"/>
        <w:rPr>
          <w:rFonts w:eastAsia="仿宋"/>
          <w:b/>
          <w:kern w:val="0"/>
          <w:szCs w:val="24"/>
        </w:rPr>
      </w:pPr>
    </w:p>
    <w:p w14:paraId="055251D8">
      <w:pPr>
        <w:widowControl/>
        <w:spacing w:line="240" w:lineRule="auto"/>
        <w:jc w:val="left"/>
        <w:rPr>
          <w:rFonts w:eastAsia="仿宋"/>
          <w:b/>
          <w:kern w:val="0"/>
          <w:szCs w:val="24"/>
        </w:rPr>
      </w:pPr>
    </w:p>
    <w:p w14:paraId="368B5975">
      <w:pPr>
        <w:widowControl/>
        <w:spacing w:line="240" w:lineRule="auto"/>
        <w:jc w:val="left"/>
        <w:rPr>
          <w:rFonts w:eastAsia="仿宋"/>
          <w:b/>
          <w:kern w:val="0"/>
          <w:szCs w:val="24"/>
        </w:rPr>
      </w:pPr>
    </w:p>
    <w:p w14:paraId="1B4F81E2">
      <w:pPr>
        <w:widowControl/>
        <w:spacing w:line="240" w:lineRule="auto"/>
        <w:jc w:val="left"/>
        <w:rPr>
          <w:rFonts w:eastAsia="仿宋"/>
          <w:b/>
          <w:kern w:val="0"/>
          <w:szCs w:val="24"/>
        </w:rPr>
      </w:pPr>
    </w:p>
    <w:p w14:paraId="1F5FB4FB">
      <w:pPr>
        <w:widowControl/>
        <w:spacing w:line="240" w:lineRule="auto"/>
        <w:jc w:val="left"/>
        <w:rPr>
          <w:rFonts w:eastAsia="仿宋"/>
          <w:b/>
          <w:kern w:val="0"/>
          <w:szCs w:val="24"/>
        </w:rPr>
      </w:pPr>
    </w:p>
    <w:p w14:paraId="54B8EB12">
      <w:pPr>
        <w:widowControl/>
        <w:spacing w:line="240" w:lineRule="auto"/>
        <w:jc w:val="left"/>
        <w:rPr>
          <w:rFonts w:eastAsia="仿宋"/>
          <w:b/>
          <w:kern w:val="0"/>
          <w:szCs w:val="24"/>
        </w:rPr>
      </w:pPr>
    </w:p>
    <w:p w14:paraId="2282A1F7">
      <w:pPr>
        <w:widowControl/>
        <w:spacing w:line="240" w:lineRule="auto"/>
        <w:jc w:val="left"/>
        <w:rPr>
          <w:rFonts w:eastAsia="仿宋"/>
          <w:b/>
          <w:kern w:val="0"/>
          <w:szCs w:val="24"/>
        </w:rPr>
      </w:pPr>
    </w:p>
    <w:p w14:paraId="4AAD4B7C">
      <w:pPr>
        <w:widowControl/>
        <w:spacing w:line="240" w:lineRule="auto"/>
        <w:jc w:val="left"/>
        <w:rPr>
          <w:rFonts w:eastAsia="仿宋"/>
          <w:b/>
          <w:kern w:val="0"/>
          <w:szCs w:val="24"/>
        </w:rPr>
      </w:pPr>
    </w:p>
    <w:p w14:paraId="1285E512">
      <w:pPr>
        <w:widowControl/>
        <w:spacing w:line="240" w:lineRule="auto"/>
        <w:jc w:val="left"/>
        <w:rPr>
          <w:rFonts w:eastAsia="仿宋"/>
          <w:b/>
          <w:kern w:val="0"/>
          <w:szCs w:val="24"/>
        </w:rPr>
      </w:pPr>
    </w:p>
    <w:p w14:paraId="22CA84C2">
      <w:pPr>
        <w:widowControl/>
        <w:spacing w:line="240" w:lineRule="auto"/>
        <w:jc w:val="left"/>
        <w:rPr>
          <w:rFonts w:eastAsia="仿宋"/>
          <w:b/>
          <w:kern w:val="0"/>
          <w:szCs w:val="24"/>
        </w:rPr>
      </w:pPr>
    </w:p>
    <w:p w14:paraId="698483E9">
      <w:pPr>
        <w:widowControl/>
        <w:spacing w:line="240" w:lineRule="auto"/>
        <w:jc w:val="left"/>
        <w:rPr>
          <w:rFonts w:eastAsia="仿宋"/>
          <w:b/>
          <w:kern w:val="0"/>
          <w:szCs w:val="24"/>
        </w:rPr>
      </w:pPr>
    </w:p>
    <w:p w14:paraId="25755153">
      <w:pPr>
        <w:widowControl/>
        <w:spacing w:line="240" w:lineRule="auto"/>
        <w:jc w:val="left"/>
        <w:rPr>
          <w:rFonts w:eastAsia="仿宋"/>
          <w:b/>
          <w:kern w:val="0"/>
          <w:szCs w:val="24"/>
        </w:rPr>
      </w:pPr>
    </w:p>
    <w:p w14:paraId="6320C680">
      <w:pPr>
        <w:widowControl/>
        <w:spacing w:line="240" w:lineRule="auto"/>
        <w:jc w:val="left"/>
        <w:rPr>
          <w:rFonts w:eastAsia="仿宋"/>
          <w:b/>
          <w:kern w:val="0"/>
          <w:szCs w:val="24"/>
        </w:rPr>
      </w:pPr>
    </w:p>
    <w:p w14:paraId="11E388A6">
      <w:pPr>
        <w:widowControl/>
        <w:spacing w:line="240" w:lineRule="auto"/>
        <w:jc w:val="left"/>
        <w:rPr>
          <w:rFonts w:eastAsia="仿宋"/>
          <w:b/>
          <w:kern w:val="0"/>
          <w:szCs w:val="24"/>
        </w:rPr>
      </w:pPr>
      <w:r>
        <w:rPr>
          <w:rFonts w:eastAsia="仿宋"/>
          <w:b/>
          <w:kern w:val="0"/>
          <w:szCs w:val="24"/>
        </w:rPr>
        <mc:AlternateContent>
          <mc:Choice Requires="wps">
            <w:drawing>
              <wp:anchor distT="0" distB="0" distL="114300" distR="114300" simplePos="0" relativeHeight="251744256" behindDoc="0" locked="0" layoutInCell="1" allowOverlap="1">
                <wp:simplePos x="0" y="0"/>
                <wp:positionH relativeFrom="column">
                  <wp:posOffset>684530</wp:posOffset>
                </wp:positionH>
                <wp:positionV relativeFrom="paragraph">
                  <wp:posOffset>34925</wp:posOffset>
                </wp:positionV>
                <wp:extent cx="7103745" cy="434975"/>
                <wp:effectExtent l="8255" t="12065" r="12700" b="10160"/>
                <wp:wrapNone/>
                <wp:docPr id="16" name="Rectangle 118"/>
                <wp:cNvGraphicFramePr/>
                <a:graphic xmlns:a="http://schemas.openxmlformats.org/drawingml/2006/main">
                  <a:graphicData uri="http://schemas.microsoft.com/office/word/2010/wordprocessingShape">
                    <wps:wsp>
                      <wps:cNvSpPr>
                        <a:spLocks noChangeArrowheads="1"/>
                      </wps:cNvSpPr>
                      <wps:spPr bwMode="auto">
                        <a:xfrm>
                          <a:off x="0" y="0"/>
                          <a:ext cx="7103745" cy="434975"/>
                        </a:xfrm>
                        <a:prstGeom prst="rect">
                          <a:avLst/>
                        </a:prstGeom>
                        <a:solidFill>
                          <a:srgbClr val="FFFFFF"/>
                        </a:solidFill>
                        <a:ln w="9525">
                          <a:solidFill>
                            <a:srgbClr val="000000"/>
                          </a:solidFill>
                          <a:miter lim="800000"/>
                        </a:ln>
                      </wps:spPr>
                      <wps:txbx>
                        <w:txbxContent>
                          <w:p w14:paraId="6EC42408">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50</w:t>
                            </w:r>
                            <w:r>
                              <w:rPr>
                                <w:rFonts w:hint="eastAsia" w:ascii="仿宋" w:hAnsi="仿宋" w:eastAsia="仿宋" w:cs="方正小标宋简体"/>
                                <w:b/>
                                <w:bCs/>
                                <w:sz w:val="28"/>
                                <w:szCs w:val="28"/>
                              </w:rPr>
                              <w:t>：</w:t>
                            </w:r>
                            <w:r>
                              <w:rPr>
                                <w:rFonts w:hint="eastAsia" w:ascii="仿宋" w:hAnsi="仿宋" w:eastAsia="仿宋" w:cs="方正小标宋简体"/>
                                <w:b/>
                                <w:bCs/>
                                <w:color w:val="000000"/>
                                <w:sz w:val="28"/>
                                <w:szCs w:val="28"/>
                              </w:rPr>
                              <w:t>花溪区燕楼镇槐舟村集中式饮用水水源监管范围影像图</w:t>
                            </w:r>
                          </w:p>
                          <w:p w14:paraId="5FDE9ECF">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wps:txbx>
                      <wps:bodyPr rot="0" vert="horz" wrap="square" lIns="91440" tIns="45720" rIns="91440" bIns="45720" anchor="t" anchorCtr="0" upright="1">
                        <a:noAutofit/>
                      </wps:bodyPr>
                    </wps:wsp>
                  </a:graphicData>
                </a:graphic>
              </wp:anchor>
            </w:drawing>
          </mc:Choice>
          <mc:Fallback>
            <w:pict>
              <v:rect id="Rectangle 118" o:spid="_x0000_s1026" o:spt="1" style="position:absolute;left:0pt;margin-left:53.9pt;margin-top:2.75pt;height:34.25pt;width:559.35pt;z-index:251744256;mso-width-relative:page;mso-height-relative:page;" fillcolor="#FFFFFF" filled="t" stroked="t" coordsize="21600,21600" o:gfxdata="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u8M3C1wAAAAkBAAAPAAAAAAAAAAEAIAAAACIAAABkcnMvZG93bnJldi54bWxQ&#10;SwECFAAUAAAACACHTuJAf3jbKTECAACABAAADgAAAAAAAAABACAAAAAmAQAAZHJzL2Uyb0RvYy54&#10;bWxQSwUGAAAAAAYABgBZAQAAyQUAAAAA&#10;">
                <v:fill on="t" focussize="0,0"/>
                <v:stroke color="#000000" miterlimit="8" joinstyle="miter"/>
                <v:imagedata o:title=""/>
                <o:lock v:ext="edit" aspectratio="f"/>
                <v:textbox>
                  <w:txbxContent>
                    <w:p w14:paraId="6EC42408">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50</w:t>
                      </w:r>
                      <w:r>
                        <w:rPr>
                          <w:rFonts w:hint="eastAsia" w:ascii="仿宋" w:hAnsi="仿宋" w:eastAsia="仿宋" w:cs="方正小标宋简体"/>
                          <w:b/>
                          <w:bCs/>
                          <w:sz w:val="28"/>
                          <w:szCs w:val="28"/>
                        </w:rPr>
                        <w:t>：</w:t>
                      </w:r>
                      <w:r>
                        <w:rPr>
                          <w:rFonts w:hint="eastAsia" w:ascii="仿宋" w:hAnsi="仿宋" w:eastAsia="仿宋" w:cs="方正小标宋简体"/>
                          <w:b/>
                          <w:bCs/>
                          <w:color w:val="000000"/>
                          <w:sz w:val="28"/>
                          <w:szCs w:val="28"/>
                        </w:rPr>
                        <w:t>花溪区燕楼镇槐舟村集中式饮用水水源监管范围影像图</w:t>
                      </w:r>
                    </w:p>
                    <w:p w14:paraId="5FDE9ECF">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v:textbox>
              </v:rect>
            </w:pict>
          </mc:Fallback>
        </mc:AlternateContent>
      </w:r>
    </w:p>
    <w:p w14:paraId="6C7F8EB6">
      <w:pPr>
        <w:widowControl/>
        <w:spacing w:line="240" w:lineRule="auto"/>
        <w:jc w:val="left"/>
        <w:rPr>
          <w:rFonts w:eastAsia="仿宋"/>
          <w:b/>
          <w:kern w:val="0"/>
          <w:szCs w:val="24"/>
        </w:rPr>
      </w:pPr>
    </w:p>
    <w:p w14:paraId="20DD1C31">
      <w:pPr>
        <w:widowControl/>
        <w:spacing w:line="240" w:lineRule="auto"/>
        <w:jc w:val="left"/>
        <w:rPr>
          <w:rFonts w:eastAsia="仿宋"/>
          <w:b/>
          <w:kern w:val="0"/>
          <w:szCs w:val="24"/>
        </w:rPr>
      </w:pPr>
      <w:r>
        <w:rPr>
          <w:rFonts w:eastAsia="仿宋"/>
          <w:b/>
          <w:kern w:val="0"/>
          <w:szCs w:val="24"/>
        </w:rPr>
        <w:drawing>
          <wp:anchor distT="0" distB="0" distL="114300" distR="114300" simplePos="0" relativeHeight="251692032" behindDoc="0" locked="0" layoutInCell="1" allowOverlap="1">
            <wp:simplePos x="0" y="0"/>
            <wp:positionH relativeFrom="column">
              <wp:posOffset>677545</wp:posOffset>
            </wp:positionH>
            <wp:positionV relativeFrom="paragraph">
              <wp:posOffset>73025</wp:posOffset>
            </wp:positionV>
            <wp:extent cx="7094220" cy="4775835"/>
            <wp:effectExtent l="0" t="0" r="0" b="0"/>
            <wp:wrapNone/>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a:xfrm>
                      <a:off x="0" y="0"/>
                      <a:ext cx="7102726" cy="4781386"/>
                    </a:xfrm>
                    <a:prstGeom prst="rect">
                      <a:avLst/>
                    </a:prstGeom>
                    <a:noFill/>
                    <a:ln>
                      <a:noFill/>
                    </a:ln>
                  </pic:spPr>
                </pic:pic>
              </a:graphicData>
            </a:graphic>
          </wp:anchor>
        </w:drawing>
      </w:r>
    </w:p>
    <w:p w14:paraId="4A358DC5">
      <w:pPr>
        <w:widowControl/>
        <w:spacing w:line="240" w:lineRule="auto"/>
        <w:jc w:val="left"/>
        <w:rPr>
          <w:rFonts w:eastAsia="仿宋"/>
          <w:b/>
          <w:kern w:val="0"/>
          <w:szCs w:val="24"/>
        </w:rPr>
      </w:pPr>
    </w:p>
    <w:p w14:paraId="10C6AAA1">
      <w:pPr>
        <w:widowControl/>
        <w:spacing w:line="240" w:lineRule="auto"/>
        <w:jc w:val="left"/>
        <w:rPr>
          <w:rFonts w:eastAsia="仿宋"/>
          <w:b/>
          <w:kern w:val="0"/>
          <w:szCs w:val="24"/>
        </w:rPr>
      </w:pPr>
    </w:p>
    <w:p w14:paraId="1A1E1005">
      <w:pPr>
        <w:widowControl/>
        <w:spacing w:line="240" w:lineRule="auto"/>
        <w:jc w:val="left"/>
        <w:rPr>
          <w:rFonts w:eastAsia="仿宋"/>
          <w:b/>
          <w:kern w:val="0"/>
          <w:szCs w:val="24"/>
        </w:rPr>
      </w:pPr>
    </w:p>
    <w:p w14:paraId="2388745D">
      <w:pPr>
        <w:widowControl/>
        <w:spacing w:line="240" w:lineRule="auto"/>
        <w:jc w:val="left"/>
        <w:rPr>
          <w:rFonts w:eastAsia="仿宋"/>
          <w:b/>
          <w:kern w:val="0"/>
          <w:szCs w:val="24"/>
        </w:rPr>
      </w:pPr>
    </w:p>
    <w:p w14:paraId="50DFA1A8">
      <w:pPr>
        <w:widowControl/>
        <w:spacing w:line="240" w:lineRule="auto"/>
        <w:jc w:val="left"/>
        <w:rPr>
          <w:rFonts w:eastAsia="仿宋"/>
          <w:b/>
          <w:kern w:val="0"/>
          <w:szCs w:val="24"/>
        </w:rPr>
      </w:pPr>
    </w:p>
    <w:p w14:paraId="403E25CA">
      <w:pPr>
        <w:widowControl/>
        <w:spacing w:line="240" w:lineRule="auto"/>
        <w:jc w:val="left"/>
        <w:rPr>
          <w:rFonts w:eastAsia="仿宋"/>
          <w:b/>
          <w:kern w:val="0"/>
          <w:szCs w:val="24"/>
        </w:rPr>
      </w:pPr>
    </w:p>
    <w:p w14:paraId="35C67D67">
      <w:pPr>
        <w:widowControl/>
        <w:spacing w:line="240" w:lineRule="auto"/>
        <w:jc w:val="left"/>
        <w:rPr>
          <w:rFonts w:eastAsia="仿宋"/>
          <w:b/>
          <w:kern w:val="0"/>
          <w:szCs w:val="24"/>
        </w:rPr>
      </w:pPr>
    </w:p>
    <w:p w14:paraId="33828626">
      <w:pPr>
        <w:widowControl/>
        <w:spacing w:line="240" w:lineRule="auto"/>
        <w:jc w:val="left"/>
        <w:rPr>
          <w:rFonts w:eastAsia="仿宋"/>
          <w:b/>
          <w:kern w:val="0"/>
          <w:szCs w:val="24"/>
        </w:rPr>
      </w:pPr>
    </w:p>
    <w:p w14:paraId="5CD444DC">
      <w:pPr>
        <w:widowControl/>
        <w:spacing w:line="240" w:lineRule="auto"/>
        <w:jc w:val="left"/>
        <w:rPr>
          <w:rFonts w:eastAsia="仿宋"/>
          <w:b/>
          <w:kern w:val="0"/>
          <w:szCs w:val="24"/>
        </w:rPr>
      </w:pPr>
    </w:p>
    <w:p w14:paraId="72F1E377">
      <w:pPr>
        <w:widowControl/>
        <w:spacing w:line="240" w:lineRule="auto"/>
        <w:jc w:val="left"/>
        <w:rPr>
          <w:rFonts w:eastAsia="仿宋"/>
          <w:b/>
          <w:kern w:val="0"/>
          <w:szCs w:val="24"/>
        </w:rPr>
      </w:pPr>
    </w:p>
    <w:p w14:paraId="1140B21B">
      <w:pPr>
        <w:widowControl/>
        <w:spacing w:line="240" w:lineRule="auto"/>
        <w:jc w:val="left"/>
        <w:rPr>
          <w:rFonts w:eastAsia="仿宋"/>
          <w:b/>
          <w:kern w:val="0"/>
          <w:szCs w:val="24"/>
        </w:rPr>
      </w:pPr>
    </w:p>
    <w:p w14:paraId="12E18202">
      <w:pPr>
        <w:widowControl/>
        <w:spacing w:line="240" w:lineRule="auto"/>
        <w:jc w:val="left"/>
        <w:rPr>
          <w:rFonts w:eastAsia="仿宋"/>
          <w:b/>
          <w:kern w:val="0"/>
          <w:szCs w:val="24"/>
        </w:rPr>
      </w:pPr>
    </w:p>
    <w:p w14:paraId="16BBE92C">
      <w:pPr>
        <w:widowControl/>
        <w:spacing w:line="240" w:lineRule="auto"/>
        <w:jc w:val="left"/>
        <w:rPr>
          <w:rFonts w:eastAsia="仿宋"/>
          <w:b/>
          <w:kern w:val="0"/>
          <w:szCs w:val="24"/>
        </w:rPr>
      </w:pPr>
    </w:p>
    <w:p w14:paraId="55FF0745">
      <w:pPr>
        <w:widowControl/>
        <w:spacing w:line="240" w:lineRule="auto"/>
        <w:jc w:val="left"/>
        <w:rPr>
          <w:rFonts w:eastAsia="仿宋"/>
          <w:b/>
          <w:kern w:val="0"/>
          <w:szCs w:val="24"/>
        </w:rPr>
      </w:pPr>
    </w:p>
    <w:p w14:paraId="251011EE">
      <w:pPr>
        <w:widowControl/>
        <w:spacing w:line="240" w:lineRule="auto"/>
        <w:jc w:val="left"/>
        <w:rPr>
          <w:rFonts w:eastAsia="仿宋"/>
          <w:b/>
          <w:kern w:val="0"/>
          <w:szCs w:val="24"/>
        </w:rPr>
      </w:pPr>
    </w:p>
    <w:p w14:paraId="49D3FE6C">
      <w:pPr>
        <w:widowControl/>
        <w:spacing w:line="240" w:lineRule="auto"/>
        <w:jc w:val="left"/>
        <w:rPr>
          <w:rFonts w:eastAsia="仿宋"/>
          <w:b/>
          <w:kern w:val="0"/>
          <w:szCs w:val="24"/>
        </w:rPr>
      </w:pPr>
    </w:p>
    <w:p w14:paraId="27448998">
      <w:pPr>
        <w:widowControl/>
        <w:spacing w:line="240" w:lineRule="auto"/>
        <w:jc w:val="left"/>
        <w:rPr>
          <w:rFonts w:eastAsia="仿宋"/>
          <w:b/>
          <w:kern w:val="0"/>
          <w:szCs w:val="24"/>
        </w:rPr>
      </w:pPr>
    </w:p>
    <w:p w14:paraId="2F8B545F">
      <w:pPr>
        <w:widowControl/>
        <w:spacing w:line="240" w:lineRule="auto"/>
        <w:jc w:val="left"/>
        <w:rPr>
          <w:rFonts w:eastAsia="仿宋"/>
          <w:b/>
          <w:kern w:val="0"/>
          <w:szCs w:val="24"/>
        </w:rPr>
      </w:pPr>
    </w:p>
    <w:p w14:paraId="4A6E6658">
      <w:pPr>
        <w:widowControl/>
        <w:spacing w:line="240" w:lineRule="auto"/>
        <w:jc w:val="left"/>
        <w:rPr>
          <w:rFonts w:eastAsia="仿宋"/>
          <w:b/>
          <w:kern w:val="0"/>
          <w:szCs w:val="24"/>
        </w:rPr>
      </w:pPr>
    </w:p>
    <w:p w14:paraId="345B2110">
      <w:pPr>
        <w:widowControl/>
        <w:spacing w:line="240" w:lineRule="auto"/>
        <w:jc w:val="left"/>
        <w:rPr>
          <w:rFonts w:eastAsia="仿宋"/>
          <w:b/>
          <w:kern w:val="0"/>
          <w:szCs w:val="24"/>
        </w:rPr>
      </w:pPr>
    </w:p>
    <w:p w14:paraId="532ADA79">
      <w:pPr>
        <w:widowControl/>
        <w:spacing w:line="240" w:lineRule="auto"/>
        <w:jc w:val="left"/>
        <w:rPr>
          <w:rFonts w:eastAsia="仿宋"/>
          <w:b/>
          <w:kern w:val="0"/>
          <w:szCs w:val="24"/>
        </w:rPr>
      </w:pPr>
    </w:p>
    <w:p w14:paraId="3B23A616">
      <w:pPr>
        <w:widowControl/>
        <w:spacing w:line="240" w:lineRule="auto"/>
        <w:jc w:val="left"/>
        <w:rPr>
          <w:rFonts w:eastAsia="仿宋"/>
          <w:b/>
          <w:kern w:val="0"/>
          <w:szCs w:val="24"/>
        </w:rPr>
      </w:pPr>
    </w:p>
    <w:p w14:paraId="06672258">
      <w:pPr>
        <w:widowControl/>
        <w:spacing w:line="240" w:lineRule="auto"/>
        <w:jc w:val="left"/>
        <w:rPr>
          <w:rFonts w:eastAsia="仿宋"/>
          <w:b/>
          <w:kern w:val="0"/>
          <w:szCs w:val="24"/>
        </w:rPr>
      </w:pPr>
    </w:p>
    <w:p w14:paraId="27824B02">
      <w:pPr>
        <w:widowControl/>
        <w:spacing w:line="240" w:lineRule="auto"/>
        <w:jc w:val="left"/>
        <w:rPr>
          <w:rFonts w:eastAsia="仿宋"/>
          <w:b/>
          <w:kern w:val="0"/>
          <w:szCs w:val="24"/>
        </w:rPr>
        <w:sectPr>
          <w:pgSz w:w="16838" w:h="11906" w:orient="landscape"/>
          <w:pgMar w:top="1644" w:right="1440" w:bottom="1644" w:left="1440" w:header="851" w:footer="992" w:gutter="0"/>
          <w:cols w:space="425" w:num="1"/>
          <w:docGrid w:type="lines" w:linePitch="312" w:charSpace="0"/>
        </w:sectPr>
      </w:pPr>
      <w:r>
        <w:rPr>
          <w:rFonts w:eastAsia="仿宋"/>
          <w:b/>
          <w:kern w:val="0"/>
          <w:szCs w:val="24"/>
        </w:rPr>
        <w:br w:type="page"/>
      </w:r>
    </w:p>
    <w:p w14:paraId="5D3A3202">
      <w:pPr>
        <w:widowControl/>
        <w:spacing w:line="240" w:lineRule="auto"/>
        <w:jc w:val="left"/>
        <w:rPr>
          <w:rFonts w:eastAsia="仿宋"/>
          <w:b/>
          <w:kern w:val="0"/>
          <w:szCs w:val="24"/>
        </w:rPr>
      </w:pPr>
      <w:r>
        <w:rPr>
          <w:rFonts w:eastAsia="仿宋"/>
          <w:b/>
          <w:kern w:val="0"/>
          <w:szCs w:val="24"/>
        </w:rPr>
        <w:drawing>
          <wp:anchor distT="0" distB="0" distL="114300" distR="114300" simplePos="0" relativeHeight="251693056" behindDoc="0" locked="0" layoutInCell="1" allowOverlap="1">
            <wp:simplePos x="0" y="0"/>
            <wp:positionH relativeFrom="column">
              <wp:posOffset>-30480</wp:posOffset>
            </wp:positionH>
            <wp:positionV relativeFrom="paragraph">
              <wp:posOffset>438785</wp:posOffset>
            </wp:positionV>
            <wp:extent cx="5472430" cy="7633335"/>
            <wp:effectExtent l="0" t="0" r="0" b="0"/>
            <wp:wrapNone/>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a:xfrm>
                      <a:off x="0" y="0"/>
                      <a:ext cx="5472430" cy="7633335"/>
                    </a:xfrm>
                    <a:prstGeom prst="rect">
                      <a:avLst/>
                    </a:prstGeom>
                    <a:noFill/>
                    <a:ln>
                      <a:noFill/>
                    </a:ln>
                  </pic:spPr>
                </pic:pic>
              </a:graphicData>
            </a:graphic>
          </wp:anchor>
        </w:drawing>
      </w:r>
      <w:r>
        <w:rPr>
          <w:rFonts w:eastAsia="仿宋"/>
          <w:b/>
          <w:kern w:val="0"/>
          <w:szCs w:val="24"/>
        </w:rPr>
        <mc:AlternateContent>
          <mc:Choice Requires="wps">
            <w:drawing>
              <wp:anchor distT="0" distB="0" distL="114300" distR="114300" simplePos="0" relativeHeight="251745280" behindDoc="0" locked="0" layoutInCell="1" allowOverlap="1">
                <wp:simplePos x="0" y="0"/>
                <wp:positionH relativeFrom="column">
                  <wp:posOffset>-19685</wp:posOffset>
                </wp:positionH>
                <wp:positionV relativeFrom="paragraph">
                  <wp:posOffset>5715</wp:posOffset>
                </wp:positionV>
                <wp:extent cx="5408295" cy="434975"/>
                <wp:effectExtent l="5080" t="5715" r="6350" b="6985"/>
                <wp:wrapNone/>
                <wp:docPr id="15" name="Rectangle 120"/>
                <wp:cNvGraphicFramePr/>
                <a:graphic xmlns:a="http://schemas.openxmlformats.org/drawingml/2006/main">
                  <a:graphicData uri="http://schemas.microsoft.com/office/word/2010/wordprocessingShape">
                    <wps:wsp>
                      <wps:cNvSpPr>
                        <a:spLocks noChangeArrowheads="1"/>
                      </wps:cNvSpPr>
                      <wps:spPr bwMode="auto">
                        <a:xfrm>
                          <a:off x="0" y="0"/>
                          <a:ext cx="5408295" cy="434975"/>
                        </a:xfrm>
                        <a:prstGeom prst="rect">
                          <a:avLst/>
                        </a:prstGeom>
                        <a:solidFill>
                          <a:srgbClr val="FFFFFF"/>
                        </a:solidFill>
                        <a:ln w="9525">
                          <a:solidFill>
                            <a:srgbClr val="000000"/>
                          </a:solidFill>
                          <a:miter lim="800000"/>
                        </a:ln>
                      </wps:spPr>
                      <wps:txbx>
                        <w:txbxContent>
                          <w:p w14:paraId="223CB9CF">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51</w:t>
                            </w:r>
                            <w:r>
                              <w:rPr>
                                <w:rFonts w:hint="eastAsia" w:ascii="仿宋" w:hAnsi="仿宋" w:eastAsia="仿宋" w:cs="方正小标宋简体"/>
                                <w:b/>
                                <w:bCs/>
                                <w:sz w:val="28"/>
                                <w:szCs w:val="28"/>
                              </w:rPr>
                              <w:t>：</w:t>
                            </w:r>
                            <w:r>
                              <w:rPr>
                                <w:rFonts w:hint="eastAsia" w:ascii="仿宋" w:hAnsi="仿宋" w:eastAsia="仿宋" w:cs="方正小标宋简体"/>
                                <w:b/>
                                <w:bCs/>
                                <w:color w:val="000000"/>
                                <w:sz w:val="28"/>
                                <w:szCs w:val="28"/>
                              </w:rPr>
                              <w:t>花溪区燕楼镇新井村集中式饮用水水源监管范围划分图</w:t>
                            </w:r>
                          </w:p>
                          <w:p w14:paraId="6A241563">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wps:txbx>
                      <wps:bodyPr rot="0" vert="horz" wrap="square" lIns="91440" tIns="45720" rIns="91440" bIns="45720" anchor="t" anchorCtr="0" upright="1">
                        <a:noAutofit/>
                      </wps:bodyPr>
                    </wps:wsp>
                  </a:graphicData>
                </a:graphic>
              </wp:anchor>
            </w:drawing>
          </mc:Choice>
          <mc:Fallback>
            <w:pict>
              <v:rect id="Rectangle 120" o:spid="_x0000_s1026" o:spt="1" style="position:absolute;left:0pt;margin-left:-1.55pt;margin-top:0.45pt;height:34.25pt;width:425.85pt;z-index:251745280;mso-width-relative:page;mso-height-relative:page;" fillcolor="#FFFFFF" filled="t" stroked="t" coordsize="21600,21600" o:gfxdata="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4VQM89UAAAAGAQAADwAAAAAAAAABACAAAAAiAAAAZHJzL2Rvd25yZXYueG1sUEsB&#10;AhQAFAAAAAgAh07iQAsGjE4xAgAAgAQAAA4AAAAAAAAAAQAgAAAAJAEAAGRycy9lMm9Eb2MueG1s&#10;UEsFBgAAAAAGAAYAWQEAAMcFAAAAAA==&#10;">
                <v:fill on="t" focussize="0,0"/>
                <v:stroke color="#000000" miterlimit="8" joinstyle="miter"/>
                <v:imagedata o:title=""/>
                <o:lock v:ext="edit" aspectratio="f"/>
                <v:textbox>
                  <w:txbxContent>
                    <w:p w14:paraId="223CB9CF">
                      <w:pPr>
                        <w:jc w:val="center"/>
                        <w:rPr>
                          <w:rFonts w:ascii="仿宋" w:hAnsi="仿宋" w:eastAsia="仿宋"/>
                          <w:b/>
                          <w:bCs/>
                          <w:sz w:val="28"/>
                          <w:szCs w:val="28"/>
                        </w:rPr>
                      </w:pPr>
                      <w:r>
                        <w:rPr>
                          <w:rFonts w:hint="eastAsia" w:ascii="仿宋" w:hAnsi="仿宋" w:eastAsia="仿宋" w:cs="方正小标宋简体"/>
                          <w:b/>
                          <w:bCs/>
                          <w:sz w:val="28"/>
                          <w:szCs w:val="28"/>
                        </w:rPr>
                        <w:t>附图</w:t>
                      </w:r>
                      <w:r>
                        <w:rPr>
                          <w:rFonts w:ascii="仿宋" w:hAnsi="仿宋" w:eastAsia="仿宋" w:cs="方正小标宋简体"/>
                          <w:b/>
                          <w:bCs/>
                          <w:sz w:val="28"/>
                          <w:szCs w:val="28"/>
                        </w:rPr>
                        <w:t>51</w:t>
                      </w:r>
                      <w:r>
                        <w:rPr>
                          <w:rFonts w:hint="eastAsia" w:ascii="仿宋" w:hAnsi="仿宋" w:eastAsia="仿宋" w:cs="方正小标宋简体"/>
                          <w:b/>
                          <w:bCs/>
                          <w:sz w:val="28"/>
                          <w:szCs w:val="28"/>
                        </w:rPr>
                        <w:t>：</w:t>
                      </w:r>
                      <w:r>
                        <w:rPr>
                          <w:rFonts w:hint="eastAsia" w:ascii="仿宋" w:hAnsi="仿宋" w:eastAsia="仿宋" w:cs="方正小标宋简体"/>
                          <w:b/>
                          <w:bCs/>
                          <w:color w:val="000000"/>
                          <w:sz w:val="28"/>
                          <w:szCs w:val="28"/>
                        </w:rPr>
                        <w:t>花溪区燕楼镇新井村集中式饮用水水源监管范围划分图</w:t>
                      </w:r>
                    </w:p>
                    <w:p w14:paraId="6A241563">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v:textbox>
              </v:rect>
            </w:pict>
          </mc:Fallback>
        </mc:AlternateContent>
      </w:r>
      <w:r>
        <w:rPr>
          <w:rFonts w:eastAsia="仿宋"/>
          <w:b/>
          <w:kern w:val="0"/>
          <w:szCs w:val="24"/>
        </w:rPr>
        <w:br w:type="page"/>
      </w:r>
    </w:p>
    <w:p w14:paraId="17CA5E87">
      <w:pPr>
        <w:widowControl/>
        <w:spacing w:line="240" w:lineRule="auto"/>
        <w:jc w:val="left"/>
        <w:rPr>
          <w:rFonts w:eastAsia="仿宋"/>
          <w:b/>
          <w:kern w:val="0"/>
          <w:szCs w:val="24"/>
        </w:rPr>
      </w:pPr>
      <w:r>
        <w:rPr>
          <w:rFonts w:eastAsia="仿宋"/>
          <w:b/>
          <w:kern w:val="0"/>
          <w:szCs w:val="24"/>
        </w:rPr>
        <mc:AlternateContent>
          <mc:Choice Requires="wps">
            <w:drawing>
              <wp:anchor distT="0" distB="0" distL="114300" distR="114300" simplePos="0" relativeHeight="251746304" behindDoc="0" locked="0" layoutInCell="1" allowOverlap="1">
                <wp:simplePos x="0" y="0"/>
                <wp:positionH relativeFrom="column">
                  <wp:posOffset>2540</wp:posOffset>
                </wp:positionH>
                <wp:positionV relativeFrom="paragraph">
                  <wp:posOffset>116840</wp:posOffset>
                </wp:positionV>
                <wp:extent cx="5452745" cy="434975"/>
                <wp:effectExtent l="8255" t="12065" r="6350" b="10160"/>
                <wp:wrapNone/>
                <wp:docPr id="14" name="Rectangle 122"/>
                <wp:cNvGraphicFramePr/>
                <a:graphic xmlns:a="http://schemas.openxmlformats.org/drawingml/2006/main">
                  <a:graphicData uri="http://schemas.microsoft.com/office/word/2010/wordprocessingShape">
                    <wps:wsp>
                      <wps:cNvSpPr>
                        <a:spLocks noChangeArrowheads="1"/>
                      </wps:cNvSpPr>
                      <wps:spPr bwMode="auto">
                        <a:xfrm>
                          <a:off x="0" y="0"/>
                          <a:ext cx="5452745" cy="434975"/>
                        </a:xfrm>
                        <a:prstGeom prst="rect">
                          <a:avLst/>
                        </a:prstGeom>
                        <a:solidFill>
                          <a:srgbClr val="FFFFFF"/>
                        </a:solidFill>
                        <a:ln w="9525">
                          <a:solidFill>
                            <a:srgbClr val="000000"/>
                          </a:solidFill>
                          <a:miter lim="800000"/>
                        </a:ln>
                      </wps:spPr>
                      <wps:txbx>
                        <w:txbxContent>
                          <w:p w14:paraId="77A10509">
                            <w:pPr>
                              <w:jc w:val="center"/>
                              <w:rPr>
                                <w:rFonts w:ascii="黑体" w:hAnsi="黑体" w:eastAsia="黑体"/>
                                <w:sz w:val="28"/>
                                <w:szCs w:val="28"/>
                              </w:rPr>
                            </w:pPr>
                            <w:r>
                              <w:rPr>
                                <w:rFonts w:hint="eastAsia" w:ascii="方正小标宋简体" w:hAnsi="方正小标宋简体" w:eastAsia="方正小标宋简体" w:cs="方正小标宋简体"/>
                                <w:sz w:val="28"/>
                                <w:szCs w:val="28"/>
                              </w:rPr>
                              <w:t>附图</w:t>
                            </w:r>
                            <w:r>
                              <w:rPr>
                                <w:rFonts w:ascii="方正小标宋简体" w:hAnsi="方正小标宋简体" w:eastAsia="方正小标宋简体" w:cs="方正小标宋简体"/>
                                <w:sz w:val="28"/>
                                <w:szCs w:val="28"/>
                              </w:rPr>
                              <w:t>52</w:t>
                            </w:r>
                            <w:r>
                              <w:rPr>
                                <w:rFonts w:hint="eastAsia" w:ascii="方正小标宋简体" w:hAnsi="方正小标宋简体" w:eastAsia="方正小标宋简体" w:cs="方正小标宋简体"/>
                                <w:sz w:val="28"/>
                                <w:szCs w:val="28"/>
                              </w:rPr>
                              <w:t>：</w:t>
                            </w:r>
                            <w:r>
                              <w:rPr>
                                <w:rFonts w:hint="eastAsia" w:ascii="方正小标宋简体" w:hAnsi="方正小标宋简体" w:eastAsia="方正小标宋简体" w:cs="方正小标宋简体"/>
                                <w:color w:val="000000"/>
                                <w:sz w:val="28"/>
                                <w:szCs w:val="28"/>
                              </w:rPr>
                              <w:t>花溪区燕楼镇新井村集中式饮用水水源监管范围影像图</w:t>
                            </w:r>
                          </w:p>
                          <w:p w14:paraId="64D6680C">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wps:txbx>
                      <wps:bodyPr rot="0" vert="horz" wrap="square" lIns="91440" tIns="45720" rIns="91440" bIns="45720" anchor="t" anchorCtr="0" upright="1">
                        <a:noAutofit/>
                      </wps:bodyPr>
                    </wps:wsp>
                  </a:graphicData>
                </a:graphic>
              </wp:anchor>
            </w:drawing>
          </mc:Choice>
          <mc:Fallback>
            <w:pict>
              <v:rect id="Rectangle 122" o:spid="_x0000_s1026" o:spt="1" style="position:absolute;left:0pt;margin-left:0.2pt;margin-top:9.2pt;height:34.25pt;width:429.35pt;z-index:251746304;mso-width-relative:page;mso-height-relative:page;" fillcolor="#FFFFFF" filled="t" stroked="t" coordsize="21600,21600" o:gfxdata="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HzhmznUAAAABgEAAA8AAAAAAAAAAQAgAAAAIgAAAGRycy9kb3ducmV2LnhtbFBLAQIU&#10;ABQAAAAIAIdO4kAdwHUoMAIAAIAEAAAOAAAAAAAAAAEAIAAAACMBAABkcnMvZTJvRG9jLnhtbFBL&#10;BQYAAAAABgAGAFkBAADFBQAAAAA=&#10;">
                <v:fill on="t" focussize="0,0"/>
                <v:stroke color="#000000" miterlimit="8" joinstyle="miter"/>
                <v:imagedata o:title=""/>
                <o:lock v:ext="edit" aspectratio="f"/>
                <v:textbox>
                  <w:txbxContent>
                    <w:p w14:paraId="77A10509">
                      <w:pPr>
                        <w:jc w:val="center"/>
                        <w:rPr>
                          <w:rFonts w:ascii="黑体" w:hAnsi="黑体" w:eastAsia="黑体"/>
                          <w:sz w:val="28"/>
                          <w:szCs w:val="28"/>
                        </w:rPr>
                      </w:pPr>
                      <w:r>
                        <w:rPr>
                          <w:rFonts w:hint="eastAsia" w:ascii="方正小标宋简体" w:hAnsi="方正小标宋简体" w:eastAsia="方正小标宋简体" w:cs="方正小标宋简体"/>
                          <w:sz w:val="28"/>
                          <w:szCs w:val="28"/>
                        </w:rPr>
                        <w:t>附图</w:t>
                      </w:r>
                      <w:r>
                        <w:rPr>
                          <w:rFonts w:ascii="方正小标宋简体" w:hAnsi="方正小标宋简体" w:eastAsia="方正小标宋简体" w:cs="方正小标宋简体"/>
                          <w:sz w:val="28"/>
                          <w:szCs w:val="28"/>
                        </w:rPr>
                        <w:t>52</w:t>
                      </w:r>
                      <w:r>
                        <w:rPr>
                          <w:rFonts w:hint="eastAsia" w:ascii="方正小标宋简体" w:hAnsi="方正小标宋简体" w:eastAsia="方正小标宋简体" w:cs="方正小标宋简体"/>
                          <w:sz w:val="28"/>
                          <w:szCs w:val="28"/>
                        </w:rPr>
                        <w:t>：</w:t>
                      </w:r>
                      <w:r>
                        <w:rPr>
                          <w:rFonts w:hint="eastAsia" w:ascii="方正小标宋简体" w:hAnsi="方正小标宋简体" w:eastAsia="方正小标宋简体" w:cs="方正小标宋简体"/>
                          <w:color w:val="000000"/>
                          <w:sz w:val="28"/>
                          <w:szCs w:val="28"/>
                        </w:rPr>
                        <w:t>花溪区燕楼镇新井村集中式饮用水水源监管范围影像图</w:t>
                      </w:r>
                    </w:p>
                    <w:p w14:paraId="64D6680C">
                      <w:pPr>
                        <w:rPr>
                          <w:rFonts w:ascii="黑体" w:hAnsi="黑体" w:eastAsia="黑体"/>
                          <w:sz w:val="28"/>
                          <w:szCs w:val="28"/>
                        </w:rPr>
                      </w:pPr>
                      <w:r>
                        <w:rPr>
                          <w:rFonts w:hint="eastAsia" w:ascii="方正小标宋简体" w:hAnsi="方正小标宋简体" w:eastAsia="方正小标宋简体" w:cs="方正小标宋简体"/>
                          <w:color w:val="000000"/>
                          <w:sz w:val="28"/>
                          <w:szCs w:val="28"/>
                        </w:rPr>
                        <w:t>中式饮用水水源监管范围划分图</w:t>
                      </w:r>
                    </w:p>
                  </w:txbxContent>
                </v:textbox>
              </v:rect>
            </w:pict>
          </mc:Fallback>
        </mc:AlternateContent>
      </w:r>
    </w:p>
    <w:p w14:paraId="6F968135">
      <w:pPr>
        <w:widowControl/>
        <w:spacing w:line="240" w:lineRule="auto"/>
        <w:jc w:val="left"/>
        <w:rPr>
          <w:rFonts w:eastAsia="仿宋"/>
          <w:b/>
          <w:kern w:val="0"/>
          <w:szCs w:val="24"/>
        </w:rPr>
      </w:pPr>
      <w:r>
        <w:rPr>
          <w:rFonts w:eastAsia="仿宋"/>
          <w:b/>
          <w:kern w:val="0"/>
          <w:szCs w:val="24"/>
        </w:rPr>
        <w:drawing>
          <wp:anchor distT="0" distB="0" distL="114300" distR="114300" simplePos="0" relativeHeight="251666432" behindDoc="0" locked="0" layoutInCell="1" allowOverlap="1">
            <wp:simplePos x="0" y="0"/>
            <wp:positionH relativeFrom="column">
              <wp:posOffset>0</wp:posOffset>
            </wp:positionH>
            <wp:positionV relativeFrom="paragraph">
              <wp:posOffset>375920</wp:posOffset>
            </wp:positionV>
            <wp:extent cx="5472430" cy="7633335"/>
            <wp:effectExtent l="0" t="0" r="0" b="0"/>
            <wp:wrapNone/>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a:xfrm>
                      <a:off x="0" y="0"/>
                      <a:ext cx="5472430" cy="7633335"/>
                    </a:xfrm>
                    <a:prstGeom prst="rect">
                      <a:avLst/>
                    </a:prstGeom>
                    <a:noFill/>
                    <a:ln>
                      <a:noFill/>
                    </a:ln>
                  </pic:spPr>
                </pic:pic>
              </a:graphicData>
            </a:graphic>
          </wp:anchor>
        </w:drawing>
      </w:r>
      <w:r>
        <w:rPr>
          <w:rFonts w:eastAsia="仿宋"/>
          <w:b/>
          <w:kern w:val="0"/>
          <w:szCs w:val="24"/>
        </w:rPr>
        <w:br w:type="page"/>
      </w:r>
    </w:p>
    <w:p w14:paraId="2CF665A5">
      <w:pPr>
        <w:widowControl/>
        <w:spacing w:line="240" w:lineRule="auto"/>
        <w:jc w:val="left"/>
        <w:rPr>
          <w:rFonts w:eastAsia="仿宋"/>
          <w:b/>
          <w:kern w:val="0"/>
          <w:szCs w:val="24"/>
        </w:rPr>
      </w:pPr>
    </w:p>
    <w:p w14:paraId="23F63370">
      <w:pPr>
        <w:widowControl/>
        <w:jc w:val="center"/>
        <w:rPr>
          <w:rFonts w:eastAsia="仿宋"/>
          <w:b/>
          <w:kern w:val="0"/>
          <w:szCs w:val="24"/>
        </w:rPr>
      </w:pPr>
      <w:r>
        <w:rPr>
          <w:rFonts w:eastAsia="仿宋"/>
          <w:b/>
          <w:kern w:val="0"/>
          <w:szCs w:val="24"/>
        </w:rPr>
        <w:t>附表1 花溪区千人以上集中式饮用水水源地突发环境事件应急组织成员一览表</w:t>
      </w:r>
    </w:p>
    <w:tbl>
      <w:tblPr>
        <w:tblStyle w:val="14"/>
        <w:tblW w:w="66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78"/>
        <w:gridCol w:w="691"/>
        <w:gridCol w:w="912"/>
        <w:gridCol w:w="1031"/>
        <w:gridCol w:w="1874"/>
        <w:gridCol w:w="1294"/>
      </w:tblGrid>
      <w:tr w14:paraId="42E17B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2" w:hRule="atLeast"/>
          <w:tblHeader/>
          <w:jc w:val="center"/>
        </w:trPr>
        <w:tc>
          <w:tcPr>
            <w:tcW w:w="878" w:type="dxa"/>
            <w:noWrap w:val="0"/>
            <w:vAlign w:val="center"/>
          </w:tcPr>
          <w:p w14:paraId="073FE4AC">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序号</w:t>
            </w:r>
          </w:p>
        </w:tc>
        <w:tc>
          <w:tcPr>
            <w:tcW w:w="1603" w:type="dxa"/>
            <w:gridSpan w:val="2"/>
            <w:noWrap w:val="0"/>
            <w:vAlign w:val="center"/>
          </w:tcPr>
          <w:p w14:paraId="01723070">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应急机构职务</w:t>
            </w:r>
          </w:p>
        </w:tc>
        <w:tc>
          <w:tcPr>
            <w:tcW w:w="1031" w:type="dxa"/>
            <w:noWrap w:val="0"/>
            <w:vAlign w:val="center"/>
          </w:tcPr>
          <w:p w14:paraId="21026D17">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姓名</w:t>
            </w:r>
          </w:p>
        </w:tc>
        <w:tc>
          <w:tcPr>
            <w:tcW w:w="1874" w:type="dxa"/>
            <w:noWrap w:val="0"/>
            <w:vAlign w:val="center"/>
          </w:tcPr>
          <w:p w14:paraId="7397A513">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单位</w:t>
            </w:r>
          </w:p>
        </w:tc>
        <w:tc>
          <w:tcPr>
            <w:tcW w:w="1294" w:type="dxa"/>
            <w:noWrap w:val="0"/>
            <w:vAlign w:val="center"/>
          </w:tcPr>
          <w:p w14:paraId="6243D1BC">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职务</w:t>
            </w:r>
          </w:p>
        </w:tc>
      </w:tr>
      <w:tr w14:paraId="0C4EB3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9" w:hRule="atLeast"/>
          <w:jc w:val="center"/>
        </w:trPr>
        <w:tc>
          <w:tcPr>
            <w:tcW w:w="878" w:type="dxa"/>
            <w:vMerge w:val="restart"/>
            <w:noWrap w:val="0"/>
            <w:vAlign w:val="center"/>
          </w:tcPr>
          <w:p w14:paraId="459DCF92">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1</w:t>
            </w:r>
          </w:p>
        </w:tc>
        <w:tc>
          <w:tcPr>
            <w:tcW w:w="691" w:type="dxa"/>
            <w:vMerge w:val="restart"/>
            <w:noWrap w:val="0"/>
            <w:vAlign w:val="center"/>
          </w:tcPr>
          <w:p w14:paraId="03AF952B">
            <w:pPr>
              <w:widowControl/>
              <w:jc w:val="left"/>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指挥部</w:t>
            </w:r>
          </w:p>
        </w:tc>
        <w:tc>
          <w:tcPr>
            <w:tcW w:w="912" w:type="dxa"/>
            <w:noWrap w:val="0"/>
            <w:vAlign w:val="center"/>
          </w:tcPr>
          <w:p w14:paraId="6FCF0BAB">
            <w:pPr>
              <w:widowControl/>
              <w:jc w:val="left"/>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指挥长</w:t>
            </w:r>
          </w:p>
        </w:tc>
        <w:tc>
          <w:tcPr>
            <w:tcW w:w="1031" w:type="dxa"/>
            <w:noWrap w:val="0"/>
            <w:vAlign w:val="center"/>
          </w:tcPr>
          <w:p w14:paraId="5415AAF4">
            <w:pPr>
              <w:widowControl/>
              <w:jc w:val="center"/>
              <w:rPr>
                <w:rFonts w:hint="eastAsia" w:ascii="仿宋_GB2312" w:hAnsi="仿宋_GB2312" w:eastAsia="仿宋_GB2312" w:cs="仿宋_GB2312"/>
                <w:color w:val="auto"/>
                <w:sz w:val="21"/>
                <w:szCs w:val="21"/>
                <w:lang w:eastAsia="zh-CN"/>
              </w:rPr>
            </w:pPr>
            <w:r>
              <w:rPr>
                <w:rFonts w:hint="eastAsia" w:ascii="仿宋_GB2312" w:hAnsi="仿宋_GB2312" w:eastAsia="仿宋_GB2312" w:cs="仿宋_GB2312"/>
                <w:color w:val="auto"/>
                <w:sz w:val="21"/>
                <w:szCs w:val="21"/>
                <w:lang w:eastAsia="zh-CN"/>
              </w:rPr>
              <w:t>王小兵</w:t>
            </w:r>
          </w:p>
        </w:tc>
        <w:tc>
          <w:tcPr>
            <w:tcW w:w="1874" w:type="dxa"/>
            <w:noWrap w:val="0"/>
            <w:vAlign w:val="center"/>
          </w:tcPr>
          <w:p w14:paraId="25D13EDC">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花溪区人民政府</w:t>
            </w:r>
          </w:p>
        </w:tc>
        <w:tc>
          <w:tcPr>
            <w:tcW w:w="1294" w:type="dxa"/>
            <w:noWrap w:val="0"/>
            <w:vAlign w:val="center"/>
          </w:tcPr>
          <w:p w14:paraId="022FE2FF">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副区长</w:t>
            </w:r>
          </w:p>
        </w:tc>
      </w:tr>
      <w:tr w14:paraId="68EEE0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13" w:hRule="atLeast"/>
          <w:jc w:val="center"/>
        </w:trPr>
        <w:tc>
          <w:tcPr>
            <w:tcW w:w="878" w:type="dxa"/>
            <w:vMerge w:val="continue"/>
            <w:noWrap w:val="0"/>
            <w:vAlign w:val="center"/>
          </w:tcPr>
          <w:p w14:paraId="2F539E30">
            <w:pPr>
              <w:widowControl/>
              <w:jc w:val="center"/>
              <w:rPr>
                <w:rFonts w:hint="eastAsia" w:ascii="仿宋_GB2312" w:hAnsi="仿宋_GB2312" w:eastAsia="仿宋_GB2312" w:cs="仿宋_GB2312"/>
                <w:color w:val="auto"/>
                <w:sz w:val="21"/>
                <w:szCs w:val="21"/>
              </w:rPr>
            </w:pPr>
          </w:p>
        </w:tc>
        <w:tc>
          <w:tcPr>
            <w:tcW w:w="691" w:type="dxa"/>
            <w:vMerge w:val="continue"/>
            <w:noWrap w:val="0"/>
            <w:vAlign w:val="center"/>
          </w:tcPr>
          <w:p w14:paraId="639E43DA">
            <w:pPr>
              <w:widowControl/>
              <w:jc w:val="left"/>
              <w:rPr>
                <w:rFonts w:hint="eastAsia" w:ascii="仿宋_GB2312" w:hAnsi="仿宋_GB2312" w:eastAsia="仿宋_GB2312" w:cs="仿宋_GB2312"/>
                <w:color w:val="auto"/>
                <w:sz w:val="21"/>
                <w:szCs w:val="21"/>
              </w:rPr>
            </w:pPr>
          </w:p>
        </w:tc>
        <w:tc>
          <w:tcPr>
            <w:tcW w:w="912" w:type="dxa"/>
            <w:vMerge w:val="restart"/>
            <w:noWrap w:val="0"/>
            <w:vAlign w:val="center"/>
          </w:tcPr>
          <w:p w14:paraId="51172BD0">
            <w:pPr>
              <w:widowControl/>
              <w:jc w:val="left"/>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副指挥长</w:t>
            </w:r>
          </w:p>
        </w:tc>
        <w:tc>
          <w:tcPr>
            <w:tcW w:w="1031" w:type="dxa"/>
            <w:noWrap w:val="0"/>
            <w:vAlign w:val="center"/>
          </w:tcPr>
          <w:p w14:paraId="3EF6BEA9">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张君发</w:t>
            </w:r>
          </w:p>
        </w:tc>
        <w:tc>
          <w:tcPr>
            <w:tcW w:w="1874" w:type="dxa"/>
            <w:noWrap w:val="0"/>
            <w:vAlign w:val="center"/>
          </w:tcPr>
          <w:p w14:paraId="3944AAB7">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贵阳市生态环境局花溪分局</w:t>
            </w:r>
          </w:p>
        </w:tc>
        <w:tc>
          <w:tcPr>
            <w:tcW w:w="1294" w:type="dxa"/>
            <w:noWrap w:val="0"/>
            <w:vAlign w:val="center"/>
          </w:tcPr>
          <w:p w14:paraId="72BC429A">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局长</w:t>
            </w:r>
          </w:p>
        </w:tc>
      </w:tr>
      <w:tr w14:paraId="7032E3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99" w:hRule="atLeast"/>
          <w:jc w:val="center"/>
        </w:trPr>
        <w:tc>
          <w:tcPr>
            <w:tcW w:w="878" w:type="dxa"/>
            <w:vMerge w:val="continue"/>
            <w:noWrap w:val="0"/>
            <w:vAlign w:val="center"/>
          </w:tcPr>
          <w:p w14:paraId="1A23F544">
            <w:pPr>
              <w:widowControl/>
              <w:jc w:val="center"/>
              <w:rPr>
                <w:rFonts w:hint="eastAsia" w:ascii="仿宋_GB2312" w:hAnsi="仿宋_GB2312" w:eastAsia="仿宋_GB2312" w:cs="仿宋_GB2312"/>
                <w:color w:val="auto"/>
                <w:sz w:val="21"/>
                <w:szCs w:val="21"/>
              </w:rPr>
            </w:pPr>
          </w:p>
        </w:tc>
        <w:tc>
          <w:tcPr>
            <w:tcW w:w="691" w:type="dxa"/>
            <w:vMerge w:val="continue"/>
            <w:noWrap w:val="0"/>
            <w:vAlign w:val="center"/>
          </w:tcPr>
          <w:p w14:paraId="19A431AD">
            <w:pPr>
              <w:widowControl/>
              <w:jc w:val="left"/>
              <w:rPr>
                <w:rFonts w:hint="eastAsia" w:ascii="仿宋_GB2312" w:hAnsi="仿宋_GB2312" w:eastAsia="仿宋_GB2312" w:cs="仿宋_GB2312"/>
                <w:color w:val="auto"/>
                <w:sz w:val="21"/>
                <w:szCs w:val="21"/>
              </w:rPr>
            </w:pPr>
          </w:p>
        </w:tc>
        <w:tc>
          <w:tcPr>
            <w:tcW w:w="912" w:type="dxa"/>
            <w:vMerge w:val="continue"/>
            <w:noWrap w:val="0"/>
            <w:vAlign w:val="center"/>
          </w:tcPr>
          <w:p w14:paraId="3DC71F7F">
            <w:pPr>
              <w:widowControl/>
              <w:jc w:val="left"/>
              <w:rPr>
                <w:rFonts w:hint="eastAsia" w:ascii="仿宋_GB2312" w:hAnsi="仿宋_GB2312" w:eastAsia="仿宋_GB2312" w:cs="仿宋_GB2312"/>
                <w:color w:val="auto"/>
                <w:sz w:val="21"/>
                <w:szCs w:val="21"/>
              </w:rPr>
            </w:pPr>
          </w:p>
        </w:tc>
        <w:tc>
          <w:tcPr>
            <w:tcW w:w="1031" w:type="dxa"/>
            <w:noWrap w:val="0"/>
            <w:vAlign w:val="center"/>
          </w:tcPr>
          <w:p w14:paraId="68A143CC">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李斌</w:t>
            </w:r>
          </w:p>
        </w:tc>
        <w:tc>
          <w:tcPr>
            <w:tcW w:w="1874" w:type="dxa"/>
            <w:noWrap w:val="0"/>
            <w:vAlign w:val="center"/>
          </w:tcPr>
          <w:p w14:paraId="5772145D">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花溪区水务局</w:t>
            </w:r>
          </w:p>
        </w:tc>
        <w:tc>
          <w:tcPr>
            <w:tcW w:w="1294" w:type="dxa"/>
            <w:noWrap w:val="0"/>
            <w:vAlign w:val="center"/>
          </w:tcPr>
          <w:p w14:paraId="5DDD0926">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局长</w:t>
            </w:r>
          </w:p>
        </w:tc>
      </w:tr>
      <w:tr w14:paraId="7307FA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4" w:hRule="atLeast"/>
          <w:jc w:val="center"/>
        </w:trPr>
        <w:tc>
          <w:tcPr>
            <w:tcW w:w="878" w:type="dxa"/>
            <w:vMerge w:val="continue"/>
            <w:noWrap w:val="0"/>
            <w:vAlign w:val="center"/>
          </w:tcPr>
          <w:p w14:paraId="719DFB98">
            <w:pPr>
              <w:widowControl/>
              <w:jc w:val="center"/>
              <w:rPr>
                <w:rFonts w:hint="eastAsia" w:ascii="仿宋_GB2312" w:hAnsi="仿宋_GB2312" w:eastAsia="仿宋_GB2312" w:cs="仿宋_GB2312"/>
                <w:color w:val="auto"/>
                <w:sz w:val="21"/>
                <w:szCs w:val="21"/>
              </w:rPr>
            </w:pPr>
          </w:p>
        </w:tc>
        <w:tc>
          <w:tcPr>
            <w:tcW w:w="691" w:type="dxa"/>
            <w:vMerge w:val="continue"/>
            <w:noWrap w:val="0"/>
            <w:vAlign w:val="center"/>
          </w:tcPr>
          <w:p w14:paraId="05FC2C61">
            <w:pPr>
              <w:widowControl/>
              <w:jc w:val="left"/>
              <w:rPr>
                <w:rFonts w:hint="eastAsia" w:ascii="仿宋_GB2312" w:hAnsi="仿宋_GB2312" w:eastAsia="仿宋_GB2312" w:cs="仿宋_GB2312"/>
                <w:color w:val="auto"/>
                <w:sz w:val="21"/>
                <w:szCs w:val="21"/>
              </w:rPr>
            </w:pPr>
          </w:p>
        </w:tc>
        <w:tc>
          <w:tcPr>
            <w:tcW w:w="912" w:type="dxa"/>
            <w:vMerge w:val="continue"/>
            <w:noWrap w:val="0"/>
            <w:vAlign w:val="center"/>
          </w:tcPr>
          <w:p w14:paraId="0BF1FFAC">
            <w:pPr>
              <w:widowControl/>
              <w:jc w:val="left"/>
              <w:rPr>
                <w:rFonts w:hint="eastAsia" w:ascii="仿宋_GB2312" w:hAnsi="仿宋_GB2312" w:eastAsia="仿宋_GB2312" w:cs="仿宋_GB2312"/>
                <w:color w:val="auto"/>
                <w:sz w:val="21"/>
                <w:szCs w:val="21"/>
              </w:rPr>
            </w:pPr>
          </w:p>
        </w:tc>
        <w:tc>
          <w:tcPr>
            <w:tcW w:w="1031" w:type="dxa"/>
            <w:noWrap w:val="0"/>
            <w:vAlign w:val="center"/>
          </w:tcPr>
          <w:p w14:paraId="570659D8">
            <w:pPr>
              <w:pStyle w:val="12"/>
              <w:spacing w:beforeAutospacing="0" w:afterAutospacing="0" w:line="240" w:lineRule="auto"/>
              <w:ind w:firstLine="0" w:firstLineChars="0"/>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lang w:val="en-US" w:eastAsia="zh-CN"/>
              </w:rPr>
              <w:t>严培松</w:t>
            </w:r>
          </w:p>
        </w:tc>
        <w:tc>
          <w:tcPr>
            <w:tcW w:w="1874" w:type="dxa"/>
            <w:noWrap w:val="0"/>
            <w:vAlign w:val="center"/>
          </w:tcPr>
          <w:p w14:paraId="10854CD3">
            <w:pPr>
              <w:pStyle w:val="12"/>
              <w:spacing w:beforeAutospacing="0" w:afterAutospacing="0" w:line="240" w:lineRule="auto"/>
              <w:ind w:firstLine="0" w:firstLineChars="0"/>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贵阳市公安局花溪分局</w:t>
            </w:r>
          </w:p>
        </w:tc>
        <w:tc>
          <w:tcPr>
            <w:tcW w:w="1294" w:type="dxa"/>
            <w:noWrap w:val="0"/>
            <w:vAlign w:val="center"/>
          </w:tcPr>
          <w:p w14:paraId="62FDBCD8">
            <w:pPr>
              <w:pStyle w:val="12"/>
              <w:spacing w:beforeAutospacing="0" w:afterAutospacing="0" w:line="240" w:lineRule="auto"/>
              <w:ind w:firstLine="0" w:firstLineChars="0"/>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lang w:val="en-US" w:eastAsia="zh-CN"/>
              </w:rPr>
              <w:t>党委委员、副局长</w:t>
            </w:r>
          </w:p>
        </w:tc>
      </w:tr>
      <w:tr w14:paraId="7ABD69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4" w:hRule="atLeast"/>
          <w:jc w:val="center"/>
        </w:trPr>
        <w:tc>
          <w:tcPr>
            <w:tcW w:w="878" w:type="dxa"/>
            <w:vMerge w:val="continue"/>
            <w:noWrap w:val="0"/>
            <w:vAlign w:val="center"/>
          </w:tcPr>
          <w:p w14:paraId="5DB6B582">
            <w:pPr>
              <w:widowControl/>
              <w:jc w:val="center"/>
              <w:rPr>
                <w:rFonts w:hint="eastAsia" w:ascii="仿宋_GB2312" w:hAnsi="仿宋_GB2312" w:eastAsia="仿宋_GB2312" w:cs="仿宋_GB2312"/>
                <w:color w:val="auto"/>
                <w:sz w:val="21"/>
                <w:szCs w:val="21"/>
              </w:rPr>
            </w:pPr>
          </w:p>
        </w:tc>
        <w:tc>
          <w:tcPr>
            <w:tcW w:w="691" w:type="dxa"/>
            <w:vMerge w:val="continue"/>
            <w:noWrap w:val="0"/>
            <w:vAlign w:val="center"/>
          </w:tcPr>
          <w:p w14:paraId="7AF2928D">
            <w:pPr>
              <w:widowControl/>
              <w:jc w:val="left"/>
              <w:rPr>
                <w:rFonts w:hint="eastAsia" w:ascii="仿宋_GB2312" w:hAnsi="仿宋_GB2312" w:eastAsia="仿宋_GB2312" w:cs="仿宋_GB2312"/>
                <w:color w:val="auto"/>
                <w:sz w:val="21"/>
                <w:szCs w:val="21"/>
              </w:rPr>
            </w:pPr>
          </w:p>
        </w:tc>
        <w:tc>
          <w:tcPr>
            <w:tcW w:w="912" w:type="dxa"/>
            <w:vMerge w:val="continue"/>
            <w:noWrap w:val="0"/>
            <w:vAlign w:val="center"/>
          </w:tcPr>
          <w:p w14:paraId="7FA81C1D">
            <w:pPr>
              <w:widowControl/>
              <w:jc w:val="left"/>
              <w:rPr>
                <w:rFonts w:hint="eastAsia" w:ascii="仿宋_GB2312" w:hAnsi="仿宋_GB2312" w:eastAsia="仿宋_GB2312" w:cs="仿宋_GB2312"/>
                <w:color w:val="auto"/>
                <w:sz w:val="21"/>
                <w:szCs w:val="21"/>
              </w:rPr>
            </w:pPr>
          </w:p>
        </w:tc>
        <w:tc>
          <w:tcPr>
            <w:tcW w:w="1031" w:type="dxa"/>
            <w:noWrap w:val="0"/>
            <w:vAlign w:val="center"/>
          </w:tcPr>
          <w:p w14:paraId="05AF2C95">
            <w:pPr>
              <w:pStyle w:val="12"/>
              <w:spacing w:beforeAutospacing="0" w:afterAutospacing="0" w:line="240" w:lineRule="auto"/>
              <w:ind w:firstLine="0" w:firstLineChars="0"/>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lang w:eastAsia="zh-CN"/>
              </w:rPr>
              <w:t>李</w:t>
            </w:r>
            <w:r>
              <w:rPr>
                <w:rFonts w:hint="eastAsia" w:ascii="仿宋_GB2312" w:hAnsi="仿宋_GB2312" w:eastAsia="仿宋_GB2312" w:cs="仿宋_GB2312"/>
                <w:color w:val="auto"/>
                <w:sz w:val="21"/>
                <w:szCs w:val="21"/>
                <w:lang w:val="en-US" w:eastAsia="zh-CN"/>
              </w:rPr>
              <w:t xml:space="preserve">  </w:t>
            </w:r>
            <w:r>
              <w:rPr>
                <w:rFonts w:hint="eastAsia" w:ascii="仿宋_GB2312" w:hAnsi="仿宋_GB2312" w:eastAsia="仿宋_GB2312" w:cs="仿宋_GB2312"/>
                <w:color w:val="auto"/>
                <w:sz w:val="21"/>
                <w:szCs w:val="21"/>
                <w:lang w:eastAsia="zh-CN"/>
              </w:rPr>
              <w:t>金</w:t>
            </w:r>
          </w:p>
        </w:tc>
        <w:tc>
          <w:tcPr>
            <w:tcW w:w="1874" w:type="dxa"/>
            <w:noWrap w:val="0"/>
            <w:vAlign w:val="center"/>
          </w:tcPr>
          <w:p w14:paraId="6DF6757A">
            <w:pPr>
              <w:pStyle w:val="12"/>
              <w:spacing w:beforeAutospacing="0" w:afterAutospacing="0" w:line="240" w:lineRule="auto"/>
              <w:ind w:firstLine="0" w:firstLineChars="0"/>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区</w:t>
            </w:r>
            <w:r>
              <w:rPr>
                <w:rFonts w:hint="eastAsia" w:ascii="仿宋_GB2312" w:hAnsi="仿宋_GB2312" w:eastAsia="仿宋_GB2312" w:cs="仿宋_GB2312"/>
                <w:color w:val="auto"/>
                <w:sz w:val="21"/>
                <w:szCs w:val="21"/>
                <w:lang w:val="en-US" w:eastAsia="zh-CN"/>
              </w:rPr>
              <w:t>应急局副</w:t>
            </w:r>
            <w:r>
              <w:rPr>
                <w:rFonts w:hint="eastAsia" w:ascii="仿宋_GB2312" w:hAnsi="仿宋_GB2312" w:eastAsia="仿宋_GB2312" w:cs="仿宋_GB2312"/>
                <w:color w:val="auto"/>
                <w:sz w:val="21"/>
                <w:szCs w:val="21"/>
              </w:rPr>
              <w:t>局长</w:t>
            </w:r>
            <w:r>
              <w:rPr>
                <w:rFonts w:hint="eastAsia" w:ascii="仿宋_GB2312" w:hAnsi="仿宋_GB2312" w:eastAsia="仿宋_GB2312" w:cs="仿宋_GB2312"/>
                <w:color w:val="auto"/>
                <w:sz w:val="21"/>
                <w:szCs w:val="21"/>
                <w:lang w:eastAsia="zh-CN"/>
              </w:rPr>
              <w:t>（主持工作）</w:t>
            </w:r>
          </w:p>
        </w:tc>
        <w:tc>
          <w:tcPr>
            <w:tcW w:w="1294" w:type="dxa"/>
            <w:noWrap w:val="0"/>
            <w:vAlign w:val="center"/>
          </w:tcPr>
          <w:p w14:paraId="0C8942A1">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lang w:eastAsia="zh-CN"/>
              </w:rPr>
              <w:t>副</w:t>
            </w:r>
            <w:r>
              <w:rPr>
                <w:rFonts w:hint="eastAsia" w:ascii="仿宋_GB2312" w:hAnsi="仿宋_GB2312" w:eastAsia="仿宋_GB2312" w:cs="仿宋_GB2312"/>
                <w:color w:val="auto"/>
                <w:sz w:val="21"/>
                <w:szCs w:val="21"/>
              </w:rPr>
              <w:t>局长</w:t>
            </w:r>
          </w:p>
        </w:tc>
      </w:tr>
      <w:tr w14:paraId="1CFCD2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42" w:hRule="atLeast"/>
          <w:jc w:val="center"/>
        </w:trPr>
        <w:tc>
          <w:tcPr>
            <w:tcW w:w="878" w:type="dxa"/>
            <w:vMerge w:val="restart"/>
            <w:noWrap w:val="0"/>
            <w:vAlign w:val="center"/>
          </w:tcPr>
          <w:p w14:paraId="51CDF32B">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2</w:t>
            </w:r>
          </w:p>
        </w:tc>
        <w:tc>
          <w:tcPr>
            <w:tcW w:w="691" w:type="dxa"/>
            <w:vMerge w:val="restart"/>
            <w:noWrap w:val="0"/>
            <w:vAlign w:val="center"/>
          </w:tcPr>
          <w:p w14:paraId="4A407F4A">
            <w:pPr>
              <w:widowControl/>
              <w:jc w:val="left"/>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应急办公室</w:t>
            </w:r>
          </w:p>
        </w:tc>
        <w:tc>
          <w:tcPr>
            <w:tcW w:w="912" w:type="dxa"/>
            <w:noWrap w:val="0"/>
            <w:vAlign w:val="center"/>
          </w:tcPr>
          <w:p w14:paraId="29C12262">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主任</w:t>
            </w:r>
          </w:p>
        </w:tc>
        <w:tc>
          <w:tcPr>
            <w:tcW w:w="1031" w:type="dxa"/>
            <w:noWrap w:val="0"/>
            <w:vAlign w:val="center"/>
          </w:tcPr>
          <w:p w14:paraId="628907DA">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张君发</w:t>
            </w:r>
          </w:p>
        </w:tc>
        <w:tc>
          <w:tcPr>
            <w:tcW w:w="1874" w:type="dxa"/>
            <w:noWrap w:val="0"/>
            <w:vAlign w:val="center"/>
          </w:tcPr>
          <w:p w14:paraId="5647FED4">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贵阳市生态环境局花溪分局</w:t>
            </w:r>
          </w:p>
        </w:tc>
        <w:tc>
          <w:tcPr>
            <w:tcW w:w="1294" w:type="dxa"/>
            <w:noWrap w:val="0"/>
            <w:vAlign w:val="center"/>
          </w:tcPr>
          <w:p w14:paraId="546094A4">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局长</w:t>
            </w:r>
          </w:p>
        </w:tc>
      </w:tr>
      <w:tr w14:paraId="769D92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41" w:hRule="atLeast"/>
          <w:jc w:val="center"/>
        </w:trPr>
        <w:tc>
          <w:tcPr>
            <w:tcW w:w="878" w:type="dxa"/>
            <w:vMerge w:val="continue"/>
            <w:noWrap w:val="0"/>
            <w:vAlign w:val="center"/>
          </w:tcPr>
          <w:p w14:paraId="299A322D">
            <w:pPr>
              <w:widowControl/>
              <w:jc w:val="center"/>
              <w:rPr>
                <w:rFonts w:hint="eastAsia" w:ascii="仿宋_GB2312" w:hAnsi="仿宋_GB2312" w:eastAsia="仿宋_GB2312" w:cs="仿宋_GB2312"/>
                <w:color w:val="auto"/>
                <w:sz w:val="21"/>
                <w:szCs w:val="21"/>
              </w:rPr>
            </w:pPr>
          </w:p>
        </w:tc>
        <w:tc>
          <w:tcPr>
            <w:tcW w:w="691" w:type="dxa"/>
            <w:vMerge w:val="continue"/>
            <w:noWrap w:val="0"/>
            <w:vAlign w:val="center"/>
          </w:tcPr>
          <w:p w14:paraId="7864C66A">
            <w:pPr>
              <w:widowControl/>
              <w:jc w:val="left"/>
              <w:rPr>
                <w:rFonts w:hint="eastAsia" w:ascii="仿宋_GB2312" w:hAnsi="仿宋_GB2312" w:eastAsia="仿宋_GB2312" w:cs="仿宋_GB2312"/>
                <w:color w:val="auto"/>
                <w:sz w:val="21"/>
                <w:szCs w:val="21"/>
              </w:rPr>
            </w:pPr>
          </w:p>
        </w:tc>
        <w:tc>
          <w:tcPr>
            <w:tcW w:w="912" w:type="dxa"/>
            <w:noWrap w:val="0"/>
            <w:vAlign w:val="center"/>
          </w:tcPr>
          <w:p w14:paraId="720FA84C">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副主任</w:t>
            </w:r>
          </w:p>
        </w:tc>
        <w:tc>
          <w:tcPr>
            <w:tcW w:w="1031" w:type="dxa"/>
            <w:noWrap w:val="0"/>
            <w:vAlign w:val="center"/>
          </w:tcPr>
          <w:p w14:paraId="105213B4">
            <w:pPr>
              <w:pStyle w:val="12"/>
              <w:spacing w:beforeAutospacing="0" w:afterAutospacing="0" w:line="240" w:lineRule="auto"/>
              <w:ind w:firstLine="0" w:firstLineChars="0"/>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lang w:eastAsia="zh-CN"/>
              </w:rPr>
              <w:t>李</w:t>
            </w:r>
            <w:r>
              <w:rPr>
                <w:rFonts w:hint="eastAsia" w:ascii="仿宋_GB2312" w:hAnsi="仿宋_GB2312" w:eastAsia="仿宋_GB2312" w:cs="仿宋_GB2312"/>
                <w:color w:val="auto"/>
                <w:sz w:val="21"/>
                <w:szCs w:val="21"/>
                <w:lang w:val="en-US" w:eastAsia="zh-CN"/>
              </w:rPr>
              <w:t xml:space="preserve">  </w:t>
            </w:r>
            <w:r>
              <w:rPr>
                <w:rFonts w:hint="eastAsia" w:ascii="仿宋_GB2312" w:hAnsi="仿宋_GB2312" w:eastAsia="仿宋_GB2312" w:cs="仿宋_GB2312"/>
                <w:color w:val="auto"/>
                <w:sz w:val="21"/>
                <w:szCs w:val="21"/>
                <w:lang w:eastAsia="zh-CN"/>
              </w:rPr>
              <w:t>金</w:t>
            </w:r>
          </w:p>
        </w:tc>
        <w:tc>
          <w:tcPr>
            <w:tcW w:w="1874" w:type="dxa"/>
            <w:noWrap w:val="0"/>
            <w:vAlign w:val="center"/>
          </w:tcPr>
          <w:p w14:paraId="10452507">
            <w:pPr>
              <w:pStyle w:val="12"/>
              <w:spacing w:beforeAutospacing="0" w:afterAutospacing="0" w:line="240" w:lineRule="auto"/>
              <w:ind w:firstLine="0" w:firstLineChars="0"/>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区</w:t>
            </w:r>
            <w:r>
              <w:rPr>
                <w:rFonts w:hint="eastAsia" w:ascii="仿宋_GB2312" w:hAnsi="仿宋_GB2312" w:eastAsia="仿宋_GB2312" w:cs="仿宋_GB2312"/>
                <w:color w:val="auto"/>
                <w:sz w:val="21"/>
                <w:szCs w:val="21"/>
                <w:lang w:val="en-US" w:eastAsia="zh-CN"/>
              </w:rPr>
              <w:t>应急局副</w:t>
            </w:r>
            <w:r>
              <w:rPr>
                <w:rFonts w:hint="eastAsia" w:ascii="仿宋_GB2312" w:hAnsi="仿宋_GB2312" w:eastAsia="仿宋_GB2312" w:cs="仿宋_GB2312"/>
                <w:color w:val="auto"/>
                <w:sz w:val="21"/>
                <w:szCs w:val="21"/>
              </w:rPr>
              <w:t>局长</w:t>
            </w:r>
            <w:r>
              <w:rPr>
                <w:rFonts w:hint="eastAsia" w:ascii="仿宋_GB2312" w:hAnsi="仿宋_GB2312" w:eastAsia="仿宋_GB2312" w:cs="仿宋_GB2312"/>
                <w:color w:val="auto"/>
                <w:sz w:val="21"/>
                <w:szCs w:val="21"/>
                <w:lang w:eastAsia="zh-CN"/>
              </w:rPr>
              <w:t>（主持工作）</w:t>
            </w:r>
          </w:p>
        </w:tc>
        <w:tc>
          <w:tcPr>
            <w:tcW w:w="1294" w:type="dxa"/>
            <w:noWrap w:val="0"/>
            <w:vAlign w:val="center"/>
          </w:tcPr>
          <w:p w14:paraId="47DF4249">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lang w:eastAsia="zh-CN"/>
              </w:rPr>
              <w:t>副</w:t>
            </w:r>
            <w:r>
              <w:rPr>
                <w:rFonts w:hint="eastAsia" w:ascii="仿宋_GB2312" w:hAnsi="仿宋_GB2312" w:eastAsia="仿宋_GB2312" w:cs="仿宋_GB2312"/>
                <w:color w:val="auto"/>
                <w:sz w:val="21"/>
                <w:szCs w:val="21"/>
              </w:rPr>
              <w:t>局长</w:t>
            </w:r>
          </w:p>
        </w:tc>
      </w:tr>
      <w:tr w14:paraId="3FA7D1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4" w:hRule="atLeast"/>
          <w:jc w:val="center"/>
        </w:trPr>
        <w:tc>
          <w:tcPr>
            <w:tcW w:w="878" w:type="dxa"/>
            <w:vMerge w:val="restart"/>
            <w:noWrap w:val="0"/>
            <w:vAlign w:val="center"/>
          </w:tcPr>
          <w:p w14:paraId="681F957C">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3</w:t>
            </w:r>
          </w:p>
        </w:tc>
        <w:tc>
          <w:tcPr>
            <w:tcW w:w="691" w:type="dxa"/>
            <w:vMerge w:val="restart"/>
            <w:noWrap w:val="0"/>
            <w:vAlign w:val="center"/>
          </w:tcPr>
          <w:p w14:paraId="42D4CB28">
            <w:pPr>
              <w:widowControl/>
              <w:jc w:val="left"/>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应急处置组</w:t>
            </w:r>
          </w:p>
        </w:tc>
        <w:tc>
          <w:tcPr>
            <w:tcW w:w="912" w:type="dxa"/>
            <w:noWrap w:val="0"/>
            <w:vAlign w:val="center"/>
          </w:tcPr>
          <w:p w14:paraId="1E56D2F8">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组长</w:t>
            </w:r>
          </w:p>
        </w:tc>
        <w:tc>
          <w:tcPr>
            <w:tcW w:w="1031" w:type="dxa"/>
            <w:noWrap w:val="0"/>
            <w:vAlign w:val="center"/>
          </w:tcPr>
          <w:p w14:paraId="2F78A986">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徐应周</w:t>
            </w:r>
          </w:p>
        </w:tc>
        <w:tc>
          <w:tcPr>
            <w:tcW w:w="1874" w:type="dxa"/>
            <w:noWrap w:val="0"/>
            <w:vAlign w:val="center"/>
          </w:tcPr>
          <w:p w14:paraId="6042AAD2">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贵阳市生态环境局花溪分局</w:t>
            </w:r>
          </w:p>
        </w:tc>
        <w:tc>
          <w:tcPr>
            <w:tcW w:w="1294" w:type="dxa"/>
            <w:noWrap w:val="0"/>
            <w:vAlign w:val="center"/>
          </w:tcPr>
          <w:p w14:paraId="3C2E104A">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副局长</w:t>
            </w:r>
          </w:p>
        </w:tc>
      </w:tr>
      <w:tr w14:paraId="4C0460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6" w:hRule="atLeast"/>
          <w:jc w:val="center"/>
        </w:trPr>
        <w:tc>
          <w:tcPr>
            <w:tcW w:w="878" w:type="dxa"/>
            <w:vMerge w:val="continue"/>
            <w:noWrap w:val="0"/>
            <w:vAlign w:val="center"/>
          </w:tcPr>
          <w:p w14:paraId="1E2C73C5">
            <w:pPr>
              <w:widowControl/>
              <w:jc w:val="center"/>
              <w:rPr>
                <w:rFonts w:hint="eastAsia" w:ascii="仿宋_GB2312" w:hAnsi="仿宋_GB2312" w:eastAsia="仿宋_GB2312" w:cs="仿宋_GB2312"/>
                <w:color w:val="auto"/>
                <w:sz w:val="21"/>
                <w:szCs w:val="21"/>
              </w:rPr>
            </w:pPr>
          </w:p>
        </w:tc>
        <w:tc>
          <w:tcPr>
            <w:tcW w:w="691" w:type="dxa"/>
            <w:vMerge w:val="continue"/>
            <w:noWrap w:val="0"/>
            <w:vAlign w:val="center"/>
          </w:tcPr>
          <w:p w14:paraId="61CC9CAA">
            <w:pPr>
              <w:widowControl/>
              <w:jc w:val="left"/>
              <w:rPr>
                <w:rFonts w:hint="eastAsia" w:ascii="仿宋_GB2312" w:hAnsi="仿宋_GB2312" w:eastAsia="仿宋_GB2312" w:cs="仿宋_GB2312"/>
                <w:color w:val="auto"/>
                <w:sz w:val="21"/>
                <w:szCs w:val="21"/>
              </w:rPr>
            </w:pPr>
          </w:p>
        </w:tc>
        <w:tc>
          <w:tcPr>
            <w:tcW w:w="912" w:type="dxa"/>
            <w:noWrap w:val="0"/>
            <w:vAlign w:val="center"/>
          </w:tcPr>
          <w:p w14:paraId="00478B71">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成员</w:t>
            </w:r>
          </w:p>
        </w:tc>
        <w:tc>
          <w:tcPr>
            <w:tcW w:w="1031" w:type="dxa"/>
            <w:noWrap w:val="0"/>
            <w:vAlign w:val="center"/>
          </w:tcPr>
          <w:p w14:paraId="144D4FF0">
            <w:pPr>
              <w:pStyle w:val="12"/>
              <w:spacing w:beforeAutospacing="0" w:afterAutospacing="0" w:line="240" w:lineRule="auto"/>
              <w:ind w:firstLine="0" w:firstLineChars="0"/>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lang w:eastAsia="zh-CN"/>
              </w:rPr>
              <w:t>李</w:t>
            </w:r>
            <w:r>
              <w:rPr>
                <w:rFonts w:hint="eastAsia" w:ascii="仿宋_GB2312" w:hAnsi="仿宋_GB2312" w:eastAsia="仿宋_GB2312" w:cs="仿宋_GB2312"/>
                <w:color w:val="auto"/>
                <w:sz w:val="21"/>
                <w:szCs w:val="21"/>
                <w:lang w:val="en-US" w:eastAsia="zh-CN"/>
              </w:rPr>
              <w:t xml:space="preserve">  </w:t>
            </w:r>
            <w:r>
              <w:rPr>
                <w:rFonts w:hint="eastAsia" w:ascii="仿宋_GB2312" w:hAnsi="仿宋_GB2312" w:eastAsia="仿宋_GB2312" w:cs="仿宋_GB2312"/>
                <w:color w:val="auto"/>
                <w:sz w:val="21"/>
                <w:szCs w:val="21"/>
                <w:lang w:eastAsia="zh-CN"/>
              </w:rPr>
              <w:t>金</w:t>
            </w:r>
          </w:p>
        </w:tc>
        <w:tc>
          <w:tcPr>
            <w:tcW w:w="1874" w:type="dxa"/>
            <w:noWrap w:val="0"/>
            <w:vAlign w:val="center"/>
          </w:tcPr>
          <w:p w14:paraId="245F286B">
            <w:pPr>
              <w:pStyle w:val="12"/>
              <w:spacing w:beforeAutospacing="0" w:afterAutospacing="0" w:line="240" w:lineRule="auto"/>
              <w:ind w:firstLine="0" w:firstLineChars="0"/>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区</w:t>
            </w:r>
            <w:r>
              <w:rPr>
                <w:rFonts w:hint="eastAsia" w:ascii="仿宋_GB2312" w:hAnsi="仿宋_GB2312" w:eastAsia="仿宋_GB2312" w:cs="仿宋_GB2312"/>
                <w:color w:val="auto"/>
                <w:sz w:val="21"/>
                <w:szCs w:val="21"/>
                <w:lang w:val="en-US" w:eastAsia="zh-CN"/>
              </w:rPr>
              <w:t>应急局副</w:t>
            </w:r>
            <w:r>
              <w:rPr>
                <w:rFonts w:hint="eastAsia" w:ascii="仿宋_GB2312" w:hAnsi="仿宋_GB2312" w:eastAsia="仿宋_GB2312" w:cs="仿宋_GB2312"/>
                <w:color w:val="auto"/>
                <w:sz w:val="21"/>
                <w:szCs w:val="21"/>
              </w:rPr>
              <w:t>局长</w:t>
            </w:r>
            <w:r>
              <w:rPr>
                <w:rFonts w:hint="eastAsia" w:ascii="仿宋_GB2312" w:hAnsi="仿宋_GB2312" w:eastAsia="仿宋_GB2312" w:cs="仿宋_GB2312"/>
                <w:color w:val="auto"/>
                <w:sz w:val="21"/>
                <w:szCs w:val="21"/>
                <w:lang w:eastAsia="zh-CN"/>
              </w:rPr>
              <w:t>（主持工作）</w:t>
            </w:r>
          </w:p>
        </w:tc>
        <w:tc>
          <w:tcPr>
            <w:tcW w:w="1294" w:type="dxa"/>
            <w:noWrap w:val="0"/>
            <w:vAlign w:val="center"/>
          </w:tcPr>
          <w:p w14:paraId="60A87E8E">
            <w:pPr>
              <w:widowControl/>
              <w:ind w:firstLine="420" w:firstLineChars="200"/>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lang w:eastAsia="zh-CN"/>
              </w:rPr>
              <w:t>副</w:t>
            </w:r>
            <w:r>
              <w:rPr>
                <w:rFonts w:hint="eastAsia" w:ascii="仿宋_GB2312" w:hAnsi="仿宋_GB2312" w:eastAsia="仿宋_GB2312" w:cs="仿宋_GB2312"/>
                <w:color w:val="auto"/>
                <w:sz w:val="21"/>
                <w:szCs w:val="21"/>
              </w:rPr>
              <w:t>局长</w:t>
            </w:r>
          </w:p>
        </w:tc>
      </w:tr>
      <w:tr w14:paraId="1F3BB7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08" w:hRule="atLeast"/>
          <w:jc w:val="center"/>
        </w:trPr>
        <w:tc>
          <w:tcPr>
            <w:tcW w:w="878" w:type="dxa"/>
            <w:vMerge w:val="continue"/>
            <w:noWrap w:val="0"/>
            <w:vAlign w:val="center"/>
          </w:tcPr>
          <w:p w14:paraId="11D5339D">
            <w:pPr>
              <w:widowControl/>
              <w:jc w:val="center"/>
              <w:rPr>
                <w:rFonts w:hint="eastAsia" w:ascii="仿宋_GB2312" w:hAnsi="仿宋_GB2312" w:eastAsia="仿宋_GB2312" w:cs="仿宋_GB2312"/>
                <w:color w:val="auto"/>
                <w:sz w:val="21"/>
                <w:szCs w:val="21"/>
              </w:rPr>
            </w:pPr>
          </w:p>
        </w:tc>
        <w:tc>
          <w:tcPr>
            <w:tcW w:w="691" w:type="dxa"/>
            <w:vMerge w:val="continue"/>
            <w:noWrap w:val="0"/>
            <w:vAlign w:val="center"/>
          </w:tcPr>
          <w:p w14:paraId="77FC6450">
            <w:pPr>
              <w:widowControl/>
              <w:jc w:val="left"/>
              <w:rPr>
                <w:rFonts w:hint="eastAsia" w:ascii="仿宋_GB2312" w:hAnsi="仿宋_GB2312" w:eastAsia="仿宋_GB2312" w:cs="仿宋_GB2312"/>
                <w:color w:val="auto"/>
                <w:sz w:val="21"/>
                <w:szCs w:val="21"/>
              </w:rPr>
            </w:pPr>
          </w:p>
        </w:tc>
        <w:tc>
          <w:tcPr>
            <w:tcW w:w="912" w:type="dxa"/>
            <w:noWrap w:val="0"/>
            <w:vAlign w:val="center"/>
          </w:tcPr>
          <w:p w14:paraId="1BA31532">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成员</w:t>
            </w:r>
          </w:p>
        </w:tc>
        <w:tc>
          <w:tcPr>
            <w:tcW w:w="1031" w:type="dxa"/>
            <w:noWrap w:val="0"/>
            <w:vAlign w:val="center"/>
          </w:tcPr>
          <w:p w14:paraId="5BA3C902">
            <w:pPr>
              <w:pStyle w:val="12"/>
              <w:spacing w:beforeAutospacing="0" w:afterAutospacing="0" w:line="240" w:lineRule="auto"/>
              <w:ind w:firstLine="0" w:firstLineChars="0"/>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lang w:val="en-US" w:eastAsia="zh-CN"/>
              </w:rPr>
              <w:t>严培松</w:t>
            </w:r>
          </w:p>
        </w:tc>
        <w:tc>
          <w:tcPr>
            <w:tcW w:w="1874" w:type="dxa"/>
            <w:noWrap w:val="0"/>
            <w:vAlign w:val="center"/>
          </w:tcPr>
          <w:p w14:paraId="0F7536D2">
            <w:pPr>
              <w:pStyle w:val="12"/>
              <w:spacing w:beforeAutospacing="0" w:afterAutospacing="0" w:line="240" w:lineRule="auto"/>
              <w:ind w:firstLine="0" w:firstLineChars="0"/>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贵阳市公安局花溪分局</w:t>
            </w:r>
          </w:p>
        </w:tc>
        <w:tc>
          <w:tcPr>
            <w:tcW w:w="1294" w:type="dxa"/>
            <w:noWrap w:val="0"/>
            <w:vAlign w:val="center"/>
          </w:tcPr>
          <w:p w14:paraId="5D5E7B33">
            <w:pPr>
              <w:pStyle w:val="12"/>
              <w:spacing w:beforeAutospacing="0" w:afterAutospacing="0" w:line="240" w:lineRule="auto"/>
              <w:ind w:firstLine="0" w:firstLineChars="0"/>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lang w:val="en-US" w:eastAsia="zh-CN"/>
              </w:rPr>
              <w:t>党委委员、副局长</w:t>
            </w:r>
          </w:p>
        </w:tc>
      </w:tr>
      <w:tr w14:paraId="729804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06" w:hRule="atLeast"/>
          <w:jc w:val="center"/>
        </w:trPr>
        <w:tc>
          <w:tcPr>
            <w:tcW w:w="878" w:type="dxa"/>
            <w:vMerge w:val="continue"/>
            <w:noWrap w:val="0"/>
            <w:vAlign w:val="center"/>
          </w:tcPr>
          <w:p w14:paraId="5986B63C">
            <w:pPr>
              <w:widowControl/>
              <w:jc w:val="center"/>
              <w:rPr>
                <w:rFonts w:hint="eastAsia" w:ascii="仿宋_GB2312" w:hAnsi="仿宋_GB2312" w:eastAsia="仿宋_GB2312" w:cs="仿宋_GB2312"/>
                <w:color w:val="auto"/>
                <w:sz w:val="21"/>
                <w:szCs w:val="21"/>
              </w:rPr>
            </w:pPr>
          </w:p>
        </w:tc>
        <w:tc>
          <w:tcPr>
            <w:tcW w:w="691" w:type="dxa"/>
            <w:vMerge w:val="continue"/>
            <w:noWrap w:val="0"/>
            <w:vAlign w:val="center"/>
          </w:tcPr>
          <w:p w14:paraId="7A92120A">
            <w:pPr>
              <w:widowControl/>
              <w:jc w:val="left"/>
              <w:rPr>
                <w:rFonts w:hint="eastAsia" w:ascii="仿宋_GB2312" w:hAnsi="仿宋_GB2312" w:eastAsia="仿宋_GB2312" w:cs="仿宋_GB2312"/>
                <w:color w:val="auto"/>
                <w:sz w:val="21"/>
                <w:szCs w:val="21"/>
              </w:rPr>
            </w:pPr>
          </w:p>
        </w:tc>
        <w:tc>
          <w:tcPr>
            <w:tcW w:w="912" w:type="dxa"/>
            <w:noWrap w:val="0"/>
            <w:vAlign w:val="center"/>
          </w:tcPr>
          <w:p w14:paraId="0CB5D44D">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成员</w:t>
            </w:r>
          </w:p>
        </w:tc>
        <w:tc>
          <w:tcPr>
            <w:tcW w:w="1031" w:type="dxa"/>
            <w:noWrap w:val="0"/>
            <w:vAlign w:val="center"/>
          </w:tcPr>
          <w:p w14:paraId="55200B94">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李斌</w:t>
            </w:r>
          </w:p>
        </w:tc>
        <w:tc>
          <w:tcPr>
            <w:tcW w:w="1874" w:type="dxa"/>
            <w:noWrap w:val="0"/>
            <w:vAlign w:val="center"/>
          </w:tcPr>
          <w:p w14:paraId="06C948A2">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花溪区水务局</w:t>
            </w:r>
          </w:p>
        </w:tc>
        <w:tc>
          <w:tcPr>
            <w:tcW w:w="1294" w:type="dxa"/>
            <w:noWrap w:val="0"/>
            <w:vAlign w:val="center"/>
          </w:tcPr>
          <w:p w14:paraId="6C1D9DAC">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局长</w:t>
            </w:r>
          </w:p>
        </w:tc>
      </w:tr>
      <w:tr w14:paraId="2B8192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9" w:hRule="atLeast"/>
          <w:jc w:val="center"/>
        </w:trPr>
        <w:tc>
          <w:tcPr>
            <w:tcW w:w="878" w:type="dxa"/>
            <w:vMerge w:val="continue"/>
            <w:noWrap w:val="0"/>
            <w:vAlign w:val="center"/>
          </w:tcPr>
          <w:p w14:paraId="1207880D">
            <w:pPr>
              <w:widowControl/>
              <w:jc w:val="center"/>
              <w:rPr>
                <w:rFonts w:hint="eastAsia" w:ascii="仿宋_GB2312" w:hAnsi="仿宋_GB2312" w:eastAsia="仿宋_GB2312" w:cs="仿宋_GB2312"/>
                <w:color w:val="auto"/>
                <w:sz w:val="21"/>
                <w:szCs w:val="21"/>
              </w:rPr>
            </w:pPr>
          </w:p>
        </w:tc>
        <w:tc>
          <w:tcPr>
            <w:tcW w:w="691" w:type="dxa"/>
            <w:vMerge w:val="continue"/>
            <w:noWrap w:val="0"/>
            <w:vAlign w:val="center"/>
          </w:tcPr>
          <w:p w14:paraId="4B6CCDE2">
            <w:pPr>
              <w:widowControl/>
              <w:jc w:val="left"/>
              <w:rPr>
                <w:rFonts w:hint="eastAsia" w:ascii="仿宋_GB2312" w:hAnsi="仿宋_GB2312" w:eastAsia="仿宋_GB2312" w:cs="仿宋_GB2312"/>
                <w:color w:val="auto"/>
                <w:sz w:val="21"/>
                <w:szCs w:val="21"/>
              </w:rPr>
            </w:pPr>
          </w:p>
        </w:tc>
        <w:tc>
          <w:tcPr>
            <w:tcW w:w="912" w:type="dxa"/>
            <w:noWrap w:val="0"/>
            <w:vAlign w:val="center"/>
          </w:tcPr>
          <w:p w14:paraId="1FCD5E5A">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成员</w:t>
            </w:r>
          </w:p>
        </w:tc>
        <w:tc>
          <w:tcPr>
            <w:tcW w:w="1031" w:type="dxa"/>
            <w:noWrap w:val="0"/>
            <w:vAlign w:val="center"/>
          </w:tcPr>
          <w:p w14:paraId="2B2185B8">
            <w:pPr>
              <w:pStyle w:val="12"/>
              <w:spacing w:beforeAutospacing="0" w:afterAutospacing="0" w:line="240" w:lineRule="auto"/>
              <w:ind w:firstLine="199" w:firstLineChars="95"/>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杨江</w:t>
            </w:r>
          </w:p>
        </w:tc>
        <w:tc>
          <w:tcPr>
            <w:tcW w:w="1874" w:type="dxa"/>
            <w:noWrap w:val="0"/>
            <w:vAlign w:val="center"/>
          </w:tcPr>
          <w:p w14:paraId="1C74AAF5">
            <w:pPr>
              <w:pStyle w:val="12"/>
              <w:spacing w:beforeAutospacing="0" w:afterAutospacing="0" w:line="240" w:lineRule="auto"/>
              <w:ind w:firstLine="0" w:firstLineChars="0"/>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区消防大队</w:t>
            </w:r>
          </w:p>
        </w:tc>
        <w:tc>
          <w:tcPr>
            <w:tcW w:w="1294" w:type="dxa"/>
            <w:noWrap w:val="0"/>
            <w:vAlign w:val="center"/>
          </w:tcPr>
          <w:p w14:paraId="23F97F4B">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大队长</w:t>
            </w:r>
          </w:p>
        </w:tc>
      </w:tr>
      <w:tr w14:paraId="28B996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2" w:hRule="atLeast"/>
          <w:jc w:val="center"/>
        </w:trPr>
        <w:tc>
          <w:tcPr>
            <w:tcW w:w="878" w:type="dxa"/>
            <w:vMerge w:val="continue"/>
            <w:noWrap w:val="0"/>
            <w:vAlign w:val="center"/>
          </w:tcPr>
          <w:p w14:paraId="731EF167">
            <w:pPr>
              <w:widowControl/>
              <w:jc w:val="center"/>
              <w:rPr>
                <w:rFonts w:hint="eastAsia" w:ascii="仿宋_GB2312" w:hAnsi="仿宋_GB2312" w:eastAsia="仿宋_GB2312" w:cs="仿宋_GB2312"/>
                <w:color w:val="auto"/>
                <w:sz w:val="21"/>
                <w:szCs w:val="21"/>
              </w:rPr>
            </w:pPr>
          </w:p>
        </w:tc>
        <w:tc>
          <w:tcPr>
            <w:tcW w:w="691" w:type="dxa"/>
            <w:vMerge w:val="continue"/>
            <w:noWrap w:val="0"/>
            <w:vAlign w:val="center"/>
          </w:tcPr>
          <w:p w14:paraId="7C62335C">
            <w:pPr>
              <w:widowControl/>
              <w:jc w:val="left"/>
              <w:rPr>
                <w:rFonts w:hint="eastAsia" w:ascii="仿宋_GB2312" w:hAnsi="仿宋_GB2312" w:eastAsia="仿宋_GB2312" w:cs="仿宋_GB2312"/>
                <w:color w:val="auto"/>
                <w:sz w:val="21"/>
                <w:szCs w:val="21"/>
              </w:rPr>
            </w:pPr>
          </w:p>
        </w:tc>
        <w:tc>
          <w:tcPr>
            <w:tcW w:w="912" w:type="dxa"/>
            <w:noWrap w:val="0"/>
            <w:vAlign w:val="center"/>
          </w:tcPr>
          <w:p w14:paraId="5BD5E3A7">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成员</w:t>
            </w:r>
          </w:p>
        </w:tc>
        <w:tc>
          <w:tcPr>
            <w:tcW w:w="1031" w:type="dxa"/>
            <w:noWrap w:val="0"/>
            <w:vAlign w:val="center"/>
          </w:tcPr>
          <w:p w14:paraId="2C13DEF7">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陈小进</w:t>
            </w:r>
          </w:p>
        </w:tc>
        <w:tc>
          <w:tcPr>
            <w:tcW w:w="1874" w:type="dxa"/>
            <w:noWrap w:val="0"/>
            <w:vAlign w:val="center"/>
          </w:tcPr>
          <w:p w14:paraId="08AD221C">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花溪区交通运输局</w:t>
            </w:r>
          </w:p>
        </w:tc>
        <w:tc>
          <w:tcPr>
            <w:tcW w:w="1294" w:type="dxa"/>
            <w:noWrap w:val="0"/>
            <w:vAlign w:val="center"/>
          </w:tcPr>
          <w:p w14:paraId="55B53D00">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副局长</w:t>
            </w:r>
          </w:p>
        </w:tc>
      </w:tr>
      <w:tr w14:paraId="7299BF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73" w:hRule="atLeast"/>
          <w:jc w:val="center"/>
        </w:trPr>
        <w:tc>
          <w:tcPr>
            <w:tcW w:w="878" w:type="dxa"/>
            <w:vMerge w:val="continue"/>
            <w:noWrap w:val="0"/>
            <w:vAlign w:val="center"/>
          </w:tcPr>
          <w:p w14:paraId="193355D3">
            <w:pPr>
              <w:widowControl/>
              <w:jc w:val="center"/>
              <w:rPr>
                <w:rFonts w:hint="eastAsia" w:ascii="仿宋_GB2312" w:hAnsi="仿宋_GB2312" w:eastAsia="仿宋_GB2312" w:cs="仿宋_GB2312"/>
                <w:color w:val="auto"/>
                <w:sz w:val="21"/>
                <w:szCs w:val="21"/>
              </w:rPr>
            </w:pPr>
          </w:p>
        </w:tc>
        <w:tc>
          <w:tcPr>
            <w:tcW w:w="691" w:type="dxa"/>
            <w:vMerge w:val="continue"/>
            <w:noWrap w:val="0"/>
            <w:vAlign w:val="center"/>
          </w:tcPr>
          <w:p w14:paraId="1687038E">
            <w:pPr>
              <w:widowControl/>
              <w:jc w:val="left"/>
              <w:rPr>
                <w:rFonts w:hint="eastAsia" w:ascii="仿宋_GB2312" w:hAnsi="仿宋_GB2312" w:eastAsia="仿宋_GB2312" w:cs="仿宋_GB2312"/>
                <w:color w:val="auto"/>
                <w:sz w:val="21"/>
                <w:szCs w:val="21"/>
              </w:rPr>
            </w:pPr>
          </w:p>
        </w:tc>
        <w:tc>
          <w:tcPr>
            <w:tcW w:w="912" w:type="dxa"/>
            <w:noWrap w:val="0"/>
            <w:vAlign w:val="center"/>
          </w:tcPr>
          <w:p w14:paraId="52B32B59">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成员</w:t>
            </w:r>
          </w:p>
        </w:tc>
        <w:tc>
          <w:tcPr>
            <w:tcW w:w="1031" w:type="dxa"/>
            <w:noWrap w:val="0"/>
            <w:vAlign w:val="center"/>
          </w:tcPr>
          <w:p w14:paraId="3127D754">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黄碧祥</w:t>
            </w:r>
          </w:p>
        </w:tc>
        <w:tc>
          <w:tcPr>
            <w:tcW w:w="1874" w:type="dxa"/>
            <w:noWrap w:val="0"/>
            <w:vAlign w:val="center"/>
          </w:tcPr>
          <w:p w14:paraId="625D15A2">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花溪区自然资源局</w:t>
            </w:r>
          </w:p>
        </w:tc>
        <w:tc>
          <w:tcPr>
            <w:tcW w:w="1294" w:type="dxa"/>
            <w:noWrap w:val="0"/>
            <w:vAlign w:val="center"/>
          </w:tcPr>
          <w:p w14:paraId="12E1C535">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局长</w:t>
            </w:r>
          </w:p>
        </w:tc>
      </w:tr>
      <w:tr w14:paraId="25AD50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9" w:hRule="atLeast"/>
          <w:jc w:val="center"/>
        </w:trPr>
        <w:tc>
          <w:tcPr>
            <w:tcW w:w="878" w:type="dxa"/>
            <w:vMerge w:val="continue"/>
            <w:noWrap w:val="0"/>
            <w:vAlign w:val="center"/>
          </w:tcPr>
          <w:p w14:paraId="62F45D0C">
            <w:pPr>
              <w:widowControl/>
              <w:jc w:val="center"/>
              <w:rPr>
                <w:rFonts w:hint="eastAsia" w:ascii="仿宋_GB2312" w:hAnsi="仿宋_GB2312" w:eastAsia="仿宋_GB2312" w:cs="仿宋_GB2312"/>
                <w:color w:val="auto"/>
                <w:sz w:val="21"/>
                <w:szCs w:val="21"/>
              </w:rPr>
            </w:pPr>
          </w:p>
        </w:tc>
        <w:tc>
          <w:tcPr>
            <w:tcW w:w="691" w:type="dxa"/>
            <w:vMerge w:val="continue"/>
            <w:noWrap w:val="0"/>
            <w:vAlign w:val="center"/>
          </w:tcPr>
          <w:p w14:paraId="269855D6">
            <w:pPr>
              <w:widowControl/>
              <w:jc w:val="left"/>
              <w:rPr>
                <w:rFonts w:hint="eastAsia" w:ascii="仿宋_GB2312" w:hAnsi="仿宋_GB2312" w:eastAsia="仿宋_GB2312" w:cs="仿宋_GB2312"/>
                <w:color w:val="auto"/>
                <w:sz w:val="21"/>
                <w:szCs w:val="21"/>
              </w:rPr>
            </w:pPr>
          </w:p>
        </w:tc>
        <w:tc>
          <w:tcPr>
            <w:tcW w:w="912" w:type="dxa"/>
            <w:noWrap w:val="0"/>
            <w:vAlign w:val="center"/>
          </w:tcPr>
          <w:p w14:paraId="05364517">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成员</w:t>
            </w:r>
          </w:p>
        </w:tc>
        <w:tc>
          <w:tcPr>
            <w:tcW w:w="1031" w:type="dxa"/>
            <w:noWrap w:val="0"/>
            <w:vAlign w:val="center"/>
          </w:tcPr>
          <w:p w14:paraId="6657FFB0">
            <w:pPr>
              <w:widowControl/>
              <w:jc w:val="center"/>
              <w:rPr>
                <w:rFonts w:hint="eastAsia" w:ascii="仿宋_GB2312" w:hAnsi="仿宋_GB2312" w:eastAsia="仿宋_GB2312" w:cs="仿宋_GB2312"/>
                <w:color w:val="auto"/>
                <w:sz w:val="21"/>
                <w:szCs w:val="21"/>
                <w:lang w:eastAsia="zh-CN"/>
              </w:rPr>
            </w:pPr>
            <w:r>
              <w:rPr>
                <w:rFonts w:hint="eastAsia" w:ascii="仿宋_GB2312" w:hAnsi="仿宋_GB2312" w:eastAsia="仿宋_GB2312" w:cs="仿宋_GB2312"/>
                <w:color w:val="auto"/>
                <w:sz w:val="21"/>
                <w:szCs w:val="21"/>
                <w:lang w:eastAsia="zh-CN"/>
              </w:rPr>
              <w:t>李震宇</w:t>
            </w:r>
          </w:p>
        </w:tc>
        <w:tc>
          <w:tcPr>
            <w:tcW w:w="1874" w:type="dxa"/>
            <w:noWrap w:val="0"/>
            <w:vAlign w:val="center"/>
          </w:tcPr>
          <w:p w14:paraId="46E1A3AC">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花溪区农业农村局</w:t>
            </w:r>
          </w:p>
        </w:tc>
        <w:tc>
          <w:tcPr>
            <w:tcW w:w="1294" w:type="dxa"/>
            <w:noWrap w:val="0"/>
            <w:vAlign w:val="center"/>
          </w:tcPr>
          <w:p w14:paraId="1D8C4C7E">
            <w:pPr>
              <w:widowControl/>
              <w:jc w:val="center"/>
              <w:rPr>
                <w:rFonts w:hint="eastAsia" w:ascii="仿宋_GB2312" w:hAnsi="仿宋_GB2312" w:eastAsia="仿宋_GB2312" w:cs="仿宋_GB2312"/>
                <w:color w:val="auto"/>
                <w:sz w:val="21"/>
                <w:szCs w:val="21"/>
                <w:lang w:eastAsia="zh-CN"/>
              </w:rPr>
            </w:pPr>
            <w:r>
              <w:rPr>
                <w:rFonts w:hint="eastAsia" w:ascii="仿宋_GB2312" w:hAnsi="仿宋_GB2312" w:eastAsia="仿宋_GB2312" w:cs="仿宋_GB2312"/>
                <w:color w:val="auto"/>
                <w:sz w:val="21"/>
                <w:szCs w:val="21"/>
              </w:rPr>
              <w:t>局长</w:t>
            </w:r>
            <w:r>
              <w:rPr>
                <w:rFonts w:hint="eastAsia" w:ascii="仿宋_GB2312" w:hAnsi="仿宋_GB2312" w:eastAsia="仿宋_GB2312" w:cs="仿宋_GB2312"/>
                <w:color w:val="auto"/>
                <w:sz w:val="21"/>
                <w:szCs w:val="21"/>
                <w:lang w:eastAsia="zh-CN"/>
              </w:rPr>
              <w:t>人选</w:t>
            </w:r>
          </w:p>
        </w:tc>
      </w:tr>
      <w:tr w14:paraId="41F855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3" w:hRule="atLeast"/>
          <w:jc w:val="center"/>
        </w:trPr>
        <w:tc>
          <w:tcPr>
            <w:tcW w:w="878" w:type="dxa"/>
            <w:vMerge w:val="continue"/>
            <w:noWrap w:val="0"/>
            <w:vAlign w:val="center"/>
          </w:tcPr>
          <w:p w14:paraId="16FBAC70">
            <w:pPr>
              <w:widowControl/>
              <w:jc w:val="center"/>
              <w:rPr>
                <w:rFonts w:hint="eastAsia" w:ascii="仿宋_GB2312" w:hAnsi="仿宋_GB2312" w:eastAsia="仿宋_GB2312" w:cs="仿宋_GB2312"/>
                <w:color w:val="auto"/>
                <w:sz w:val="21"/>
                <w:szCs w:val="21"/>
              </w:rPr>
            </w:pPr>
          </w:p>
        </w:tc>
        <w:tc>
          <w:tcPr>
            <w:tcW w:w="691" w:type="dxa"/>
            <w:vMerge w:val="continue"/>
            <w:noWrap w:val="0"/>
            <w:vAlign w:val="center"/>
          </w:tcPr>
          <w:p w14:paraId="3AFDCB30">
            <w:pPr>
              <w:widowControl/>
              <w:jc w:val="left"/>
              <w:rPr>
                <w:rFonts w:hint="eastAsia" w:ascii="仿宋_GB2312" w:hAnsi="仿宋_GB2312" w:eastAsia="仿宋_GB2312" w:cs="仿宋_GB2312"/>
                <w:color w:val="auto"/>
                <w:sz w:val="21"/>
                <w:szCs w:val="21"/>
              </w:rPr>
            </w:pPr>
          </w:p>
        </w:tc>
        <w:tc>
          <w:tcPr>
            <w:tcW w:w="912" w:type="dxa"/>
            <w:noWrap w:val="0"/>
            <w:vAlign w:val="center"/>
          </w:tcPr>
          <w:p w14:paraId="706347AD">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成员</w:t>
            </w:r>
          </w:p>
        </w:tc>
        <w:tc>
          <w:tcPr>
            <w:tcW w:w="1031" w:type="dxa"/>
            <w:noWrap w:val="0"/>
            <w:vAlign w:val="center"/>
          </w:tcPr>
          <w:p w14:paraId="399FCBBF">
            <w:pPr>
              <w:widowControl/>
              <w:jc w:val="center"/>
              <w:rPr>
                <w:rFonts w:hint="eastAsia" w:ascii="仿宋_GB2312" w:hAnsi="仿宋_GB2312" w:eastAsia="仿宋_GB2312" w:cs="仿宋_GB2312"/>
                <w:color w:val="auto"/>
                <w:sz w:val="21"/>
                <w:szCs w:val="21"/>
                <w:lang w:eastAsia="zh-CN"/>
              </w:rPr>
            </w:pPr>
            <w:r>
              <w:rPr>
                <w:rFonts w:hint="eastAsia" w:ascii="仿宋_GB2312" w:hAnsi="仿宋_GB2312" w:eastAsia="仿宋_GB2312" w:cs="仿宋_GB2312"/>
                <w:color w:val="auto"/>
                <w:sz w:val="21"/>
                <w:szCs w:val="21"/>
                <w:lang w:eastAsia="zh-CN"/>
              </w:rPr>
              <w:t>刘梦洋</w:t>
            </w:r>
          </w:p>
        </w:tc>
        <w:tc>
          <w:tcPr>
            <w:tcW w:w="1874" w:type="dxa"/>
            <w:noWrap w:val="0"/>
            <w:vAlign w:val="center"/>
          </w:tcPr>
          <w:p w14:paraId="6EDB0EE7">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高坡乡人民政府</w:t>
            </w:r>
          </w:p>
        </w:tc>
        <w:tc>
          <w:tcPr>
            <w:tcW w:w="1294" w:type="dxa"/>
            <w:noWrap w:val="0"/>
            <w:vAlign w:val="center"/>
          </w:tcPr>
          <w:p w14:paraId="15544BA9">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党委副书记、政法委书记</w:t>
            </w:r>
          </w:p>
        </w:tc>
      </w:tr>
      <w:tr w14:paraId="61706D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3" w:hRule="atLeast"/>
          <w:jc w:val="center"/>
        </w:trPr>
        <w:tc>
          <w:tcPr>
            <w:tcW w:w="878" w:type="dxa"/>
            <w:vMerge w:val="continue"/>
            <w:noWrap w:val="0"/>
            <w:vAlign w:val="center"/>
          </w:tcPr>
          <w:p w14:paraId="555C4C7D">
            <w:pPr>
              <w:widowControl/>
              <w:jc w:val="center"/>
              <w:rPr>
                <w:rFonts w:hint="eastAsia" w:ascii="仿宋_GB2312" w:hAnsi="仿宋_GB2312" w:eastAsia="仿宋_GB2312" w:cs="仿宋_GB2312"/>
                <w:color w:val="auto"/>
                <w:sz w:val="21"/>
                <w:szCs w:val="21"/>
              </w:rPr>
            </w:pPr>
          </w:p>
        </w:tc>
        <w:tc>
          <w:tcPr>
            <w:tcW w:w="691" w:type="dxa"/>
            <w:vMerge w:val="continue"/>
            <w:noWrap w:val="0"/>
            <w:vAlign w:val="center"/>
          </w:tcPr>
          <w:p w14:paraId="360744E1">
            <w:pPr>
              <w:widowControl/>
              <w:jc w:val="left"/>
              <w:rPr>
                <w:rFonts w:hint="eastAsia" w:ascii="仿宋_GB2312" w:hAnsi="仿宋_GB2312" w:eastAsia="仿宋_GB2312" w:cs="仿宋_GB2312"/>
                <w:color w:val="auto"/>
                <w:sz w:val="21"/>
                <w:szCs w:val="21"/>
              </w:rPr>
            </w:pPr>
          </w:p>
        </w:tc>
        <w:tc>
          <w:tcPr>
            <w:tcW w:w="912" w:type="dxa"/>
            <w:noWrap w:val="0"/>
            <w:vAlign w:val="center"/>
          </w:tcPr>
          <w:p w14:paraId="424AF118">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成员</w:t>
            </w:r>
          </w:p>
        </w:tc>
        <w:tc>
          <w:tcPr>
            <w:tcW w:w="1031" w:type="dxa"/>
            <w:noWrap w:val="0"/>
            <w:vAlign w:val="center"/>
          </w:tcPr>
          <w:p w14:paraId="17BDB4CC">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刘龙</w:t>
            </w:r>
          </w:p>
        </w:tc>
        <w:tc>
          <w:tcPr>
            <w:tcW w:w="1874" w:type="dxa"/>
            <w:noWrap w:val="0"/>
            <w:vAlign w:val="center"/>
          </w:tcPr>
          <w:p w14:paraId="4D5264D8">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马铃乡人民政府</w:t>
            </w:r>
          </w:p>
        </w:tc>
        <w:tc>
          <w:tcPr>
            <w:tcW w:w="1294" w:type="dxa"/>
            <w:noWrap w:val="0"/>
            <w:vAlign w:val="center"/>
          </w:tcPr>
          <w:p w14:paraId="2FAACCBA">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四级主任科员</w:t>
            </w:r>
          </w:p>
        </w:tc>
      </w:tr>
      <w:tr w14:paraId="149B8F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3" w:hRule="atLeast"/>
          <w:jc w:val="center"/>
        </w:trPr>
        <w:tc>
          <w:tcPr>
            <w:tcW w:w="878" w:type="dxa"/>
            <w:vMerge w:val="continue"/>
            <w:noWrap w:val="0"/>
            <w:vAlign w:val="center"/>
          </w:tcPr>
          <w:p w14:paraId="30CC2773">
            <w:pPr>
              <w:widowControl/>
              <w:jc w:val="center"/>
              <w:rPr>
                <w:rFonts w:hint="eastAsia" w:ascii="仿宋_GB2312" w:hAnsi="仿宋_GB2312" w:eastAsia="仿宋_GB2312" w:cs="仿宋_GB2312"/>
                <w:color w:val="auto"/>
                <w:sz w:val="21"/>
                <w:szCs w:val="21"/>
              </w:rPr>
            </w:pPr>
          </w:p>
        </w:tc>
        <w:tc>
          <w:tcPr>
            <w:tcW w:w="691" w:type="dxa"/>
            <w:vMerge w:val="continue"/>
            <w:noWrap w:val="0"/>
            <w:vAlign w:val="center"/>
          </w:tcPr>
          <w:p w14:paraId="608131AC">
            <w:pPr>
              <w:widowControl/>
              <w:jc w:val="left"/>
              <w:rPr>
                <w:rFonts w:hint="eastAsia" w:ascii="仿宋_GB2312" w:hAnsi="仿宋_GB2312" w:eastAsia="仿宋_GB2312" w:cs="仿宋_GB2312"/>
                <w:color w:val="auto"/>
                <w:sz w:val="21"/>
                <w:szCs w:val="21"/>
              </w:rPr>
            </w:pPr>
          </w:p>
        </w:tc>
        <w:tc>
          <w:tcPr>
            <w:tcW w:w="912" w:type="dxa"/>
            <w:noWrap w:val="0"/>
            <w:vAlign w:val="center"/>
          </w:tcPr>
          <w:p w14:paraId="3827A0BA">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成员</w:t>
            </w:r>
          </w:p>
        </w:tc>
        <w:tc>
          <w:tcPr>
            <w:tcW w:w="1031" w:type="dxa"/>
            <w:noWrap w:val="0"/>
            <w:vAlign w:val="center"/>
          </w:tcPr>
          <w:p w14:paraId="5FD97EB7">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刘海川</w:t>
            </w:r>
          </w:p>
        </w:tc>
        <w:tc>
          <w:tcPr>
            <w:tcW w:w="1874" w:type="dxa"/>
            <w:noWrap w:val="0"/>
            <w:vAlign w:val="center"/>
          </w:tcPr>
          <w:p w14:paraId="1408CB1A">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黔陶乡人民政府</w:t>
            </w:r>
          </w:p>
        </w:tc>
        <w:tc>
          <w:tcPr>
            <w:tcW w:w="1294" w:type="dxa"/>
            <w:noWrap w:val="0"/>
            <w:vAlign w:val="center"/>
          </w:tcPr>
          <w:p w14:paraId="24C8DC66">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副乡长</w:t>
            </w:r>
          </w:p>
        </w:tc>
      </w:tr>
      <w:tr w14:paraId="31EE87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3" w:hRule="atLeast"/>
          <w:jc w:val="center"/>
        </w:trPr>
        <w:tc>
          <w:tcPr>
            <w:tcW w:w="878" w:type="dxa"/>
            <w:vMerge w:val="continue"/>
            <w:noWrap w:val="0"/>
            <w:vAlign w:val="center"/>
          </w:tcPr>
          <w:p w14:paraId="00A113FC">
            <w:pPr>
              <w:widowControl/>
              <w:jc w:val="center"/>
              <w:rPr>
                <w:rFonts w:hint="eastAsia" w:ascii="仿宋_GB2312" w:hAnsi="仿宋_GB2312" w:eastAsia="仿宋_GB2312" w:cs="仿宋_GB2312"/>
                <w:color w:val="auto"/>
                <w:sz w:val="21"/>
                <w:szCs w:val="21"/>
              </w:rPr>
            </w:pPr>
          </w:p>
        </w:tc>
        <w:tc>
          <w:tcPr>
            <w:tcW w:w="691" w:type="dxa"/>
            <w:vMerge w:val="continue"/>
            <w:noWrap w:val="0"/>
            <w:vAlign w:val="center"/>
          </w:tcPr>
          <w:p w14:paraId="0BE8CB07">
            <w:pPr>
              <w:widowControl/>
              <w:jc w:val="left"/>
              <w:rPr>
                <w:rFonts w:hint="eastAsia" w:ascii="仿宋_GB2312" w:hAnsi="仿宋_GB2312" w:eastAsia="仿宋_GB2312" w:cs="仿宋_GB2312"/>
                <w:color w:val="auto"/>
                <w:sz w:val="21"/>
                <w:szCs w:val="21"/>
              </w:rPr>
            </w:pPr>
          </w:p>
        </w:tc>
        <w:tc>
          <w:tcPr>
            <w:tcW w:w="912" w:type="dxa"/>
            <w:noWrap w:val="0"/>
            <w:vAlign w:val="center"/>
          </w:tcPr>
          <w:p w14:paraId="10465E88">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成员</w:t>
            </w:r>
          </w:p>
        </w:tc>
        <w:tc>
          <w:tcPr>
            <w:tcW w:w="1031" w:type="dxa"/>
            <w:noWrap w:val="0"/>
            <w:vAlign w:val="center"/>
          </w:tcPr>
          <w:p w14:paraId="296A04C6">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何耘</w:t>
            </w:r>
          </w:p>
        </w:tc>
        <w:tc>
          <w:tcPr>
            <w:tcW w:w="1874" w:type="dxa"/>
            <w:noWrap w:val="0"/>
            <w:vAlign w:val="center"/>
          </w:tcPr>
          <w:p w14:paraId="67B58017">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清溪街道办</w:t>
            </w:r>
          </w:p>
        </w:tc>
        <w:tc>
          <w:tcPr>
            <w:tcW w:w="1294" w:type="dxa"/>
            <w:noWrap w:val="0"/>
            <w:vAlign w:val="center"/>
          </w:tcPr>
          <w:p w14:paraId="04773E7E">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优化营商环境服务中心主任</w:t>
            </w:r>
          </w:p>
        </w:tc>
      </w:tr>
      <w:tr w14:paraId="2968FB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3" w:hRule="atLeast"/>
          <w:jc w:val="center"/>
        </w:trPr>
        <w:tc>
          <w:tcPr>
            <w:tcW w:w="878" w:type="dxa"/>
            <w:vMerge w:val="continue"/>
            <w:noWrap w:val="0"/>
            <w:vAlign w:val="center"/>
          </w:tcPr>
          <w:p w14:paraId="271D8415">
            <w:pPr>
              <w:widowControl/>
              <w:jc w:val="center"/>
              <w:rPr>
                <w:rFonts w:hint="eastAsia" w:ascii="仿宋_GB2312" w:hAnsi="仿宋_GB2312" w:eastAsia="仿宋_GB2312" w:cs="仿宋_GB2312"/>
                <w:color w:val="auto"/>
                <w:sz w:val="21"/>
                <w:szCs w:val="21"/>
              </w:rPr>
            </w:pPr>
          </w:p>
        </w:tc>
        <w:tc>
          <w:tcPr>
            <w:tcW w:w="691" w:type="dxa"/>
            <w:vMerge w:val="continue"/>
            <w:noWrap w:val="0"/>
            <w:vAlign w:val="center"/>
          </w:tcPr>
          <w:p w14:paraId="137B2192">
            <w:pPr>
              <w:widowControl/>
              <w:jc w:val="left"/>
              <w:rPr>
                <w:rFonts w:hint="eastAsia" w:ascii="仿宋_GB2312" w:hAnsi="仿宋_GB2312" w:eastAsia="仿宋_GB2312" w:cs="仿宋_GB2312"/>
                <w:color w:val="auto"/>
                <w:sz w:val="21"/>
                <w:szCs w:val="21"/>
              </w:rPr>
            </w:pPr>
          </w:p>
        </w:tc>
        <w:tc>
          <w:tcPr>
            <w:tcW w:w="912" w:type="dxa"/>
            <w:noWrap w:val="0"/>
            <w:vAlign w:val="center"/>
          </w:tcPr>
          <w:p w14:paraId="1B4593C0">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成员</w:t>
            </w:r>
          </w:p>
        </w:tc>
        <w:tc>
          <w:tcPr>
            <w:tcW w:w="1031" w:type="dxa"/>
            <w:noWrap w:val="0"/>
            <w:vAlign w:val="center"/>
          </w:tcPr>
          <w:p w14:paraId="255D2754">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刘泓吟</w:t>
            </w:r>
          </w:p>
        </w:tc>
        <w:tc>
          <w:tcPr>
            <w:tcW w:w="1874" w:type="dxa"/>
            <w:noWrap w:val="0"/>
            <w:vAlign w:val="center"/>
          </w:tcPr>
          <w:p w14:paraId="4D7D5CC6">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石板镇人民政府</w:t>
            </w:r>
          </w:p>
        </w:tc>
        <w:tc>
          <w:tcPr>
            <w:tcW w:w="1294" w:type="dxa"/>
            <w:noWrap w:val="0"/>
            <w:vAlign w:val="center"/>
          </w:tcPr>
          <w:p w14:paraId="1F37AFBE">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副镇长</w:t>
            </w:r>
          </w:p>
        </w:tc>
      </w:tr>
      <w:tr w14:paraId="66E6C3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3" w:hRule="atLeast"/>
          <w:jc w:val="center"/>
        </w:trPr>
        <w:tc>
          <w:tcPr>
            <w:tcW w:w="878" w:type="dxa"/>
            <w:vMerge w:val="continue"/>
            <w:noWrap w:val="0"/>
            <w:vAlign w:val="center"/>
          </w:tcPr>
          <w:p w14:paraId="6007334D">
            <w:pPr>
              <w:widowControl/>
              <w:jc w:val="center"/>
              <w:rPr>
                <w:rFonts w:hint="eastAsia" w:ascii="仿宋_GB2312" w:hAnsi="仿宋_GB2312" w:eastAsia="仿宋_GB2312" w:cs="仿宋_GB2312"/>
                <w:color w:val="auto"/>
                <w:sz w:val="21"/>
                <w:szCs w:val="21"/>
              </w:rPr>
            </w:pPr>
          </w:p>
        </w:tc>
        <w:tc>
          <w:tcPr>
            <w:tcW w:w="691" w:type="dxa"/>
            <w:vMerge w:val="continue"/>
            <w:noWrap w:val="0"/>
            <w:vAlign w:val="center"/>
          </w:tcPr>
          <w:p w14:paraId="625B59F5">
            <w:pPr>
              <w:widowControl/>
              <w:jc w:val="left"/>
              <w:rPr>
                <w:rFonts w:hint="eastAsia" w:ascii="仿宋_GB2312" w:hAnsi="仿宋_GB2312" w:eastAsia="仿宋_GB2312" w:cs="仿宋_GB2312"/>
                <w:color w:val="auto"/>
                <w:sz w:val="21"/>
                <w:szCs w:val="21"/>
              </w:rPr>
            </w:pPr>
          </w:p>
        </w:tc>
        <w:tc>
          <w:tcPr>
            <w:tcW w:w="912" w:type="dxa"/>
            <w:noWrap w:val="0"/>
            <w:vAlign w:val="center"/>
          </w:tcPr>
          <w:p w14:paraId="7EE6DD37">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成员</w:t>
            </w:r>
          </w:p>
        </w:tc>
        <w:tc>
          <w:tcPr>
            <w:tcW w:w="1031" w:type="dxa"/>
            <w:noWrap w:val="0"/>
            <w:vAlign w:val="center"/>
          </w:tcPr>
          <w:p w14:paraId="6D85D008">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蔡鹏程</w:t>
            </w:r>
          </w:p>
        </w:tc>
        <w:tc>
          <w:tcPr>
            <w:tcW w:w="1874" w:type="dxa"/>
            <w:noWrap w:val="0"/>
            <w:vAlign w:val="center"/>
          </w:tcPr>
          <w:p w14:paraId="5BD2FE6E">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青岩镇人民政府</w:t>
            </w:r>
          </w:p>
        </w:tc>
        <w:tc>
          <w:tcPr>
            <w:tcW w:w="1294" w:type="dxa"/>
            <w:noWrap w:val="0"/>
            <w:vAlign w:val="center"/>
          </w:tcPr>
          <w:p w14:paraId="6D2B1EA0">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副镇长</w:t>
            </w:r>
          </w:p>
        </w:tc>
      </w:tr>
      <w:tr w14:paraId="6E8A25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3" w:hRule="atLeast"/>
          <w:jc w:val="center"/>
        </w:trPr>
        <w:tc>
          <w:tcPr>
            <w:tcW w:w="878" w:type="dxa"/>
            <w:vMerge w:val="continue"/>
            <w:noWrap w:val="0"/>
            <w:vAlign w:val="center"/>
          </w:tcPr>
          <w:p w14:paraId="7497035B">
            <w:pPr>
              <w:widowControl/>
              <w:jc w:val="center"/>
              <w:rPr>
                <w:rFonts w:hint="eastAsia" w:ascii="仿宋_GB2312" w:hAnsi="仿宋_GB2312" w:eastAsia="仿宋_GB2312" w:cs="仿宋_GB2312"/>
                <w:color w:val="auto"/>
                <w:sz w:val="21"/>
                <w:szCs w:val="21"/>
              </w:rPr>
            </w:pPr>
          </w:p>
        </w:tc>
        <w:tc>
          <w:tcPr>
            <w:tcW w:w="691" w:type="dxa"/>
            <w:vMerge w:val="continue"/>
            <w:noWrap w:val="0"/>
            <w:vAlign w:val="center"/>
          </w:tcPr>
          <w:p w14:paraId="4A63DC31">
            <w:pPr>
              <w:widowControl/>
              <w:jc w:val="left"/>
              <w:rPr>
                <w:rFonts w:hint="eastAsia" w:ascii="仿宋_GB2312" w:hAnsi="仿宋_GB2312" w:eastAsia="仿宋_GB2312" w:cs="仿宋_GB2312"/>
                <w:color w:val="auto"/>
                <w:sz w:val="21"/>
                <w:szCs w:val="21"/>
              </w:rPr>
            </w:pPr>
          </w:p>
        </w:tc>
        <w:tc>
          <w:tcPr>
            <w:tcW w:w="912" w:type="dxa"/>
            <w:noWrap w:val="0"/>
            <w:vAlign w:val="center"/>
          </w:tcPr>
          <w:p w14:paraId="03EFB9CF">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成员</w:t>
            </w:r>
          </w:p>
        </w:tc>
        <w:tc>
          <w:tcPr>
            <w:tcW w:w="1031" w:type="dxa"/>
            <w:noWrap w:val="0"/>
            <w:vAlign w:val="center"/>
          </w:tcPr>
          <w:p w14:paraId="23C2EA04">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王林</w:t>
            </w:r>
          </w:p>
        </w:tc>
        <w:tc>
          <w:tcPr>
            <w:tcW w:w="1874" w:type="dxa"/>
            <w:noWrap w:val="0"/>
            <w:vAlign w:val="center"/>
          </w:tcPr>
          <w:p w14:paraId="6D8AC331">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燕楼镇人民政府</w:t>
            </w:r>
          </w:p>
        </w:tc>
        <w:tc>
          <w:tcPr>
            <w:tcW w:w="1294" w:type="dxa"/>
            <w:noWrap w:val="0"/>
            <w:vAlign w:val="center"/>
          </w:tcPr>
          <w:p w14:paraId="42136BDA">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副镇长</w:t>
            </w:r>
          </w:p>
        </w:tc>
      </w:tr>
      <w:tr w14:paraId="66AEFF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atLeast"/>
          <w:jc w:val="center"/>
        </w:trPr>
        <w:tc>
          <w:tcPr>
            <w:tcW w:w="878" w:type="dxa"/>
            <w:vMerge w:val="restart"/>
            <w:noWrap w:val="0"/>
            <w:vAlign w:val="center"/>
          </w:tcPr>
          <w:p w14:paraId="0F8233B2">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4</w:t>
            </w:r>
          </w:p>
        </w:tc>
        <w:tc>
          <w:tcPr>
            <w:tcW w:w="691" w:type="dxa"/>
            <w:vMerge w:val="restart"/>
            <w:noWrap w:val="0"/>
            <w:vAlign w:val="center"/>
          </w:tcPr>
          <w:p w14:paraId="3A8783DB">
            <w:pPr>
              <w:widowControl/>
              <w:jc w:val="left"/>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应急监测组</w:t>
            </w:r>
          </w:p>
        </w:tc>
        <w:tc>
          <w:tcPr>
            <w:tcW w:w="912" w:type="dxa"/>
            <w:noWrap w:val="0"/>
            <w:vAlign w:val="center"/>
          </w:tcPr>
          <w:p w14:paraId="3852D404">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组长</w:t>
            </w:r>
          </w:p>
        </w:tc>
        <w:tc>
          <w:tcPr>
            <w:tcW w:w="1031" w:type="dxa"/>
            <w:noWrap w:val="0"/>
            <w:vAlign w:val="center"/>
          </w:tcPr>
          <w:p w14:paraId="71BE45EB">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李有志</w:t>
            </w:r>
          </w:p>
        </w:tc>
        <w:tc>
          <w:tcPr>
            <w:tcW w:w="1874" w:type="dxa"/>
            <w:noWrap w:val="0"/>
            <w:vAlign w:val="center"/>
          </w:tcPr>
          <w:p w14:paraId="355649D6">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花溪区生态环境保护综合执法大队</w:t>
            </w:r>
          </w:p>
        </w:tc>
        <w:tc>
          <w:tcPr>
            <w:tcW w:w="1294" w:type="dxa"/>
            <w:noWrap w:val="0"/>
            <w:vAlign w:val="center"/>
          </w:tcPr>
          <w:p w14:paraId="41067998">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副大队长</w:t>
            </w:r>
          </w:p>
        </w:tc>
      </w:tr>
      <w:tr w14:paraId="5E5C9F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99" w:hRule="atLeast"/>
          <w:jc w:val="center"/>
        </w:trPr>
        <w:tc>
          <w:tcPr>
            <w:tcW w:w="878" w:type="dxa"/>
            <w:vMerge w:val="continue"/>
            <w:noWrap w:val="0"/>
            <w:vAlign w:val="center"/>
          </w:tcPr>
          <w:p w14:paraId="31F6A430">
            <w:pPr>
              <w:widowControl/>
              <w:jc w:val="center"/>
              <w:rPr>
                <w:rFonts w:hint="eastAsia" w:ascii="仿宋_GB2312" w:hAnsi="仿宋_GB2312" w:eastAsia="仿宋_GB2312" w:cs="仿宋_GB2312"/>
                <w:color w:val="auto"/>
                <w:sz w:val="21"/>
                <w:szCs w:val="21"/>
              </w:rPr>
            </w:pPr>
          </w:p>
        </w:tc>
        <w:tc>
          <w:tcPr>
            <w:tcW w:w="691" w:type="dxa"/>
            <w:vMerge w:val="continue"/>
            <w:noWrap w:val="0"/>
            <w:vAlign w:val="center"/>
          </w:tcPr>
          <w:p w14:paraId="1BA5DE72">
            <w:pPr>
              <w:widowControl/>
              <w:jc w:val="left"/>
              <w:rPr>
                <w:rFonts w:hint="eastAsia" w:ascii="仿宋_GB2312" w:hAnsi="仿宋_GB2312" w:eastAsia="仿宋_GB2312" w:cs="仿宋_GB2312"/>
                <w:color w:val="auto"/>
                <w:sz w:val="21"/>
                <w:szCs w:val="21"/>
              </w:rPr>
            </w:pPr>
          </w:p>
        </w:tc>
        <w:tc>
          <w:tcPr>
            <w:tcW w:w="912" w:type="dxa"/>
            <w:noWrap w:val="0"/>
            <w:vAlign w:val="center"/>
          </w:tcPr>
          <w:p w14:paraId="3B3DF504">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成员</w:t>
            </w:r>
          </w:p>
        </w:tc>
        <w:tc>
          <w:tcPr>
            <w:tcW w:w="1031" w:type="dxa"/>
            <w:noWrap w:val="0"/>
            <w:vAlign w:val="center"/>
          </w:tcPr>
          <w:p w14:paraId="6E89573E">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李斌</w:t>
            </w:r>
          </w:p>
        </w:tc>
        <w:tc>
          <w:tcPr>
            <w:tcW w:w="1874" w:type="dxa"/>
            <w:noWrap w:val="0"/>
            <w:vAlign w:val="center"/>
          </w:tcPr>
          <w:p w14:paraId="7F6D109B">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花溪区水务局</w:t>
            </w:r>
          </w:p>
        </w:tc>
        <w:tc>
          <w:tcPr>
            <w:tcW w:w="1294" w:type="dxa"/>
            <w:noWrap w:val="0"/>
            <w:vAlign w:val="center"/>
          </w:tcPr>
          <w:p w14:paraId="1AB3A278">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局长</w:t>
            </w:r>
          </w:p>
        </w:tc>
      </w:tr>
      <w:tr w14:paraId="63B66B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2" w:hRule="atLeast"/>
          <w:jc w:val="center"/>
        </w:trPr>
        <w:tc>
          <w:tcPr>
            <w:tcW w:w="878" w:type="dxa"/>
            <w:vMerge w:val="continue"/>
            <w:noWrap w:val="0"/>
            <w:vAlign w:val="center"/>
          </w:tcPr>
          <w:p w14:paraId="2FF93CF8">
            <w:pPr>
              <w:widowControl/>
              <w:jc w:val="center"/>
              <w:rPr>
                <w:rFonts w:hint="eastAsia" w:ascii="仿宋_GB2312" w:hAnsi="仿宋_GB2312" w:eastAsia="仿宋_GB2312" w:cs="仿宋_GB2312"/>
                <w:color w:val="auto"/>
                <w:sz w:val="21"/>
                <w:szCs w:val="21"/>
              </w:rPr>
            </w:pPr>
          </w:p>
        </w:tc>
        <w:tc>
          <w:tcPr>
            <w:tcW w:w="691" w:type="dxa"/>
            <w:vMerge w:val="continue"/>
            <w:noWrap w:val="0"/>
            <w:vAlign w:val="center"/>
          </w:tcPr>
          <w:p w14:paraId="0F8D04E6">
            <w:pPr>
              <w:widowControl/>
              <w:jc w:val="left"/>
              <w:rPr>
                <w:rFonts w:hint="eastAsia" w:ascii="仿宋_GB2312" w:hAnsi="仿宋_GB2312" w:eastAsia="仿宋_GB2312" w:cs="仿宋_GB2312"/>
                <w:color w:val="auto"/>
                <w:sz w:val="21"/>
                <w:szCs w:val="21"/>
              </w:rPr>
            </w:pPr>
          </w:p>
        </w:tc>
        <w:tc>
          <w:tcPr>
            <w:tcW w:w="912" w:type="dxa"/>
            <w:noWrap w:val="0"/>
            <w:vAlign w:val="center"/>
          </w:tcPr>
          <w:p w14:paraId="7029573D">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成员</w:t>
            </w:r>
          </w:p>
        </w:tc>
        <w:tc>
          <w:tcPr>
            <w:tcW w:w="1031" w:type="dxa"/>
            <w:noWrap w:val="0"/>
            <w:vAlign w:val="center"/>
          </w:tcPr>
          <w:p w14:paraId="61C43126">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 xml:space="preserve">黄兴翠 </w:t>
            </w:r>
          </w:p>
        </w:tc>
        <w:tc>
          <w:tcPr>
            <w:tcW w:w="1874" w:type="dxa"/>
            <w:noWrap w:val="0"/>
            <w:vAlign w:val="center"/>
          </w:tcPr>
          <w:p w14:paraId="7ED21530">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花溪区卫生健康局</w:t>
            </w:r>
          </w:p>
        </w:tc>
        <w:tc>
          <w:tcPr>
            <w:tcW w:w="1294" w:type="dxa"/>
            <w:noWrap w:val="0"/>
            <w:vAlign w:val="center"/>
          </w:tcPr>
          <w:p w14:paraId="4590A11A">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局长</w:t>
            </w:r>
          </w:p>
        </w:tc>
      </w:tr>
      <w:tr w14:paraId="5C3D80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90" w:hRule="atLeast"/>
          <w:jc w:val="center"/>
        </w:trPr>
        <w:tc>
          <w:tcPr>
            <w:tcW w:w="878" w:type="dxa"/>
            <w:vMerge w:val="restart"/>
            <w:noWrap w:val="0"/>
            <w:vAlign w:val="center"/>
          </w:tcPr>
          <w:p w14:paraId="3300321E">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5</w:t>
            </w:r>
          </w:p>
        </w:tc>
        <w:tc>
          <w:tcPr>
            <w:tcW w:w="691" w:type="dxa"/>
            <w:vMerge w:val="restart"/>
            <w:noWrap w:val="0"/>
            <w:vAlign w:val="center"/>
          </w:tcPr>
          <w:p w14:paraId="23F00FF1">
            <w:pPr>
              <w:widowControl/>
              <w:jc w:val="left"/>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医疗救援组</w:t>
            </w:r>
          </w:p>
        </w:tc>
        <w:tc>
          <w:tcPr>
            <w:tcW w:w="912" w:type="dxa"/>
            <w:noWrap w:val="0"/>
            <w:vAlign w:val="center"/>
          </w:tcPr>
          <w:p w14:paraId="6F962E7C">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组长</w:t>
            </w:r>
          </w:p>
        </w:tc>
        <w:tc>
          <w:tcPr>
            <w:tcW w:w="1031" w:type="dxa"/>
            <w:noWrap w:val="0"/>
            <w:vAlign w:val="center"/>
          </w:tcPr>
          <w:p w14:paraId="292BE0C2">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 xml:space="preserve">黄兴翠 </w:t>
            </w:r>
          </w:p>
        </w:tc>
        <w:tc>
          <w:tcPr>
            <w:tcW w:w="1874" w:type="dxa"/>
            <w:noWrap w:val="0"/>
            <w:vAlign w:val="center"/>
          </w:tcPr>
          <w:p w14:paraId="30B6D9AA">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花溪区卫生健康局</w:t>
            </w:r>
          </w:p>
        </w:tc>
        <w:tc>
          <w:tcPr>
            <w:tcW w:w="1294" w:type="dxa"/>
            <w:noWrap w:val="0"/>
            <w:vAlign w:val="center"/>
          </w:tcPr>
          <w:p w14:paraId="72B3FCDC">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局长</w:t>
            </w:r>
          </w:p>
        </w:tc>
      </w:tr>
      <w:tr w14:paraId="7508CE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3"/>
          <w:wAfter w:w="4199" w:type="dxa"/>
          <w:trHeight w:val="565" w:hRule="atLeast"/>
          <w:jc w:val="center"/>
        </w:trPr>
        <w:tc>
          <w:tcPr>
            <w:tcW w:w="878" w:type="dxa"/>
            <w:vMerge w:val="continue"/>
            <w:noWrap w:val="0"/>
            <w:vAlign w:val="center"/>
          </w:tcPr>
          <w:p w14:paraId="7B77530F">
            <w:pPr>
              <w:widowControl/>
              <w:jc w:val="center"/>
              <w:rPr>
                <w:rFonts w:hint="eastAsia" w:ascii="仿宋_GB2312" w:hAnsi="仿宋_GB2312" w:eastAsia="仿宋_GB2312" w:cs="仿宋_GB2312"/>
                <w:color w:val="auto"/>
                <w:sz w:val="21"/>
                <w:szCs w:val="21"/>
              </w:rPr>
            </w:pPr>
          </w:p>
        </w:tc>
        <w:tc>
          <w:tcPr>
            <w:tcW w:w="691" w:type="dxa"/>
            <w:vMerge w:val="continue"/>
            <w:noWrap w:val="0"/>
            <w:vAlign w:val="center"/>
          </w:tcPr>
          <w:p w14:paraId="27DF41F7">
            <w:pPr>
              <w:widowControl/>
              <w:jc w:val="left"/>
              <w:rPr>
                <w:rFonts w:hint="eastAsia" w:ascii="仿宋_GB2312" w:hAnsi="仿宋_GB2312" w:eastAsia="仿宋_GB2312" w:cs="仿宋_GB2312"/>
                <w:color w:val="auto"/>
                <w:sz w:val="21"/>
                <w:szCs w:val="21"/>
              </w:rPr>
            </w:pPr>
          </w:p>
        </w:tc>
        <w:tc>
          <w:tcPr>
            <w:tcW w:w="912" w:type="dxa"/>
            <w:noWrap w:val="0"/>
            <w:vAlign w:val="center"/>
          </w:tcPr>
          <w:p w14:paraId="6AB994F1">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成员</w:t>
            </w:r>
          </w:p>
        </w:tc>
      </w:tr>
      <w:tr w14:paraId="2ACBFC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8" w:hRule="atLeast"/>
          <w:jc w:val="center"/>
        </w:trPr>
        <w:tc>
          <w:tcPr>
            <w:tcW w:w="878" w:type="dxa"/>
            <w:vMerge w:val="restart"/>
            <w:noWrap w:val="0"/>
            <w:vAlign w:val="center"/>
          </w:tcPr>
          <w:p w14:paraId="639EFC71">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6</w:t>
            </w:r>
          </w:p>
        </w:tc>
        <w:tc>
          <w:tcPr>
            <w:tcW w:w="691" w:type="dxa"/>
            <w:vMerge w:val="restart"/>
            <w:noWrap w:val="0"/>
            <w:vAlign w:val="center"/>
          </w:tcPr>
          <w:p w14:paraId="757E221F">
            <w:pPr>
              <w:widowControl/>
              <w:jc w:val="left"/>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后勤保障组</w:t>
            </w:r>
          </w:p>
        </w:tc>
        <w:tc>
          <w:tcPr>
            <w:tcW w:w="912" w:type="dxa"/>
            <w:noWrap w:val="0"/>
            <w:vAlign w:val="center"/>
          </w:tcPr>
          <w:p w14:paraId="5B504E09">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组长</w:t>
            </w:r>
          </w:p>
        </w:tc>
        <w:tc>
          <w:tcPr>
            <w:tcW w:w="1031" w:type="dxa"/>
            <w:noWrap w:val="0"/>
            <w:vAlign w:val="center"/>
          </w:tcPr>
          <w:p w14:paraId="7DAF6C41">
            <w:pPr>
              <w:pStyle w:val="12"/>
              <w:spacing w:beforeAutospacing="0" w:afterAutospacing="0" w:line="240" w:lineRule="auto"/>
              <w:ind w:firstLine="0" w:firstLineChars="0"/>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lang w:eastAsia="zh-CN"/>
              </w:rPr>
              <w:t>李</w:t>
            </w:r>
            <w:r>
              <w:rPr>
                <w:rFonts w:hint="eastAsia" w:ascii="仿宋_GB2312" w:hAnsi="仿宋_GB2312" w:eastAsia="仿宋_GB2312" w:cs="仿宋_GB2312"/>
                <w:color w:val="auto"/>
                <w:sz w:val="21"/>
                <w:szCs w:val="21"/>
                <w:lang w:val="en-US" w:eastAsia="zh-CN"/>
              </w:rPr>
              <w:t xml:space="preserve">  </w:t>
            </w:r>
            <w:r>
              <w:rPr>
                <w:rFonts w:hint="eastAsia" w:ascii="仿宋_GB2312" w:hAnsi="仿宋_GB2312" w:eastAsia="仿宋_GB2312" w:cs="仿宋_GB2312"/>
                <w:color w:val="auto"/>
                <w:sz w:val="21"/>
                <w:szCs w:val="21"/>
                <w:lang w:eastAsia="zh-CN"/>
              </w:rPr>
              <w:t>金</w:t>
            </w:r>
          </w:p>
        </w:tc>
        <w:tc>
          <w:tcPr>
            <w:tcW w:w="1874" w:type="dxa"/>
            <w:noWrap w:val="0"/>
            <w:vAlign w:val="center"/>
          </w:tcPr>
          <w:p w14:paraId="5F7933A7">
            <w:pPr>
              <w:pStyle w:val="12"/>
              <w:spacing w:beforeAutospacing="0" w:afterAutospacing="0" w:line="240" w:lineRule="auto"/>
              <w:ind w:firstLine="0" w:firstLineChars="0"/>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区</w:t>
            </w:r>
            <w:r>
              <w:rPr>
                <w:rFonts w:hint="eastAsia" w:ascii="仿宋_GB2312" w:hAnsi="仿宋_GB2312" w:eastAsia="仿宋_GB2312" w:cs="仿宋_GB2312"/>
                <w:color w:val="auto"/>
                <w:sz w:val="21"/>
                <w:szCs w:val="21"/>
                <w:lang w:val="en-US" w:eastAsia="zh-CN"/>
              </w:rPr>
              <w:t>应急局副</w:t>
            </w:r>
            <w:r>
              <w:rPr>
                <w:rFonts w:hint="eastAsia" w:ascii="仿宋_GB2312" w:hAnsi="仿宋_GB2312" w:eastAsia="仿宋_GB2312" w:cs="仿宋_GB2312"/>
                <w:color w:val="auto"/>
                <w:sz w:val="21"/>
                <w:szCs w:val="21"/>
              </w:rPr>
              <w:t>局长</w:t>
            </w:r>
            <w:r>
              <w:rPr>
                <w:rFonts w:hint="eastAsia" w:ascii="仿宋_GB2312" w:hAnsi="仿宋_GB2312" w:eastAsia="仿宋_GB2312" w:cs="仿宋_GB2312"/>
                <w:color w:val="auto"/>
                <w:sz w:val="21"/>
                <w:szCs w:val="21"/>
                <w:lang w:eastAsia="zh-CN"/>
              </w:rPr>
              <w:t>（主持工作）</w:t>
            </w:r>
          </w:p>
        </w:tc>
        <w:tc>
          <w:tcPr>
            <w:tcW w:w="1294" w:type="dxa"/>
            <w:noWrap w:val="0"/>
            <w:vAlign w:val="center"/>
          </w:tcPr>
          <w:p w14:paraId="5F1772F5">
            <w:pPr>
              <w:widowControl/>
              <w:ind w:firstLine="420" w:firstLineChars="200"/>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lang w:eastAsia="zh-CN"/>
              </w:rPr>
              <w:t>副</w:t>
            </w:r>
            <w:r>
              <w:rPr>
                <w:rFonts w:hint="eastAsia" w:ascii="仿宋_GB2312" w:hAnsi="仿宋_GB2312" w:eastAsia="仿宋_GB2312" w:cs="仿宋_GB2312"/>
                <w:color w:val="auto"/>
                <w:sz w:val="21"/>
                <w:szCs w:val="21"/>
              </w:rPr>
              <w:t>局长</w:t>
            </w:r>
          </w:p>
        </w:tc>
      </w:tr>
      <w:tr w14:paraId="332CB4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8" w:hRule="atLeast"/>
          <w:jc w:val="center"/>
        </w:trPr>
        <w:tc>
          <w:tcPr>
            <w:tcW w:w="878" w:type="dxa"/>
            <w:vMerge w:val="continue"/>
            <w:noWrap w:val="0"/>
            <w:vAlign w:val="center"/>
          </w:tcPr>
          <w:p w14:paraId="60CDBBC0">
            <w:pPr>
              <w:widowControl/>
              <w:jc w:val="center"/>
              <w:rPr>
                <w:rFonts w:hint="eastAsia" w:ascii="仿宋_GB2312" w:hAnsi="仿宋_GB2312" w:eastAsia="仿宋_GB2312" w:cs="仿宋_GB2312"/>
                <w:color w:val="auto"/>
                <w:sz w:val="21"/>
                <w:szCs w:val="21"/>
              </w:rPr>
            </w:pPr>
          </w:p>
        </w:tc>
        <w:tc>
          <w:tcPr>
            <w:tcW w:w="691" w:type="dxa"/>
            <w:vMerge w:val="continue"/>
            <w:noWrap w:val="0"/>
            <w:vAlign w:val="center"/>
          </w:tcPr>
          <w:p w14:paraId="16DDA0EF">
            <w:pPr>
              <w:widowControl/>
              <w:jc w:val="left"/>
              <w:rPr>
                <w:rFonts w:hint="eastAsia" w:ascii="仿宋_GB2312" w:hAnsi="仿宋_GB2312" w:eastAsia="仿宋_GB2312" w:cs="仿宋_GB2312"/>
                <w:color w:val="auto"/>
                <w:sz w:val="21"/>
                <w:szCs w:val="21"/>
              </w:rPr>
            </w:pPr>
          </w:p>
        </w:tc>
        <w:tc>
          <w:tcPr>
            <w:tcW w:w="912" w:type="dxa"/>
            <w:noWrap w:val="0"/>
            <w:vAlign w:val="center"/>
          </w:tcPr>
          <w:p w14:paraId="7F13DDD3">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成员</w:t>
            </w:r>
          </w:p>
        </w:tc>
        <w:tc>
          <w:tcPr>
            <w:tcW w:w="1031" w:type="dxa"/>
            <w:noWrap w:val="0"/>
            <w:vAlign w:val="center"/>
          </w:tcPr>
          <w:p w14:paraId="709BEADB">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简秀华</w:t>
            </w:r>
          </w:p>
        </w:tc>
        <w:tc>
          <w:tcPr>
            <w:tcW w:w="1874" w:type="dxa"/>
            <w:noWrap w:val="0"/>
            <w:vAlign w:val="center"/>
          </w:tcPr>
          <w:p w14:paraId="6DCB0104">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花溪区发展和改革局</w:t>
            </w:r>
          </w:p>
        </w:tc>
        <w:tc>
          <w:tcPr>
            <w:tcW w:w="1294" w:type="dxa"/>
            <w:noWrap w:val="0"/>
            <w:vAlign w:val="center"/>
          </w:tcPr>
          <w:p w14:paraId="4B84F4FE">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副局长</w:t>
            </w:r>
          </w:p>
        </w:tc>
      </w:tr>
      <w:tr w14:paraId="2D8731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46" w:hRule="atLeast"/>
          <w:jc w:val="center"/>
        </w:trPr>
        <w:tc>
          <w:tcPr>
            <w:tcW w:w="878" w:type="dxa"/>
            <w:vMerge w:val="continue"/>
            <w:noWrap w:val="0"/>
            <w:vAlign w:val="center"/>
          </w:tcPr>
          <w:p w14:paraId="14254AB3">
            <w:pPr>
              <w:widowControl/>
              <w:jc w:val="center"/>
              <w:rPr>
                <w:rFonts w:hint="eastAsia" w:ascii="仿宋_GB2312" w:hAnsi="仿宋_GB2312" w:eastAsia="仿宋_GB2312" w:cs="仿宋_GB2312"/>
                <w:color w:val="auto"/>
                <w:sz w:val="21"/>
                <w:szCs w:val="21"/>
              </w:rPr>
            </w:pPr>
          </w:p>
        </w:tc>
        <w:tc>
          <w:tcPr>
            <w:tcW w:w="691" w:type="dxa"/>
            <w:vMerge w:val="continue"/>
            <w:noWrap w:val="0"/>
            <w:vAlign w:val="center"/>
          </w:tcPr>
          <w:p w14:paraId="59E0E069">
            <w:pPr>
              <w:widowControl/>
              <w:jc w:val="left"/>
              <w:rPr>
                <w:rFonts w:hint="eastAsia" w:ascii="仿宋_GB2312" w:hAnsi="仿宋_GB2312" w:eastAsia="仿宋_GB2312" w:cs="仿宋_GB2312"/>
                <w:color w:val="auto"/>
                <w:sz w:val="21"/>
                <w:szCs w:val="21"/>
              </w:rPr>
            </w:pPr>
          </w:p>
        </w:tc>
        <w:tc>
          <w:tcPr>
            <w:tcW w:w="912" w:type="dxa"/>
            <w:noWrap w:val="0"/>
            <w:vAlign w:val="center"/>
          </w:tcPr>
          <w:p w14:paraId="6CF58338">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成员</w:t>
            </w:r>
          </w:p>
        </w:tc>
        <w:tc>
          <w:tcPr>
            <w:tcW w:w="1031" w:type="dxa"/>
            <w:noWrap w:val="0"/>
            <w:vAlign w:val="center"/>
          </w:tcPr>
          <w:p w14:paraId="62F5818C">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蔡  舟</w:t>
            </w:r>
          </w:p>
        </w:tc>
        <w:tc>
          <w:tcPr>
            <w:tcW w:w="1874" w:type="dxa"/>
            <w:noWrap w:val="0"/>
            <w:vAlign w:val="center"/>
          </w:tcPr>
          <w:p w14:paraId="75DBC277">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花溪区民政局</w:t>
            </w:r>
          </w:p>
        </w:tc>
        <w:tc>
          <w:tcPr>
            <w:tcW w:w="1294" w:type="dxa"/>
            <w:noWrap w:val="0"/>
            <w:vAlign w:val="center"/>
          </w:tcPr>
          <w:p w14:paraId="2CF3DBB9">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局长</w:t>
            </w:r>
          </w:p>
        </w:tc>
      </w:tr>
      <w:tr w14:paraId="16D13B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9" w:hRule="atLeast"/>
          <w:jc w:val="center"/>
        </w:trPr>
        <w:tc>
          <w:tcPr>
            <w:tcW w:w="878" w:type="dxa"/>
            <w:vMerge w:val="continue"/>
            <w:noWrap w:val="0"/>
            <w:vAlign w:val="center"/>
          </w:tcPr>
          <w:p w14:paraId="57486CAE">
            <w:pPr>
              <w:widowControl/>
              <w:jc w:val="center"/>
              <w:rPr>
                <w:rFonts w:hint="eastAsia" w:ascii="仿宋_GB2312" w:hAnsi="仿宋_GB2312" w:eastAsia="仿宋_GB2312" w:cs="仿宋_GB2312"/>
                <w:color w:val="auto"/>
                <w:sz w:val="21"/>
                <w:szCs w:val="21"/>
              </w:rPr>
            </w:pPr>
          </w:p>
        </w:tc>
        <w:tc>
          <w:tcPr>
            <w:tcW w:w="691" w:type="dxa"/>
            <w:vMerge w:val="continue"/>
            <w:noWrap w:val="0"/>
            <w:vAlign w:val="center"/>
          </w:tcPr>
          <w:p w14:paraId="203144AD">
            <w:pPr>
              <w:widowControl/>
              <w:jc w:val="left"/>
              <w:rPr>
                <w:rFonts w:hint="eastAsia" w:ascii="仿宋_GB2312" w:hAnsi="仿宋_GB2312" w:eastAsia="仿宋_GB2312" w:cs="仿宋_GB2312"/>
                <w:color w:val="auto"/>
                <w:sz w:val="21"/>
                <w:szCs w:val="21"/>
              </w:rPr>
            </w:pPr>
          </w:p>
        </w:tc>
        <w:tc>
          <w:tcPr>
            <w:tcW w:w="912" w:type="dxa"/>
            <w:noWrap w:val="0"/>
            <w:vAlign w:val="center"/>
          </w:tcPr>
          <w:p w14:paraId="4B1D4773">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成员</w:t>
            </w:r>
          </w:p>
        </w:tc>
        <w:tc>
          <w:tcPr>
            <w:tcW w:w="1031" w:type="dxa"/>
            <w:noWrap w:val="0"/>
            <w:vAlign w:val="center"/>
          </w:tcPr>
          <w:p w14:paraId="32DF3022">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李斌</w:t>
            </w:r>
          </w:p>
        </w:tc>
        <w:tc>
          <w:tcPr>
            <w:tcW w:w="1874" w:type="dxa"/>
            <w:noWrap w:val="0"/>
            <w:vAlign w:val="center"/>
          </w:tcPr>
          <w:p w14:paraId="3299D318">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花溪区水务局</w:t>
            </w:r>
          </w:p>
        </w:tc>
        <w:tc>
          <w:tcPr>
            <w:tcW w:w="1294" w:type="dxa"/>
            <w:noWrap w:val="0"/>
            <w:vAlign w:val="center"/>
          </w:tcPr>
          <w:p w14:paraId="34C1B40E">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局长</w:t>
            </w:r>
          </w:p>
        </w:tc>
      </w:tr>
      <w:tr w14:paraId="6E2A82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06" w:hRule="atLeast"/>
          <w:jc w:val="center"/>
        </w:trPr>
        <w:tc>
          <w:tcPr>
            <w:tcW w:w="878" w:type="dxa"/>
            <w:vMerge w:val="continue"/>
            <w:noWrap w:val="0"/>
            <w:vAlign w:val="center"/>
          </w:tcPr>
          <w:p w14:paraId="04063580">
            <w:pPr>
              <w:widowControl/>
              <w:jc w:val="center"/>
              <w:rPr>
                <w:rFonts w:hint="eastAsia" w:ascii="仿宋_GB2312" w:hAnsi="仿宋_GB2312" w:eastAsia="仿宋_GB2312" w:cs="仿宋_GB2312"/>
                <w:color w:val="auto"/>
                <w:sz w:val="21"/>
                <w:szCs w:val="21"/>
              </w:rPr>
            </w:pPr>
          </w:p>
        </w:tc>
        <w:tc>
          <w:tcPr>
            <w:tcW w:w="691" w:type="dxa"/>
            <w:vMerge w:val="continue"/>
            <w:noWrap w:val="0"/>
            <w:vAlign w:val="center"/>
          </w:tcPr>
          <w:p w14:paraId="718E1924">
            <w:pPr>
              <w:widowControl/>
              <w:jc w:val="left"/>
              <w:rPr>
                <w:rFonts w:hint="eastAsia" w:ascii="仿宋_GB2312" w:hAnsi="仿宋_GB2312" w:eastAsia="仿宋_GB2312" w:cs="仿宋_GB2312"/>
                <w:color w:val="auto"/>
                <w:sz w:val="21"/>
                <w:szCs w:val="21"/>
              </w:rPr>
            </w:pPr>
          </w:p>
        </w:tc>
        <w:tc>
          <w:tcPr>
            <w:tcW w:w="912" w:type="dxa"/>
            <w:noWrap w:val="0"/>
            <w:vAlign w:val="center"/>
          </w:tcPr>
          <w:p w14:paraId="4105BC0B">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成员</w:t>
            </w:r>
          </w:p>
        </w:tc>
        <w:tc>
          <w:tcPr>
            <w:tcW w:w="1031" w:type="dxa"/>
            <w:noWrap w:val="0"/>
            <w:vAlign w:val="center"/>
          </w:tcPr>
          <w:p w14:paraId="25CBA67C">
            <w:pPr>
              <w:widowControl/>
              <w:jc w:val="center"/>
              <w:rPr>
                <w:rFonts w:hint="eastAsia" w:ascii="仿宋_GB2312" w:hAnsi="仿宋_GB2312" w:eastAsia="仿宋_GB2312" w:cs="仿宋_GB2312"/>
                <w:color w:val="auto"/>
                <w:sz w:val="21"/>
                <w:szCs w:val="21"/>
                <w:lang w:eastAsia="zh-CN"/>
              </w:rPr>
            </w:pPr>
            <w:r>
              <w:rPr>
                <w:rFonts w:hint="eastAsia" w:ascii="仿宋_GB2312" w:hAnsi="仿宋_GB2312" w:eastAsia="仿宋_GB2312" w:cs="仿宋_GB2312"/>
                <w:color w:val="auto"/>
                <w:sz w:val="21"/>
                <w:szCs w:val="21"/>
                <w:lang w:eastAsia="zh-CN"/>
              </w:rPr>
              <w:t>张万菊</w:t>
            </w:r>
          </w:p>
        </w:tc>
        <w:tc>
          <w:tcPr>
            <w:tcW w:w="1874" w:type="dxa"/>
            <w:noWrap w:val="0"/>
            <w:vAlign w:val="center"/>
          </w:tcPr>
          <w:p w14:paraId="06EA9E29">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花溪区财政局</w:t>
            </w:r>
          </w:p>
        </w:tc>
        <w:tc>
          <w:tcPr>
            <w:tcW w:w="1294" w:type="dxa"/>
            <w:noWrap w:val="0"/>
            <w:vAlign w:val="center"/>
          </w:tcPr>
          <w:p w14:paraId="40757DC8">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局长</w:t>
            </w:r>
          </w:p>
        </w:tc>
      </w:tr>
      <w:tr w14:paraId="2D792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75" w:hRule="atLeast"/>
          <w:jc w:val="center"/>
        </w:trPr>
        <w:tc>
          <w:tcPr>
            <w:tcW w:w="878" w:type="dxa"/>
            <w:vMerge w:val="restart"/>
            <w:noWrap w:val="0"/>
            <w:vAlign w:val="center"/>
          </w:tcPr>
          <w:p w14:paraId="16DAD9D3">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7</w:t>
            </w:r>
          </w:p>
        </w:tc>
        <w:tc>
          <w:tcPr>
            <w:tcW w:w="691" w:type="dxa"/>
            <w:vMerge w:val="restart"/>
            <w:noWrap w:val="0"/>
            <w:vAlign w:val="center"/>
          </w:tcPr>
          <w:p w14:paraId="7BB6F26F">
            <w:pPr>
              <w:widowControl/>
              <w:jc w:val="left"/>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警戒疏散组</w:t>
            </w:r>
          </w:p>
        </w:tc>
        <w:tc>
          <w:tcPr>
            <w:tcW w:w="912" w:type="dxa"/>
            <w:noWrap w:val="0"/>
            <w:vAlign w:val="center"/>
          </w:tcPr>
          <w:p w14:paraId="4A073162">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组长</w:t>
            </w:r>
          </w:p>
        </w:tc>
        <w:tc>
          <w:tcPr>
            <w:tcW w:w="1031" w:type="dxa"/>
            <w:noWrap w:val="0"/>
            <w:vAlign w:val="center"/>
          </w:tcPr>
          <w:p w14:paraId="1703D9A5">
            <w:pPr>
              <w:pStyle w:val="12"/>
              <w:spacing w:beforeAutospacing="0" w:afterAutospacing="0" w:line="240" w:lineRule="auto"/>
              <w:ind w:firstLine="0" w:firstLineChars="0"/>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lang w:val="en-US" w:eastAsia="zh-CN"/>
              </w:rPr>
              <w:t>严培松</w:t>
            </w:r>
          </w:p>
        </w:tc>
        <w:tc>
          <w:tcPr>
            <w:tcW w:w="1874" w:type="dxa"/>
            <w:noWrap w:val="0"/>
            <w:vAlign w:val="center"/>
          </w:tcPr>
          <w:p w14:paraId="741B2DF3">
            <w:pPr>
              <w:pStyle w:val="12"/>
              <w:spacing w:beforeAutospacing="0" w:afterAutospacing="0" w:line="240" w:lineRule="auto"/>
              <w:ind w:firstLine="0" w:firstLineChars="0"/>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贵阳市公安局花溪分局</w:t>
            </w:r>
          </w:p>
        </w:tc>
        <w:tc>
          <w:tcPr>
            <w:tcW w:w="1294" w:type="dxa"/>
            <w:noWrap w:val="0"/>
            <w:vAlign w:val="center"/>
          </w:tcPr>
          <w:p w14:paraId="09EF72C1">
            <w:pPr>
              <w:pStyle w:val="12"/>
              <w:spacing w:beforeAutospacing="0" w:afterAutospacing="0" w:line="240" w:lineRule="auto"/>
              <w:ind w:firstLine="0" w:firstLineChars="0"/>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lang w:val="en-US" w:eastAsia="zh-CN"/>
              </w:rPr>
              <w:t>党委委员、副局长</w:t>
            </w:r>
          </w:p>
        </w:tc>
      </w:tr>
      <w:tr w14:paraId="389442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2" w:hRule="atLeast"/>
          <w:jc w:val="center"/>
        </w:trPr>
        <w:tc>
          <w:tcPr>
            <w:tcW w:w="878" w:type="dxa"/>
            <w:vMerge w:val="continue"/>
            <w:noWrap w:val="0"/>
            <w:vAlign w:val="center"/>
          </w:tcPr>
          <w:p w14:paraId="3D2105EB">
            <w:pPr>
              <w:widowControl/>
              <w:jc w:val="center"/>
              <w:rPr>
                <w:rFonts w:hint="eastAsia" w:ascii="仿宋_GB2312" w:hAnsi="仿宋_GB2312" w:eastAsia="仿宋_GB2312" w:cs="仿宋_GB2312"/>
                <w:color w:val="auto"/>
                <w:sz w:val="21"/>
                <w:szCs w:val="21"/>
              </w:rPr>
            </w:pPr>
          </w:p>
        </w:tc>
        <w:tc>
          <w:tcPr>
            <w:tcW w:w="691" w:type="dxa"/>
            <w:vMerge w:val="continue"/>
            <w:noWrap w:val="0"/>
            <w:vAlign w:val="center"/>
          </w:tcPr>
          <w:p w14:paraId="6316D3EC">
            <w:pPr>
              <w:widowControl/>
              <w:jc w:val="left"/>
              <w:rPr>
                <w:rFonts w:hint="eastAsia" w:ascii="仿宋_GB2312" w:hAnsi="仿宋_GB2312" w:eastAsia="仿宋_GB2312" w:cs="仿宋_GB2312"/>
                <w:color w:val="auto"/>
                <w:sz w:val="21"/>
                <w:szCs w:val="21"/>
              </w:rPr>
            </w:pPr>
          </w:p>
        </w:tc>
        <w:tc>
          <w:tcPr>
            <w:tcW w:w="912" w:type="dxa"/>
            <w:noWrap w:val="0"/>
            <w:vAlign w:val="center"/>
          </w:tcPr>
          <w:p w14:paraId="0DCE3A5A">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成员</w:t>
            </w:r>
          </w:p>
        </w:tc>
        <w:tc>
          <w:tcPr>
            <w:tcW w:w="1031" w:type="dxa"/>
            <w:noWrap w:val="0"/>
            <w:vAlign w:val="center"/>
          </w:tcPr>
          <w:p w14:paraId="5BAE8A3A">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周飞</w:t>
            </w:r>
          </w:p>
        </w:tc>
        <w:tc>
          <w:tcPr>
            <w:tcW w:w="1874" w:type="dxa"/>
            <w:noWrap w:val="0"/>
            <w:vAlign w:val="center"/>
          </w:tcPr>
          <w:p w14:paraId="52211D4C">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高坡乡派出所</w:t>
            </w:r>
          </w:p>
        </w:tc>
        <w:tc>
          <w:tcPr>
            <w:tcW w:w="1294" w:type="dxa"/>
            <w:noWrap w:val="0"/>
            <w:vAlign w:val="center"/>
          </w:tcPr>
          <w:p w14:paraId="59CBB2E9">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所长</w:t>
            </w:r>
          </w:p>
        </w:tc>
      </w:tr>
      <w:tr w14:paraId="027D74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2" w:hRule="atLeast"/>
          <w:jc w:val="center"/>
        </w:trPr>
        <w:tc>
          <w:tcPr>
            <w:tcW w:w="878" w:type="dxa"/>
            <w:vMerge w:val="continue"/>
            <w:noWrap w:val="0"/>
            <w:vAlign w:val="center"/>
          </w:tcPr>
          <w:p w14:paraId="7CE8966D">
            <w:pPr>
              <w:widowControl/>
              <w:jc w:val="center"/>
              <w:rPr>
                <w:rFonts w:hint="eastAsia" w:ascii="仿宋_GB2312" w:hAnsi="仿宋_GB2312" w:eastAsia="仿宋_GB2312" w:cs="仿宋_GB2312"/>
                <w:color w:val="auto"/>
                <w:sz w:val="21"/>
                <w:szCs w:val="21"/>
              </w:rPr>
            </w:pPr>
          </w:p>
        </w:tc>
        <w:tc>
          <w:tcPr>
            <w:tcW w:w="691" w:type="dxa"/>
            <w:vMerge w:val="continue"/>
            <w:noWrap w:val="0"/>
            <w:vAlign w:val="center"/>
          </w:tcPr>
          <w:p w14:paraId="0B18A008">
            <w:pPr>
              <w:widowControl/>
              <w:jc w:val="left"/>
              <w:rPr>
                <w:rFonts w:hint="eastAsia" w:ascii="仿宋_GB2312" w:hAnsi="仿宋_GB2312" w:eastAsia="仿宋_GB2312" w:cs="仿宋_GB2312"/>
                <w:color w:val="auto"/>
                <w:sz w:val="21"/>
                <w:szCs w:val="21"/>
              </w:rPr>
            </w:pPr>
          </w:p>
        </w:tc>
        <w:tc>
          <w:tcPr>
            <w:tcW w:w="912" w:type="dxa"/>
            <w:noWrap w:val="0"/>
            <w:vAlign w:val="center"/>
          </w:tcPr>
          <w:p w14:paraId="2D89BA7F">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成员</w:t>
            </w:r>
          </w:p>
        </w:tc>
        <w:tc>
          <w:tcPr>
            <w:tcW w:w="1031" w:type="dxa"/>
            <w:noWrap w:val="0"/>
            <w:vAlign w:val="center"/>
          </w:tcPr>
          <w:p w14:paraId="6102D74E">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袁刚</w:t>
            </w:r>
          </w:p>
        </w:tc>
        <w:tc>
          <w:tcPr>
            <w:tcW w:w="1874" w:type="dxa"/>
            <w:noWrap w:val="0"/>
            <w:vAlign w:val="center"/>
          </w:tcPr>
          <w:p w14:paraId="0B1451AB">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马铃乡派出所</w:t>
            </w:r>
          </w:p>
        </w:tc>
        <w:tc>
          <w:tcPr>
            <w:tcW w:w="1294" w:type="dxa"/>
            <w:noWrap w:val="0"/>
            <w:vAlign w:val="center"/>
          </w:tcPr>
          <w:p w14:paraId="7BA1F40C">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所长</w:t>
            </w:r>
          </w:p>
        </w:tc>
      </w:tr>
      <w:tr w14:paraId="78252C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2" w:hRule="atLeast"/>
          <w:jc w:val="center"/>
        </w:trPr>
        <w:tc>
          <w:tcPr>
            <w:tcW w:w="878" w:type="dxa"/>
            <w:vMerge w:val="continue"/>
            <w:noWrap w:val="0"/>
            <w:vAlign w:val="center"/>
          </w:tcPr>
          <w:p w14:paraId="42E4CE31">
            <w:pPr>
              <w:widowControl/>
              <w:jc w:val="center"/>
              <w:rPr>
                <w:rFonts w:hint="eastAsia" w:ascii="仿宋_GB2312" w:hAnsi="仿宋_GB2312" w:eastAsia="仿宋_GB2312" w:cs="仿宋_GB2312"/>
                <w:color w:val="auto"/>
                <w:sz w:val="21"/>
                <w:szCs w:val="21"/>
              </w:rPr>
            </w:pPr>
          </w:p>
        </w:tc>
        <w:tc>
          <w:tcPr>
            <w:tcW w:w="691" w:type="dxa"/>
            <w:vMerge w:val="continue"/>
            <w:noWrap w:val="0"/>
            <w:vAlign w:val="center"/>
          </w:tcPr>
          <w:p w14:paraId="537C56B6">
            <w:pPr>
              <w:widowControl/>
              <w:jc w:val="left"/>
              <w:rPr>
                <w:rFonts w:hint="eastAsia" w:ascii="仿宋_GB2312" w:hAnsi="仿宋_GB2312" w:eastAsia="仿宋_GB2312" w:cs="仿宋_GB2312"/>
                <w:color w:val="auto"/>
                <w:sz w:val="21"/>
                <w:szCs w:val="21"/>
              </w:rPr>
            </w:pPr>
          </w:p>
        </w:tc>
        <w:tc>
          <w:tcPr>
            <w:tcW w:w="912" w:type="dxa"/>
            <w:noWrap w:val="0"/>
            <w:vAlign w:val="center"/>
          </w:tcPr>
          <w:p w14:paraId="19C78AE9">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成员</w:t>
            </w:r>
          </w:p>
        </w:tc>
        <w:tc>
          <w:tcPr>
            <w:tcW w:w="1031" w:type="dxa"/>
            <w:noWrap w:val="0"/>
            <w:vAlign w:val="center"/>
          </w:tcPr>
          <w:p w14:paraId="5CB6BCC2">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朱其刚</w:t>
            </w:r>
          </w:p>
        </w:tc>
        <w:tc>
          <w:tcPr>
            <w:tcW w:w="1874" w:type="dxa"/>
            <w:noWrap w:val="0"/>
            <w:vAlign w:val="center"/>
          </w:tcPr>
          <w:p w14:paraId="6842AB78">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黔陶乡派出所</w:t>
            </w:r>
          </w:p>
        </w:tc>
        <w:tc>
          <w:tcPr>
            <w:tcW w:w="1294" w:type="dxa"/>
            <w:noWrap w:val="0"/>
            <w:vAlign w:val="center"/>
          </w:tcPr>
          <w:p w14:paraId="742E6635">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副所长</w:t>
            </w:r>
          </w:p>
        </w:tc>
      </w:tr>
      <w:tr w14:paraId="7D284A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2" w:hRule="atLeast"/>
          <w:jc w:val="center"/>
        </w:trPr>
        <w:tc>
          <w:tcPr>
            <w:tcW w:w="878" w:type="dxa"/>
            <w:vMerge w:val="continue"/>
            <w:noWrap w:val="0"/>
            <w:vAlign w:val="center"/>
          </w:tcPr>
          <w:p w14:paraId="23D4D356">
            <w:pPr>
              <w:widowControl/>
              <w:jc w:val="center"/>
              <w:rPr>
                <w:rFonts w:hint="eastAsia" w:ascii="仿宋_GB2312" w:hAnsi="仿宋_GB2312" w:eastAsia="仿宋_GB2312" w:cs="仿宋_GB2312"/>
                <w:color w:val="auto"/>
                <w:sz w:val="21"/>
                <w:szCs w:val="21"/>
              </w:rPr>
            </w:pPr>
          </w:p>
        </w:tc>
        <w:tc>
          <w:tcPr>
            <w:tcW w:w="691" w:type="dxa"/>
            <w:vMerge w:val="continue"/>
            <w:noWrap w:val="0"/>
            <w:vAlign w:val="center"/>
          </w:tcPr>
          <w:p w14:paraId="0B012553">
            <w:pPr>
              <w:widowControl/>
              <w:jc w:val="left"/>
              <w:rPr>
                <w:rFonts w:hint="eastAsia" w:ascii="仿宋_GB2312" w:hAnsi="仿宋_GB2312" w:eastAsia="仿宋_GB2312" w:cs="仿宋_GB2312"/>
                <w:color w:val="auto"/>
                <w:sz w:val="21"/>
                <w:szCs w:val="21"/>
              </w:rPr>
            </w:pPr>
          </w:p>
        </w:tc>
        <w:tc>
          <w:tcPr>
            <w:tcW w:w="912" w:type="dxa"/>
            <w:noWrap w:val="0"/>
            <w:vAlign w:val="center"/>
          </w:tcPr>
          <w:p w14:paraId="4925776C">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成员</w:t>
            </w:r>
          </w:p>
        </w:tc>
        <w:tc>
          <w:tcPr>
            <w:tcW w:w="1031" w:type="dxa"/>
            <w:noWrap w:val="0"/>
            <w:vAlign w:val="center"/>
          </w:tcPr>
          <w:p w14:paraId="6359C090">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张劲松</w:t>
            </w:r>
          </w:p>
        </w:tc>
        <w:tc>
          <w:tcPr>
            <w:tcW w:w="1874" w:type="dxa"/>
            <w:noWrap w:val="0"/>
            <w:vAlign w:val="center"/>
          </w:tcPr>
          <w:p w14:paraId="7A8B6A03">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清溪街道办派出所</w:t>
            </w:r>
          </w:p>
        </w:tc>
        <w:tc>
          <w:tcPr>
            <w:tcW w:w="1294" w:type="dxa"/>
            <w:noWrap w:val="0"/>
            <w:vAlign w:val="center"/>
          </w:tcPr>
          <w:p w14:paraId="5906E0DE">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所长</w:t>
            </w:r>
          </w:p>
        </w:tc>
      </w:tr>
      <w:tr w14:paraId="5D38A5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2" w:hRule="atLeast"/>
          <w:jc w:val="center"/>
        </w:trPr>
        <w:tc>
          <w:tcPr>
            <w:tcW w:w="878" w:type="dxa"/>
            <w:vMerge w:val="continue"/>
            <w:noWrap w:val="0"/>
            <w:vAlign w:val="center"/>
          </w:tcPr>
          <w:p w14:paraId="62D98C51">
            <w:pPr>
              <w:widowControl/>
              <w:jc w:val="center"/>
              <w:rPr>
                <w:rFonts w:hint="eastAsia" w:ascii="仿宋_GB2312" w:hAnsi="仿宋_GB2312" w:eastAsia="仿宋_GB2312" w:cs="仿宋_GB2312"/>
                <w:color w:val="auto"/>
                <w:sz w:val="21"/>
                <w:szCs w:val="21"/>
              </w:rPr>
            </w:pPr>
          </w:p>
        </w:tc>
        <w:tc>
          <w:tcPr>
            <w:tcW w:w="691" w:type="dxa"/>
            <w:vMerge w:val="continue"/>
            <w:noWrap w:val="0"/>
            <w:vAlign w:val="center"/>
          </w:tcPr>
          <w:p w14:paraId="5FEC3A14">
            <w:pPr>
              <w:widowControl/>
              <w:jc w:val="left"/>
              <w:rPr>
                <w:rFonts w:hint="eastAsia" w:ascii="仿宋_GB2312" w:hAnsi="仿宋_GB2312" w:eastAsia="仿宋_GB2312" w:cs="仿宋_GB2312"/>
                <w:color w:val="auto"/>
                <w:sz w:val="21"/>
                <w:szCs w:val="21"/>
              </w:rPr>
            </w:pPr>
          </w:p>
        </w:tc>
        <w:tc>
          <w:tcPr>
            <w:tcW w:w="912" w:type="dxa"/>
            <w:noWrap w:val="0"/>
            <w:vAlign w:val="center"/>
          </w:tcPr>
          <w:p w14:paraId="34BEADD3">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成员</w:t>
            </w:r>
          </w:p>
        </w:tc>
        <w:tc>
          <w:tcPr>
            <w:tcW w:w="1031" w:type="dxa"/>
            <w:noWrap w:val="0"/>
            <w:vAlign w:val="center"/>
          </w:tcPr>
          <w:p w14:paraId="09BD2113">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罗涛</w:t>
            </w:r>
          </w:p>
        </w:tc>
        <w:tc>
          <w:tcPr>
            <w:tcW w:w="1874" w:type="dxa"/>
            <w:noWrap w:val="0"/>
            <w:vAlign w:val="center"/>
          </w:tcPr>
          <w:p w14:paraId="4E8598E9">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石板镇派出所</w:t>
            </w:r>
          </w:p>
        </w:tc>
        <w:tc>
          <w:tcPr>
            <w:tcW w:w="1294" w:type="dxa"/>
            <w:noWrap w:val="0"/>
            <w:vAlign w:val="center"/>
          </w:tcPr>
          <w:p w14:paraId="5F7E96C5">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所长</w:t>
            </w:r>
          </w:p>
        </w:tc>
      </w:tr>
      <w:tr w14:paraId="2BBA7B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2" w:hRule="atLeast"/>
          <w:jc w:val="center"/>
        </w:trPr>
        <w:tc>
          <w:tcPr>
            <w:tcW w:w="878" w:type="dxa"/>
            <w:vMerge w:val="continue"/>
            <w:noWrap w:val="0"/>
            <w:vAlign w:val="center"/>
          </w:tcPr>
          <w:p w14:paraId="72A617FE">
            <w:pPr>
              <w:widowControl/>
              <w:jc w:val="center"/>
              <w:rPr>
                <w:rFonts w:hint="eastAsia" w:ascii="仿宋_GB2312" w:hAnsi="仿宋_GB2312" w:eastAsia="仿宋_GB2312" w:cs="仿宋_GB2312"/>
                <w:color w:val="auto"/>
                <w:sz w:val="21"/>
                <w:szCs w:val="21"/>
              </w:rPr>
            </w:pPr>
          </w:p>
        </w:tc>
        <w:tc>
          <w:tcPr>
            <w:tcW w:w="691" w:type="dxa"/>
            <w:vMerge w:val="continue"/>
            <w:noWrap w:val="0"/>
            <w:vAlign w:val="center"/>
          </w:tcPr>
          <w:p w14:paraId="0D918DA5">
            <w:pPr>
              <w:widowControl/>
              <w:jc w:val="left"/>
              <w:rPr>
                <w:rFonts w:hint="eastAsia" w:ascii="仿宋_GB2312" w:hAnsi="仿宋_GB2312" w:eastAsia="仿宋_GB2312" w:cs="仿宋_GB2312"/>
                <w:color w:val="auto"/>
                <w:sz w:val="21"/>
                <w:szCs w:val="21"/>
              </w:rPr>
            </w:pPr>
          </w:p>
        </w:tc>
        <w:tc>
          <w:tcPr>
            <w:tcW w:w="912" w:type="dxa"/>
            <w:noWrap w:val="0"/>
            <w:vAlign w:val="center"/>
          </w:tcPr>
          <w:p w14:paraId="707DCDAC">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成员</w:t>
            </w:r>
          </w:p>
        </w:tc>
        <w:tc>
          <w:tcPr>
            <w:tcW w:w="1031" w:type="dxa"/>
            <w:noWrap w:val="0"/>
            <w:vAlign w:val="center"/>
          </w:tcPr>
          <w:p w14:paraId="5BE8082B">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孟全顺</w:t>
            </w:r>
          </w:p>
        </w:tc>
        <w:tc>
          <w:tcPr>
            <w:tcW w:w="1874" w:type="dxa"/>
            <w:noWrap w:val="0"/>
            <w:vAlign w:val="center"/>
          </w:tcPr>
          <w:p w14:paraId="29F79910">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青岩镇派出所</w:t>
            </w:r>
          </w:p>
        </w:tc>
        <w:tc>
          <w:tcPr>
            <w:tcW w:w="1294" w:type="dxa"/>
            <w:noWrap w:val="0"/>
            <w:vAlign w:val="center"/>
          </w:tcPr>
          <w:p w14:paraId="7AC9BF85">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教导员</w:t>
            </w:r>
          </w:p>
        </w:tc>
      </w:tr>
      <w:tr w14:paraId="0804EE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2" w:hRule="atLeast"/>
          <w:jc w:val="center"/>
        </w:trPr>
        <w:tc>
          <w:tcPr>
            <w:tcW w:w="878" w:type="dxa"/>
            <w:vMerge w:val="continue"/>
            <w:noWrap w:val="0"/>
            <w:vAlign w:val="center"/>
          </w:tcPr>
          <w:p w14:paraId="2DD75632">
            <w:pPr>
              <w:widowControl/>
              <w:jc w:val="center"/>
              <w:rPr>
                <w:rFonts w:hint="eastAsia" w:ascii="仿宋_GB2312" w:hAnsi="仿宋_GB2312" w:eastAsia="仿宋_GB2312" w:cs="仿宋_GB2312"/>
                <w:color w:val="auto"/>
                <w:sz w:val="21"/>
                <w:szCs w:val="21"/>
              </w:rPr>
            </w:pPr>
          </w:p>
        </w:tc>
        <w:tc>
          <w:tcPr>
            <w:tcW w:w="691" w:type="dxa"/>
            <w:vMerge w:val="continue"/>
            <w:noWrap w:val="0"/>
            <w:vAlign w:val="center"/>
          </w:tcPr>
          <w:p w14:paraId="546BE55D">
            <w:pPr>
              <w:widowControl/>
              <w:jc w:val="left"/>
              <w:rPr>
                <w:rFonts w:hint="eastAsia" w:ascii="仿宋_GB2312" w:hAnsi="仿宋_GB2312" w:eastAsia="仿宋_GB2312" w:cs="仿宋_GB2312"/>
                <w:color w:val="auto"/>
                <w:sz w:val="21"/>
                <w:szCs w:val="21"/>
              </w:rPr>
            </w:pPr>
          </w:p>
        </w:tc>
        <w:tc>
          <w:tcPr>
            <w:tcW w:w="912" w:type="dxa"/>
            <w:noWrap w:val="0"/>
            <w:vAlign w:val="center"/>
          </w:tcPr>
          <w:p w14:paraId="6C45BC12">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成员</w:t>
            </w:r>
          </w:p>
        </w:tc>
        <w:tc>
          <w:tcPr>
            <w:tcW w:w="1031" w:type="dxa"/>
            <w:noWrap w:val="0"/>
            <w:vAlign w:val="center"/>
          </w:tcPr>
          <w:p w14:paraId="7CDE4725">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吴冼傧</w:t>
            </w:r>
          </w:p>
        </w:tc>
        <w:tc>
          <w:tcPr>
            <w:tcW w:w="1874" w:type="dxa"/>
            <w:noWrap w:val="0"/>
            <w:vAlign w:val="center"/>
          </w:tcPr>
          <w:p w14:paraId="2FD07643">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燕楼镇派出所</w:t>
            </w:r>
          </w:p>
        </w:tc>
        <w:tc>
          <w:tcPr>
            <w:tcW w:w="1294" w:type="dxa"/>
            <w:noWrap w:val="0"/>
            <w:vAlign w:val="center"/>
          </w:tcPr>
          <w:p w14:paraId="23217DB8">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教导员</w:t>
            </w:r>
          </w:p>
        </w:tc>
      </w:tr>
      <w:tr w14:paraId="27FA83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5" w:hRule="atLeast"/>
          <w:jc w:val="center"/>
        </w:trPr>
        <w:tc>
          <w:tcPr>
            <w:tcW w:w="878" w:type="dxa"/>
            <w:vMerge w:val="restart"/>
            <w:noWrap w:val="0"/>
            <w:vAlign w:val="center"/>
          </w:tcPr>
          <w:p w14:paraId="00556235">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8</w:t>
            </w:r>
          </w:p>
        </w:tc>
        <w:tc>
          <w:tcPr>
            <w:tcW w:w="691" w:type="dxa"/>
            <w:vMerge w:val="restart"/>
            <w:noWrap w:val="0"/>
            <w:vAlign w:val="center"/>
          </w:tcPr>
          <w:p w14:paraId="1F799487">
            <w:pPr>
              <w:widowControl/>
              <w:jc w:val="left"/>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社会维稳组</w:t>
            </w:r>
          </w:p>
        </w:tc>
        <w:tc>
          <w:tcPr>
            <w:tcW w:w="912" w:type="dxa"/>
            <w:noWrap w:val="0"/>
            <w:vAlign w:val="center"/>
          </w:tcPr>
          <w:p w14:paraId="2412CFE6">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组长</w:t>
            </w:r>
          </w:p>
        </w:tc>
        <w:tc>
          <w:tcPr>
            <w:tcW w:w="1031" w:type="dxa"/>
            <w:noWrap w:val="0"/>
            <w:vAlign w:val="center"/>
          </w:tcPr>
          <w:p w14:paraId="055CAFCB">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谭永龙</w:t>
            </w:r>
          </w:p>
        </w:tc>
        <w:tc>
          <w:tcPr>
            <w:tcW w:w="1874" w:type="dxa"/>
            <w:noWrap w:val="0"/>
            <w:vAlign w:val="center"/>
          </w:tcPr>
          <w:p w14:paraId="4573496E">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kern w:val="0"/>
                <w:sz w:val="21"/>
                <w:szCs w:val="21"/>
              </w:rPr>
              <w:t>区委政法委</w:t>
            </w:r>
          </w:p>
        </w:tc>
        <w:tc>
          <w:tcPr>
            <w:tcW w:w="1294" w:type="dxa"/>
            <w:noWrap w:val="0"/>
            <w:vAlign w:val="center"/>
          </w:tcPr>
          <w:p w14:paraId="0C2EB1CA">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副主任</w:t>
            </w:r>
          </w:p>
        </w:tc>
      </w:tr>
      <w:tr w14:paraId="6BBEEE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08" w:hRule="atLeast"/>
          <w:jc w:val="center"/>
        </w:trPr>
        <w:tc>
          <w:tcPr>
            <w:tcW w:w="878" w:type="dxa"/>
            <w:vMerge w:val="continue"/>
            <w:noWrap w:val="0"/>
            <w:vAlign w:val="center"/>
          </w:tcPr>
          <w:p w14:paraId="3589CF3D">
            <w:pPr>
              <w:widowControl/>
              <w:jc w:val="center"/>
              <w:rPr>
                <w:rFonts w:hint="eastAsia" w:ascii="仿宋_GB2312" w:hAnsi="仿宋_GB2312" w:eastAsia="仿宋_GB2312" w:cs="仿宋_GB2312"/>
                <w:color w:val="auto"/>
                <w:sz w:val="21"/>
                <w:szCs w:val="21"/>
              </w:rPr>
            </w:pPr>
          </w:p>
        </w:tc>
        <w:tc>
          <w:tcPr>
            <w:tcW w:w="691" w:type="dxa"/>
            <w:vMerge w:val="continue"/>
            <w:noWrap w:val="0"/>
            <w:vAlign w:val="center"/>
          </w:tcPr>
          <w:p w14:paraId="1B3F5AFA">
            <w:pPr>
              <w:widowControl/>
              <w:jc w:val="left"/>
              <w:rPr>
                <w:rFonts w:hint="eastAsia" w:ascii="仿宋_GB2312" w:hAnsi="仿宋_GB2312" w:eastAsia="仿宋_GB2312" w:cs="仿宋_GB2312"/>
                <w:color w:val="auto"/>
                <w:sz w:val="21"/>
                <w:szCs w:val="21"/>
              </w:rPr>
            </w:pPr>
          </w:p>
        </w:tc>
        <w:tc>
          <w:tcPr>
            <w:tcW w:w="912" w:type="dxa"/>
            <w:noWrap w:val="0"/>
            <w:vAlign w:val="center"/>
          </w:tcPr>
          <w:p w14:paraId="332382CA">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成员</w:t>
            </w:r>
          </w:p>
        </w:tc>
        <w:tc>
          <w:tcPr>
            <w:tcW w:w="1031" w:type="dxa"/>
            <w:noWrap w:val="0"/>
            <w:vAlign w:val="center"/>
          </w:tcPr>
          <w:p w14:paraId="2F91508E">
            <w:pPr>
              <w:pStyle w:val="12"/>
              <w:spacing w:beforeAutospacing="0" w:afterAutospacing="0" w:line="240" w:lineRule="auto"/>
              <w:ind w:firstLine="0" w:firstLineChars="0"/>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lang w:val="en-US" w:eastAsia="zh-CN"/>
              </w:rPr>
              <w:t>严培松</w:t>
            </w:r>
          </w:p>
        </w:tc>
        <w:tc>
          <w:tcPr>
            <w:tcW w:w="1874" w:type="dxa"/>
            <w:noWrap w:val="0"/>
            <w:vAlign w:val="center"/>
          </w:tcPr>
          <w:p w14:paraId="66B939C2">
            <w:pPr>
              <w:pStyle w:val="12"/>
              <w:spacing w:beforeAutospacing="0" w:afterAutospacing="0" w:line="240" w:lineRule="auto"/>
              <w:ind w:firstLine="0" w:firstLineChars="0"/>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贵阳市公安局花溪分局</w:t>
            </w:r>
          </w:p>
        </w:tc>
        <w:tc>
          <w:tcPr>
            <w:tcW w:w="1294" w:type="dxa"/>
            <w:noWrap w:val="0"/>
            <w:vAlign w:val="center"/>
          </w:tcPr>
          <w:p w14:paraId="762E968D">
            <w:pPr>
              <w:pStyle w:val="12"/>
              <w:spacing w:beforeAutospacing="0" w:afterAutospacing="0" w:line="240" w:lineRule="auto"/>
              <w:ind w:firstLine="0" w:firstLineChars="0"/>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lang w:val="en-US" w:eastAsia="zh-CN"/>
              </w:rPr>
              <w:t>党委委员、副局长</w:t>
            </w:r>
          </w:p>
        </w:tc>
      </w:tr>
      <w:tr w14:paraId="7FA2F7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08" w:hRule="atLeast"/>
          <w:jc w:val="center"/>
        </w:trPr>
        <w:tc>
          <w:tcPr>
            <w:tcW w:w="878" w:type="dxa"/>
            <w:vMerge w:val="continue"/>
            <w:noWrap w:val="0"/>
            <w:vAlign w:val="center"/>
          </w:tcPr>
          <w:p w14:paraId="1C7CDB75">
            <w:pPr>
              <w:widowControl/>
              <w:jc w:val="center"/>
              <w:rPr>
                <w:rFonts w:hint="eastAsia" w:ascii="仿宋_GB2312" w:hAnsi="仿宋_GB2312" w:eastAsia="仿宋_GB2312" w:cs="仿宋_GB2312"/>
                <w:color w:val="auto"/>
                <w:sz w:val="21"/>
                <w:szCs w:val="21"/>
              </w:rPr>
            </w:pPr>
          </w:p>
        </w:tc>
        <w:tc>
          <w:tcPr>
            <w:tcW w:w="691" w:type="dxa"/>
            <w:vMerge w:val="continue"/>
            <w:noWrap w:val="0"/>
            <w:vAlign w:val="center"/>
          </w:tcPr>
          <w:p w14:paraId="5918F3FD">
            <w:pPr>
              <w:widowControl/>
              <w:jc w:val="left"/>
              <w:rPr>
                <w:rFonts w:hint="eastAsia" w:ascii="仿宋_GB2312" w:hAnsi="仿宋_GB2312" w:eastAsia="仿宋_GB2312" w:cs="仿宋_GB2312"/>
                <w:color w:val="auto"/>
                <w:sz w:val="21"/>
                <w:szCs w:val="21"/>
              </w:rPr>
            </w:pPr>
          </w:p>
        </w:tc>
        <w:tc>
          <w:tcPr>
            <w:tcW w:w="912" w:type="dxa"/>
            <w:noWrap w:val="0"/>
            <w:vAlign w:val="center"/>
          </w:tcPr>
          <w:p w14:paraId="798FD4DC">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成员</w:t>
            </w:r>
          </w:p>
        </w:tc>
        <w:tc>
          <w:tcPr>
            <w:tcW w:w="1031" w:type="dxa"/>
            <w:noWrap w:val="0"/>
            <w:vAlign w:val="center"/>
          </w:tcPr>
          <w:p w14:paraId="6340A7AA">
            <w:pPr>
              <w:pStyle w:val="12"/>
              <w:spacing w:beforeAutospacing="0" w:afterAutospacing="0" w:line="240" w:lineRule="auto"/>
              <w:ind w:firstLine="0" w:firstLineChars="0"/>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蔡  舟</w:t>
            </w:r>
          </w:p>
        </w:tc>
        <w:tc>
          <w:tcPr>
            <w:tcW w:w="1874" w:type="dxa"/>
            <w:noWrap w:val="0"/>
            <w:vAlign w:val="center"/>
          </w:tcPr>
          <w:p w14:paraId="21960572">
            <w:pPr>
              <w:pStyle w:val="12"/>
              <w:spacing w:beforeAutospacing="0" w:afterAutospacing="0" w:line="240" w:lineRule="auto"/>
              <w:ind w:firstLine="0" w:firstLineChars="0"/>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花溪区民政局</w:t>
            </w:r>
          </w:p>
        </w:tc>
        <w:tc>
          <w:tcPr>
            <w:tcW w:w="1294" w:type="dxa"/>
            <w:noWrap w:val="0"/>
            <w:vAlign w:val="center"/>
          </w:tcPr>
          <w:p w14:paraId="79A13971">
            <w:pPr>
              <w:pStyle w:val="12"/>
              <w:spacing w:beforeAutospacing="0" w:afterAutospacing="0" w:line="240" w:lineRule="auto"/>
              <w:ind w:firstLine="0" w:firstLineChars="0"/>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局长</w:t>
            </w:r>
          </w:p>
        </w:tc>
      </w:tr>
      <w:tr w14:paraId="098FED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1" w:hRule="atLeast"/>
          <w:jc w:val="center"/>
        </w:trPr>
        <w:tc>
          <w:tcPr>
            <w:tcW w:w="878" w:type="dxa"/>
            <w:vMerge w:val="continue"/>
            <w:noWrap w:val="0"/>
            <w:vAlign w:val="center"/>
          </w:tcPr>
          <w:p w14:paraId="34D8C0DE">
            <w:pPr>
              <w:widowControl/>
              <w:jc w:val="center"/>
              <w:rPr>
                <w:rFonts w:hint="eastAsia" w:ascii="仿宋_GB2312" w:hAnsi="仿宋_GB2312" w:eastAsia="仿宋_GB2312" w:cs="仿宋_GB2312"/>
                <w:color w:val="auto"/>
                <w:sz w:val="21"/>
                <w:szCs w:val="21"/>
              </w:rPr>
            </w:pPr>
          </w:p>
        </w:tc>
        <w:tc>
          <w:tcPr>
            <w:tcW w:w="691" w:type="dxa"/>
            <w:vMerge w:val="continue"/>
            <w:noWrap w:val="0"/>
            <w:vAlign w:val="center"/>
          </w:tcPr>
          <w:p w14:paraId="579A7C83">
            <w:pPr>
              <w:widowControl/>
              <w:jc w:val="left"/>
              <w:rPr>
                <w:rFonts w:hint="eastAsia" w:ascii="仿宋_GB2312" w:hAnsi="仿宋_GB2312" w:eastAsia="仿宋_GB2312" w:cs="仿宋_GB2312"/>
                <w:color w:val="auto"/>
                <w:sz w:val="21"/>
                <w:szCs w:val="21"/>
              </w:rPr>
            </w:pPr>
          </w:p>
        </w:tc>
        <w:tc>
          <w:tcPr>
            <w:tcW w:w="912" w:type="dxa"/>
            <w:noWrap w:val="0"/>
            <w:vAlign w:val="center"/>
          </w:tcPr>
          <w:p w14:paraId="61AA2B29">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成员</w:t>
            </w:r>
          </w:p>
        </w:tc>
        <w:tc>
          <w:tcPr>
            <w:tcW w:w="1031" w:type="dxa"/>
            <w:noWrap w:val="0"/>
            <w:vAlign w:val="center"/>
          </w:tcPr>
          <w:p w14:paraId="2347D5BF">
            <w:pPr>
              <w:widowControl/>
              <w:jc w:val="center"/>
              <w:rPr>
                <w:rFonts w:hint="eastAsia" w:ascii="仿宋_GB2312" w:hAnsi="仿宋_GB2312" w:eastAsia="仿宋_GB2312" w:cs="仿宋_GB2312"/>
                <w:color w:val="auto"/>
                <w:sz w:val="21"/>
                <w:szCs w:val="21"/>
                <w:lang w:eastAsia="zh-CN"/>
              </w:rPr>
            </w:pPr>
            <w:r>
              <w:rPr>
                <w:rFonts w:hint="eastAsia" w:ascii="仿宋_GB2312" w:hAnsi="仿宋_GB2312" w:eastAsia="仿宋_GB2312" w:cs="仿宋_GB2312"/>
                <w:color w:val="auto"/>
                <w:sz w:val="21"/>
                <w:szCs w:val="21"/>
                <w:lang w:eastAsia="zh-CN"/>
              </w:rPr>
              <w:t>刘梦洋</w:t>
            </w:r>
          </w:p>
        </w:tc>
        <w:tc>
          <w:tcPr>
            <w:tcW w:w="1874" w:type="dxa"/>
            <w:noWrap w:val="0"/>
            <w:vAlign w:val="center"/>
          </w:tcPr>
          <w:p w14:paraId="31361E65">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高坡乡人民政府</w:t>
            </w:r>
          </w:p>
        </w:tc>
        <w:tc>
          <w:tcPr>
            <w:tcW w:w="1294" w:type="dxa"/>
            <w:noWrap w:val="0"/>
            <w:vAlign w:val="center"/>
          </w:tcPr>
          <w:p w14:paraId="198B6C40">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党委副书记、政法委书记</w:t>
            </w:r>
          </w:p>
        </w:tc>
      </w:tr>
      <w:tr w14:paraId="0FBC45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1" w:hRule="atLeast"/>
          <w:jc w:val="center"/>
        </w:trPr>
        <w:tc>
          <w:tcPr>
            <w:tcW w:w="878" w:type="dxa"/>
            <w:vMerge w:val="continue"/>
            <w:noWrap w:val="0"/>
            <w:vAlign w:val="center"/>
          </w:tcPr>
          <w:p w14:paraId="6A8CC63E">
            <w:pPr>
              <w:widowControl/>
              <w:jc w:val="center"/>
              <w:rPr>
                <w:rFonts w:hint="eastAsia" w:ascii="仿宋_GB2312" w:hAnsi="仿宋_GB2312" w:eastAsia="仿宋_GB2312" w:cs="仿宋_GB2312"/>
                <w:color w:val="auto"/>
                <w:sz w:val="21"/>
                <w:szCs w:val="21"/>
              </w:rPr>
            </w:pPr>
          </w:p>
        </w:tc>
        <w:tc>
          <w:tcPr>
            <w:tcW w:w="691" w:type="dxa"/>
            <w:vMerge w:val="continue"/>
            <w:noWrap w:val="0"/>
            <w:vAlign w:val="center"/>
          </w:tcPr>
          <w:p w14:paraId="2DB056CD">
            <w:pPr>
              <w:widowControl/>
              <w:jc w:val="left"/>
              <w:rPr>
                <w:rFonts w:hint="eastAsia" w:ascii="仿宋_GB2312" w:hAnsi="仿宋_GB2312" w:eastAsia="仿宋_GB2312" w:cs="仿宋_GB2312"/>
                <w:color w:val="auto"/>
                <w:sz w:val="21"/>
                <w:szCs w:val="21"/>
              </w:rPr>
            </w:pPr>
          </w:p>
        </w:tc>
        <w:tc>
          <w:tcPr>
            <w:tcW w:w="912" w:type="dxa"/>
            <w:noWrap w:val="0"/>
            <w:vAlign w:val="center"/>
          </w:tcPr>
          <w:p w14:paraId="58A7E6E0">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成员</w:t>
            </w:r>
          </w:p>
        </w:tc>
        <w:tc>
          <w:tcPr>
            <w:tcW w:w="1031" w:type="dxa"/>
            <w:noWrap w:val="0"/>
            <w:vAlign w:val="center"/>
          </w:tcPr>
          <w:p w14:paraId="40D0BE40">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刘龙</w:t>
            </w:r>
          </w:p>
        </w:tc>
        <w:tc>
          <w:tcPr>
            <w:tcW w:w="1874" w:type="dxa"/>
            <w:noWrap w:val="0"/>
            <w:vAlign w:val="center"/>
          </w:tcPr>
          <w:p w14:paraId="3FDFDB70">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马铃乡人民政府</w:t>
            </w:r>
          </w:p>
        </w:tc>
        <w:tc>
          <w:tcPr>
            <w:tcW w:w="1294" w:type="dxa"/>
            <w:noWrap w:val="0"/>
            <w:vAlign w:val="center"/>
          </w:tcPr>
          <w:p w14:paraId="00889E16">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四级主任科员</w:t>
            </w:r>
          </w:p>
        </w:tc>
      </w:tr>
      <w:tr w14:paraId="30422A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1" w:hRule="atLeast"/>
          <w:jc w:val="center"/>
        </w:trPr>
        <w:tc>
          <w:tcPr>
            <w:tcW w:w="878" w:type="dxa"/>
            <w:vMerge w:val="continue"/>
            <w:noWrap w:val="0"/>
            <w:vAlign w:val="center"/>
          </w:tcPr>
          <w:p w14:paraId="54434678">
            <w:pPr>
              <w:widowControl/>
              <w:jc w:val="center"/>
              <w:rPr>
                <w:rFonts w:hint="eastAsia" w:ascii="仿宋_GB2312" w:hAnsi="仿宋_GB2312" w:eastAsia="仿宋_GB2312" w:cs="仿宋_GB2312"/>
                <w:color w:val="auto"/>
                <w:sz w:val="21"/>
                <w:szCs w:val="21"/>
              </w:rPr>
            </w:pPr>
          </w:p>
        </w:tc>
        <w:tc>
          <w:tcPr>
            <w:tcW w:w="691" w:type="dxa"/>
            <w:vMerge w:val="continue"/>
            <w:noWrap w:val="0"/>
            <w:vAlign w:val="center"/>
          </w:tcPr>
          <w:p w14:paraId="769BCE3D">
            <w:pPr>
              <w:widowControl/>
              <w:jc w:val="left"/>
              <w:rPr>
                <w:rFonts w:hint="eastAsia" w:ascii="仿宋_GB2312" w:hAnsi="仿宋_GB2312" w:eastAsia="仿宋_GB2312" w:cs="仿宋_GB2312"/>
                <w:color w:val="auto"/>
                <w:sz w:val="21"/>
                <w:szCs w:val="21"/>
              </w:rPr>
            </w:pPr>
          </w:p>
        </w:tc>
        <w:tc>
          <w:tcPr>
            <w:tcW w:w="912" w:type="dxa"/>
            <w:noWrap w:val="0"/>
            <w:vAlign w:val="center"/>
          </w:tcPr>
          <w:p w14:paraId="6B5E509C">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成员</w:t>
            </w:r>
          </w:p>
        </w:tc>
        <w:tc>
          <w:tcPr>
            <w:tcW w:w="1031" w:type="dxa"/>
            <w:noWrap w:val="0"/>
            <w:vAlign w:val="center"/>
          </w:tcPr>
          <w:p w14:paraId="22C52C52">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刘海川</w:t>
            </w:r>
          </w:p>
        </w:tc>
        <w:tc>
          <w:tcPr>
            <w:tcW w:w="1874" w:type="dxa"/>
            <w:noWrap w:val="0"/>
            <w:vAlign w:val="center"/>
          </w:tcPr>
          <w:p w14:paraId="186CA773">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黔陶乡人民政府</w:t>
            </w:r>
          </w:p>
        </w:tc>
        <w:tc>
          <w:tcPr>
            <w:tcW w:w="1294" w:type="dxa"/>
            <w:noWrap w:val="0"/>
            <w:vAlign w:val="center"/>
          </w:tcPr>
          <w:p w14:paraId="2699E882">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副乡长</w:t>
            </w:r>
          </w:p>
        </w:tc>
      </w:tr>
      <w:tr w14:paraId="1F4E74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1" w:hRule="atLeast"/>
          <w:jc w:val="center"/>
        </w:trPr>
        <w:tc>
          <w:tcPr>
            <w:tcW w:w="878" w:type="dxa"/>
            <w:vMerge w:val="continue"/>
            <w:noWrap w:val="0"/>
            <w:vAlign w:val="center"/>
          </w:tcPr>
          <w:p w14:paraId="24FEACBE">
            <w:pPr>
              <w:widowControl/>
              <w:jc w:val="center"/>
              <w:rPr>
                <w:rFonts w:hint="eastAsia" w:ascii="仿宋_GB2312" w:hAnsi="仿宋_GB2312" w:eastAsia="仿宋_GB2312" w:cs="仿宋_GB2312"/>
                <w:color w:val="auto"/>
                <w:sz w:val="21"/>
                <w:szCs w:val="21"/>
              </w:rPr>
            </w:pPr>
          </w:p>
        </w:tc>
        <w:tc>
          <w:tcPr>
            <w:tcW w:w="691" w:type="dxa"/>
            <w:vMerge w:val="continue"/>
            <w:noWrap w:val="0"/>
            <w:vAlign w:val="center"/>
          </w:tcPr>
          <w:p w14:paraId="30FAB5B2">
            <w:pPr>
              <w:widowControl/>
              <w:jc w:val="left"/>
              <w:rPr>
                <w:rFonts w:hint="eastAsia" w:ascii="仿宋_GB2312" w:hAnsi="仿宋_GB2312" w:eastAsia="仿宋_GB2312" w:cs="仿宋_GB2312"/>
                <w:color w:val="auto"/>
                <w:sz w:val="21"/>
                <w:szCs w:val="21"/>
              </w:rPr>
            </w:pPr>
          </w:p>
        </w:tc>
        <w:tc>
          <w:tcPr>
            <w:tcW w:w="912" w:type="dxa"/>
            <w:noWrap w:val="0"/>
            <w:vAlign w:val="center"/>
          </w:tcPr>
          <w:p w14:paraId="32EA9F3F">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成员</w:t>
            </w:r>
          </w:p>
        </w:tc>
        <w:tc>
          <w:tcPr>
            <w:tcW w:w="1031" w:type="dxa"/>
            <w:noWrap w:val="0"/>
            <w:vAlign w:val="center"/>
          </w:tcPr>
          <w:p w14:paraId="26E2E92C">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何耘</w:t>
            </w:r>
          </w:p>
        </w:tc>
        <w:tc>
          <w:tcPr>
            <w:tcW w:w="1874" w:type="dxa"/>
            <w:noWrap w:val="0"/>
            <w:vAlign w:val="center"/>
          </w:tcPr>
          <w:p w14:paraId="0941C8DC">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清溪街道办</w:t>
            </w:r>
          </w:p>
        </w:tc>
        <w:tc>
          <w:tcPr>
            <w:tcW w:w="1294" w:type="dxa"/>
            <w:noWrap w:val="0"/>
            <w:vAlign w:val="center"/>
          </w:tcPr>
          <w:p w14:paraId="09646C94">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优化营商环境服务中心主任</w:t>
            </w:r>
          </w:p>
        </w:tc>
      </w:tr>
      <w:tr w14:paraId="1ADE29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1" w:hRule="atLeast"/>
          <w:jc w:val="center"/>
        </w:trPr>
        <w:tc>
          <w:tcPr>
            <w:tcW w:w="878" w:type="dxa"/>
            <w:vMerge w:val="continue"/>
            <w:noWrap w:val="0"/>
            <w:vAlign w:val="center"/>
          </w:tcPr>
          <w:p w14:paraId="0DB159A7">
            <w:pPr>
              <w:widowControl/>
              <w:jc w:val="center"/>
              <w:rPr>
                <w:rFonts w:hint="eastAsia" w:ascii="仿宋_GB2312" w:hAnsi="仿宋_GB2312" w:eastAsia="仿宋_GB2312" w:cs="仿宋_GB2312"/>
                <w:color w:val="auto"/>
                <w:sz w:val="21"/>
                <w:szCs w:val="21"/>
              </w:rPr>
            </w:pPr>
          </w:p>
        </w:tc>
        <w:tc>
          <w:tcPr>
            <w:tcW w:w="691" w:type="dxa"/>
            <w:vMerge w:val="continue"/>
            <w:noWrap w:val="0"/>
            <w:vAlign w:val="center"/>
          </w:tcPr>
          <w:p w14:paraId="1BC016AD">
            <w:pPr>
              <w:widowControl/>
              <w:jc w:val="left"/>
              <w:rPr>
                <w:rFonts w:hint="eastAsia" w:ascii="仿宋_GB2312" w:hAnsi="仿宋_GB2312" w:eastAsia="仿宋_GB2312" w:cs="仿宋_GB2312"/>
                <w:color w:val="auto"/>
                <w:sz w:val="21"/>
                <w:szCs w:val="21"/>
              </w:rPr>
            </w:pPr>
          </w:p>
        </w:tc>
        <w:tc>
          <w:tcPr>
            <w:tcW w:w="912" w:type="dxa"/>
            <w:noWrap w:val="0"/>
            <w:vAlign w:val="center"/>
          </w:tcPr>
          <w:p w14:paraId="639A1954">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成员</w:t>
            </w:r>
          </w:p>
        </w:tc>
        <w:tc>
          <w:tcPr>
            <w:tcW w:w="1031" w:type="dxa"/>
            <w:noWrap w:val="0"/>
            <w:vAlign w:val="center"/>
          </w:tcPr>
          <w:p w14:paraId="68C4EA32">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刘泓吟</w:t>
            </w:r>
          </w:p>
        </w:tc>
        <w:tc>
          <w:tcPr>
            <w:tcW w:w="1874" w:type="dxa"/>
            <w:noWrap w:val="0"/>
            <w:vAlign w:val="center"/>
          </w:tcPr>
          <w:p w14:paraId="79B8B936">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石板镇人民政府</w:t>
            </w:r>
          </w:p>
        </w:tc>
        <w:tc>
          <w:tcPr>
            <w:tcW w:w="1294" w:type="dxa"/>
            <w:noWrap w:val="0"/>
            <w:vAlign w:val="center"/>
          </w:tcPr>
          <w:p w14:paraId="19197DDC">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副镇长</w:t>
            </w:r>
          </w:p>
        </w:tc>
      </w:tr>
      <w:tr w14:paraId="2871B0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1" w:hRule="atLeast"/>
          <w:jc w:val="center"/>
        </w:trPr>
        <w:tc>
          <w:tcPr>
            <w:tcW w:w="878" w:type="dxa"/>
            <w:vMerge w:val="continue"/>
            <w:noWrap w:val="0"/>
            <w:vAlign w:val="center"/>
          </w:tcPr>
          <w:p w14:paraId="7313FEC6">
            <w:pPr>
              <w:widowControl/>
              <w:jc w:val="center"/>
              <w:rPr>
                <w:rFonts w:hint="eastAsia" w:ascii="仿宋_GB2312" w:hAnsi="仿宋_GB2312" w:eastAsia="仿宋_GB2312" w:cs="仿宋_GB2312"/>
                <w:color w:val="auto"/>
                <w:sz w:val="21"/>
                <w:szCs w:val="21"/>
              </w:rPr>
            </w:pPr>
          </w:p>
        </w:tc>
        <w:tc>
          <w:tcPr>
            <w:tcW w:w="691" w:type="dxa"/>
            <w:vMerge w:val="continue"/>
            <w:noWrap w:val="0"/>
            <w:vAlign w:val="center"/>
          </w:tcPr>
          <w:p w14:paraId="6F31A455">
            <w:pPr>
              <w:widowControl/>
              <w:jc w:val="left"/>
              <w:rPr>
                <w:rFonts w:hint="eastAsia" w:ascii="仿宋_GB2312" w:hAnsi="仿宋_GB2312" w:eastAsia="仿宋_GB2312" w:cs="仿宋_GB2312"/>
                <w:color w:val="auto"/>
                <w:sz w:val="21"/>
                <w:szCs w:val="21"/>
              </w:rPr>
            </w:pPr>
          </w:p>
        </w:tc>
        <w:tc>
          <w:tcPr>
            <w:tcW w:w="912" w:type="dxa"/>
            <w:noWrap w:val="0"/>
            <w:vAlign w:val="center"/>
          </w:tcPr>
          <w:p w14:paraId="414F660E">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成员</w:t>
            </w:r>
          </w:p>
        </w:tc>
        <w:tc>
          <w:tcPr>
            <w:tcW w:w="1031" w:type="dxa"/>
            <w:noWrap w:val="0"/>
            <w:vAlign w:val="center"/>
          </w:tcPr>
          <w:p w14:paraId="708150E7">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蔡鹏程</w:t>
            </w:r>
          </w:p>
        </w:tc>
        <w:tc>
          <w:tcPr>
            <w:tcW w:w="1874" w:type="dxa"/>
            <w:noWrap w:val="0"/>
            <w:vAlign w:val="center"/>
          </w:tcPr>
          <w:p w14:paraId="68A8E588">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青岩镇人民政府</w:t>
            </w:r>
          </w:p>
        </w:tc>
        <w:tc>
          <w:tcPr>
            <w:tcW w:w="1294" w:type="dxa"/>
            <w:noWrap w:val="0"/>
            <w:vAlign w:val="center"/>
          </w:tcPr>
          <w:p w14:paraId="2F1E204B">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副镇长</w:t>
            </w:r>
          </w:p>
        </w:tc>
      </w:tr>
      <w:tr w14:paraId="4BE7A2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1" w:hRule="atLeast"/>
          <w:jc w:val="center"/>
        </w:trPr>
        <w:tc>
          <w:tcPr>
            <w:tcW w:w="878" w:type="dxa"/>
            <w:vMerge w:val="continue"/>
            <w:noWrap w:val="0"/>
            <w:vAlign w:val="center"/>
          </w:tcPr>
          <w:p w14:paraId="3794DD71">
            <w:pPr>
              <w:widowControl/>
              <w:jc w:val="center"/>
              <w:rPr>
                <w:rFonts w:hint="eastAsia" w:ascii="仿宋_GB2312" w:hAnsi="仿宋_GB2312" w:eastAsia="仿宋_GB2312" w:cs="仿宋_GB2312"/>
                <w:color w:val="auto"/>
                <w:sz w:val="21"/>
                <w:szCs w:val="21"/>
              </w:rPr>
            </w:pPr>
          </w:p>
        </w:tc>
        <w:tc>
          <w:tcPr>
            <w:tcW w:w="691" w:type="dxa"/>
            <w:vMerge w:val="continue"/>
            <w:noWrap w:val="0"/>
            <w:vAlign w:val="center"/>
          </w:tcPr>
          <w:p w14:paraId="40D8FBAB">
            <w:pPr>
              <w:widowControl/>
              <w:jc w:val="left"/>
              <w:rPr>
                <w:rFonts w:hint="eastAsia" w:ascii="仿宋_GB2312" w:hAnsi="仿宋_GB2312" w:eastAsia="仿宋_GB2312" w:cs="仿宋_GB2312"/>
                <w:color w:val="auto"/>
                <w:sz w:val="21"/>
                <w:szCs w:val="21"/>
              </w:rPr>
            </w:pPr>
          </w:p>
        </w:tc>
        <w:tc>
          <w:tcPr>
            <w:tcW w:w="912" w:type="dxa"/>
            <w:noWrap w:val="0"/>
            <w:vAlign w:val="center"/>
          </w:tcPr>
          <w:p w14:paraId="2FCBF86A">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成员</w:t>
            </w:r>
          </w:p>
        </w:tc>
        <w:tc>
          <w:tcPr>
            <w:tcW w:w="1031" w:type="dxa"/>
            <w:noWrap w:val="0"/>
            <w:vAlign w:val="center"/>
          </w:tcPr>
          <w:p w14:paraId="0564DEB4">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王林</w:t>
            </w:r>
          </w:p>
        </w:tc>
        <w:tc>
          <w:tcPr>
            <w:tcW w:w="1874" w:type="dxa"/>
            <w:noWrap w:val="0"/>
            <w:vAlign w:val="center"/>
          </w:tcPr>
          <w:p w14:paraId="080AAD77">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燕楼镇人民政府</w:t>
            </w:r>
          </w:p>
        </w:tc>
        <w:tc>
          <w:tcPr>
            <w:tcW w:w="1294" w:type="dxa"/>
            <w:noWrap w:val="0"/>
            <w:vAlign w:val="center"/>
          </w:tcPr>
          <w:p w14:paraId="175383F8">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副镇长</w:t>
            </w:r>
          </w:p>
        </w:tc>
      </w:tr>
      <w:tr w14:paraId="0EAC7A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67" w:hRule="atLeast"/>
          <w:jc w:val="center"/>
        </w:trPr>
        <w:tc>
          <w:tcPr>
            <w:tcW w:w="878" w:type="dxa"/>
            <w:vMerge w:val="restart"/>
            <w:noWrap w:val="0"/>
            <w:vAlign w:val="center"/>
          </w:tcPr>
          <w:p w14:paraId="3982C3A2">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9</w:t>
            </w:r>
          </w:p>
        </w:tc>
        <w:tc>
          <w:tcPr>
            <w:tcW w:w="691" w:type="dxa"/>
            <w:vMerge w:val="restart"/>
            <w:noWrap w:val="0"/>
            <w:vAlign w:val="center"/>
          </w:tcPr>
          <w:p w14:paraId="6871B505">
            <w:pPr>
              <w:widowControl/>
              <w:jc w:val="left"/>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新闻宣传组</w:t>
            </w:r>
          </w:p>
        </w:tc>
        <w:tc>
          <w:tcPr>
            <w:tcW w:w="912" w:type="dxa"/>
            <w:noWrap w:val="0"/>
            <w:vAlign w:val="center"/>
          </w:tcPr>
          <w:p w14:paraId="671A912F">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组长</w:t>
            </w:r>
          </w:p>
        </w:tc>
        <w:tc>
          <w:tcPr>
            <w:tcW w:w="1031" w:type="dxa"/>
            <w:noWrap w:val="0"/>
            <w:vAlign w:val="center"/>
          </w:tcPr>
          <w:p w14:paraId="7835E327">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杨晓娟</w:t>
            </w:r>
          </w:p>
        </w:tc>
        <w:tc>
          <w:tcPr>
            <w:tcW w:w="1874" w:type="dxa"/>
            <w:noWrap w:val="0"/>
            <w:vAlign w:val="center"/>
          </w:tcPr>
          <w:p w14:paraId="3F3D1145">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花溪区委宣传部</w:t>
            </w:r>
          </w:p>
        </w:tc>
        <w:tc>
          <w:tcPr>
            <w:tcW w:w="1294" w:type="dxa"/>
            <w:noWrap w:val="0"/>
            <w:vAlign w:val="center"/>
          </w:tcPr>
          <w:p w14:paraId="4D96D8F9">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常务副部长</w:t>
            </w:r>
          </w:p>
        </w:tc>
      </w:tr>
      <w:tr w14:paraId="77E878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40" w:hRule="atLeast"/>
          <w:jc w:val="center"/>
        </w:trPr>
        <w:tc>
          <w:tcPr>
            <w:tcW w:w="878" w:type="dxa"/>
            <w:vMerge w:val="continue"/>
            <w:noWrap w:val="0"/>
            <w:vAlign w:val="center"/>
          </w:tcPr>
          <w:p w14:paraId="27B977CB">
            <w:pPr>
              <w:widowControl/>
              <w:jc w:val="center"/>
              <w:rPr>
                <w:rFonts w:hint="eastAsia" w:ascii="仿宋_GB2312" w:hAnsi="仿宋_GB2312" w:eastAsia="仿宋_GB2312" w:cs="仿宋_GB2312"/>
                <w:color w:val="auto"/>
                <w:sz w:val="21"/>
                <w:szCs w:val="21"/>
              </w:rPr>
            </w:pPr>
          </w:p>
        </w:tc>
        <w:tc>
          <w:tcPr>
            <w:tcW w:w="691" w:type="dxa"/>
            <w:vMerge w:val="continue"/>
            <w:noWrap w:val="0"/>
            <w:vAlign w:val="center"/>
          </w:tcPr>
          <w:p w14:paraId="7313317A">
            <w:pPr>
              <w:widowControl/>
              <w:jc w:val="left"/>
              <w:rPr>
                <w:rFonts w:hint="eastAsia" w:ascii="仿宋_GB2312" w:hAnsi="仿宋_GB2312" w:eastAsia="仿宋_GB2312" w:cs="仿宋_GB2312"/>
                <w:color w:val="auto"/>
                <w:sz w:val="21"/>
                <w:szCs w:val="21"/>
              </w:rPr>
            </w:pPr>
          </w:p>
        </w:tc>
        <w:tc>
          <w:tcPr>
            <w:tcW w:w="912" w:type="dxa"/>
            <w:noWrap w:val="0"/>
            <w:vAlign w:val="center"/>
          </w:tcPr>
          <w:p w14:paraId="66EBF9D8">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成员</w:t>
            </w:r>
          </w:p>
        </w:tc>
        <w:tc>
          <w:tcPr>
            <w:tcW w:w="1031" w:type="dxa"/>
            <w:noWrap w:val="0"/>
            <w:vAlign w:val="center"/>
          </w:tcPr>
          <w:p w14:paraId="6E2E2B5C">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何东</w:t>
            </w:r>
          </w:p>
        </w:tc>
        <w:tc>
          <w:tcPr>
            <w:tcW w:w="1874" w:type="dxa"/>
            <w:noWrap w:val="0"/>
            <w:vAlign w:val="center"/>
          </w:tcPr>
          <w:p w14:paraId="767A1E42">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区融媒体中心</w:t>
            </w:r>
          </w:p>
        </w:tc>
        <w:tc>
          <w:tcPr>
            <w:tcW w:w="1294" w:type="dxa"/>
            <w:noWrap w:val="0"/>
            <w:vAlign w:val="center"/>
          </w:tcPr>
          <w:p w14:paraId="1625ACB1">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副主任</w:t>
            </w:r>
          </w:p>
        </w:tc>
      </w:tr>
      <w:tr w14:paraId="4C1647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9" w:hRule="atLeast"/>
          <w:jc w:val="center"/>
        </w:trPr>
        <w:tc>
          <w:tcPr>
            <w:tcW w:w="878" w:type="dxa"/>
            <w:vMerge w:val="continue"/>
            <w:noWrap w:val="0"/>
            <w:vAlign w:val="center"/>
          </w:tcPr>
          <w:p w14:paraId="7D0DE7C5">
            <w:pPr>
              <w:widowControl/>
              <w:jc w:val="center"/>
              <w:rPr>
                <w:rFonts w:hint="eastAsia" w:ascii="仿宋_GB2312" w:hAnsi="仿宋_GB2312" w:eastAsia="仿宋_GB2312" w:cs="仿宋_GB2312"/>
                <w:color w:val="auto"/>
                <w:sz w:val="21"/>
                <w:szCs w:val="21"/>
              </w:rPr>
            </w:pPr>
          </w:p>
        </w:tc>
        <w:tc>
          <w:tcPr>
            <w:tcW w:w="691" w:type="dxa"/>
            <w:vMerge w:val="continue"/>
            <w:noWrap w:val="0"/>
            <w:vAlign w:val="center"/>
          </w:tcPr>
          <w:p w14:paraId="45E018D9">
            <w:pPr>
              <w:widowControl/>
              <w:jc w:val="left"/>
              <w:rPr>
                <w:rFonts w:hint="eastAsia" w:ascii="仿宋_GB2312" w:hAnsi="仿宋_GB2312" w:eastAsia="仿宋_GB2312" w:cs="仿宋_GB2312"/>
                <w:color w:val="auto"/>
                <w:sz w:val="21"/>
                <w:szCs w:val="21"/>
              </w:rPr>
            </w:pPr>
          </w:p>
        </w:tc>
        <w:tc>
          <w:tcPr>
            <w:tcW w:w="912" w:type="dxa"/>
            <w:noWrap w:val="0"/>
            <w:vAlign w:val="center"/>
          </w:tcPr>
          <w:p w14:paraId="67790502">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成员</w:t>
            </w:r>
          </w:p>
        </w:tc>
        <w:tc>
          <w:tcPr>
            <w:tcW w:w="1031" w:type="dxa"/>
            <w:noWrap w:val="0"/>
            <w:vAlign w:val="center"/>
          </w:tcPr>
          <w:p w14:paraId="5515E0DF">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徐应周</w:t>
            </w:r>
          </w:p>
        </w:tc>
        <w:tc>
          <w:tcPr>
            <w:tcW w:w="1874" w:type="dxa"/>
            <w:noWrap w:val="0"/>
            <w:vAlign w:val="center"/>
          </w:tcPr>
          <w:p w14:paraId="1B19486C">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贵阳市生态环境局花溪分局</w:t>
            </w:r>
          </w:p>
        </w:tc>
        <w:tc>
          <w:tcPr>
            <w:tcW w:w="1294" w:type="dxa"/>
            <w:noWrap w:val="0"/>
            <w:vAlign w:val="center"/>
          </w:tcPr>
          <w:p w14:paraId="06CB9352">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副局长</w:t>
            </w:r>
          </w:p>
        </w:tc>
      </w:tr>
      <w:tr w14:paraId="4AC61C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9" w:hRule="atLeast"/>
          <w:jc w:val="center"/>
        </w:trPr>
        <w:tc>
          <w:tcPr>
            <w:tcW w:w="878" w:type="dxa"/>
            <w:vMerge w:val="restart"/>
            <w:noWrap w:val="0"/>
            <w:vAlign w:val="center"/>
          </w:tcPr>
          <w:p w14:paraId="29D407FD">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10</w:t>
            </w:r>
          </w:p>
        </w:tc>
        <w:tc>
          <w:tcPr>
            <w:tcW w:w="691" w:type="dxa"/>
            <w:vMerge w:val="restart"/>
            <w:noWrap w:val="0"/>
            <w:vAlign w:val="center"/>
          </w:tcPr>
          <w:p w14:paraId="1F14E97D">
            <w:pPr>
              <w:widowControl/>
              <w:jc w:val="left"/>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事后调查组</w:t>
            </w:r>
          </w:p>
        </w:tc>
        <w:tc>
          <w:tcPr>
            <w:tcW w:w="912" w:type="dxa"/>
            <w:noWrap w:val="0"/>
            <w:vAlign w:val="center"/>
          </w:tcPr>
          <w:p w14:paraId="52E1DDF7">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组长</w:t>
            </w:r>
          </w:p>
        </w:tc>
        <w:tc>
          <w:tcPr>
            <w:tcW w:w="1031" w:type="dxa"/>
            <w:noWrap w:val="0"/>
            <w:vAlign w:val="center"/>
          </w:tcPr>
          <w:p w14:paraId="0451035D">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张君发</w:t>
            </w:r>
          </w:p>
        </w:tc>
        <w:tc>
          <w:tcPr>
            <w:tcW w:w="1874" w:type="dxa"/>
            <w:noWrap w:val="0"/>
            <w:vAlign w:val="center"/>
          </w:tcPr>
          <w:p w14:paraId="059454EA">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贵阳市生态环境局花溪分局</w:t>
            </w:r>
          </w:p>
        </w:tc>
        <w:tc>
          <w:tcPr>
            <w:tcW w:w="1294" w:type="dxa"/>
            <w:noWrap w:val="0"/>
            <w:vAlign w:val="center"/>
          </w:tcPr>
          <w:p w14:paraId="635E903C">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局长</w:t>
            </w:r>
          </w:p>
        </w:tc>
      </w:tr>
      <w:tr w14:paraId="1CD614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08" w:hRule="atLeast"/>
          <w:jc w:val="center"/>
        </w:trPr>
        <w:tc>
          <w:tcPr>
            <w:tcW w:w="878" w:type="dxa"/>
            <w:vMerge w:val="continue"/>
            <w:noWrap w:val="0"/>
            <w:vAlign w:val="center"/>
          </w:tcPr>
          <w:p w14:paraId="332C508D">
            <w:pPr>
              <w:widowControl/>
              <w:jc w:val="center"/>
              <w:rPr>
                <w:rFonts w:hint="eastAsia" w:ascii="仿宋_GB2312" w:hAnsi="仿宋_GB2312" w:eastAsia="仿宋_GB2312" w:cs="仿宋_GB2312"/>
                <w:color w:val="auto"/>
                <w:sz w:val="21"/>
                <w:szCs w:val="21"/>
              </w:rPr>
            </w:pPr>
          </w:p>
        </w:tc>
        <w:tc>
          <w:tcPr>
            <w:tcW w:w="691" w:type="dxa"/>
            <w:vMerge w:val="continue"/>
            <w:noWrap w:val="0"/>
            <w:vAlign w:val="center"/>
          </w:tcPr>
          <w:p w14:paraId="1969F2F4">
            <w:pPr>
              <w:widowControl/>
              <w:jc w:val="left"/>
              <w:rPr>
                <w:rFonts w:hint="eastAsia" w:ascii="仿宋_GB2312" w:hAnsi="仿宋_GB2312" w:eastAsia="仿宋_GB2312" w:cs="仿宋_GB2312"/>
                <w:color w:val="auto"/>
                <w:sz w:val="21"/>
                <w:szCs w:val="21"/>
              </w:rPr>
            </w:pPr>
          </w:p>
        </w:tc>
        <w:tc>
          <w:tcPr>
            <w:tcW w:w="912" w:type="dxa"/>
            <w:noWrap w:val="0"/>
            <w:vAlign w:val="center"/>
          </w:tcPr>
          <w:p w14:paraId="47DC86E4">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成员</w:t>
            </w:r>
          </w:p>
        </w:tc>
        <w:tc>
          <w:tcPr>
            <w:tcW w:w="1031" w:type="dxa"/>
            <w:noWrap w:val="0"/>
            <w:vAlign w:val="center"/>
          </w:tcPr>
          <w:p w14:paraId="75227ABD">
            <w:pPr>
              <w:pStyle w:val="12"/>
              <w:spacing w:beforeAutospacing="0" w:afterAutospacing="0" w:line="240" w:lineRule="auto"/>
              <w:ind w:firstLine="0" w:firstLineChars="0"/>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lang w:val="en-US" w:eastAsia="zh-CN"/>
              </w:rPr>
              <w:t>严培松</w:t>
            </w:r>
          </w:p>
        </w:tc>
        <w:tc>
          <w:tcPr>
            <w:tcW w:w="1874" w:type="dxa"/>
            <w:noWrap w:val="0"/>
            <w:vAlign w:val="center"/>
          </w:tcPr>
          <w:p w14:paraId="0EBE8527">
            <w:pPr>
              <w:pStyle w:val="12"/>
              <w:spacing w:beforeAutospacing="0" w:afterAutospacing="0" w:line="240" w:lineRule="auto"/>
              <w:ind w:firstLine="0" w:firstLineChars="0"/>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贵阳市公安局花溪分局</w:t>
            </w:r>
          </w:p>
        </w:tc>
        <w:tc>
          <w:tcPr>
            <w:tcW w:w="1294" w:type="dxa"/>
            <w:noWrap w:val="0"/>
            <w:vAlign w:val="center"/>
          </w:tcPr>
          <w:p w14:paraId="7F0B9839">
            <w:pPr>
              <w:pStyle w:val="12"/>
              <w:spacing w:beforeAutospacing="0" w:afterAutospacing="0" w:line="240" w:lineRule="auto"/>
              <w:ind w:firstLine="0" w:firstLineChars="0"/>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lang w:val="en-US" w:eastAsia="zh-CN"/>
              </w:rPr>
              <w:t>党委委员、副局长</w:t>
            </w:r>
          </w:p>
        </w:tc>
      </w:tr>
      <w:tr w14:paraId="096E16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1" w:hRule="atLeast"/>
          <w:jc w:val="center"/>
        </w:trPr>
        <w:tc>
          <w:tcPr>
            <w:tcW w:w="878" w:type="dxa"/>
            <w:vMerge w:val="restart"/>
            <w:noWrap w:val="0"/>
            <w:vAlign w:val="center"/>
          </w:tcPr>
          <w:p w14:paraId="17FA09F6">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11</w:t>
            </w:r>
          </w:p>
        </w:tc>
        <w:tc>
          <w:tcPr>
            <w:tcW w:w="691" w:type="dxa"/>
            <w:vMerge w:val="restart"/>
            <w:noWrap w:val="0"/>
            <w:vAlign w:val="center"/>
          </w:tcPr>
          <w:p w14:paraId="4830643C">
            <w:pPr>
              <w:widowControl/>
              <w:jc w:val="left"/>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专家咨询组</w:t>
            </w:r>
          </w:p>
        </w:tc>
        <w:tc>
          <w:tcPr>
            <w:tcW w:w="912" w:type="dxa"/>
            <w:noWrap w:val="0"/>
            <w:vAlign w:val="center"/>
          </w:tcPr>
          <w:p w14:paraId="1C41B34E">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联络员</w:t>
            </w:r>
          </w:p>
        </w:tc>
        <w:tc>
          <w:tcPr>
            <w:tcW w:w="1031" w:type="dxa"/>
            <w:noWrap w:val="0"/>
            <w:vAlign w:val="center"/>
          </w:tcPr>
          <w:p w14:paraId="6265BCAB">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叶鹏</w:t>
            </w:r>
          </w:p>
        </w:tc>
        <w:tc>
          <w:tcPr>
            <w:tcW w:w="1874" w:type="dxa"/>
            <w:noWrap w:val="0"/>
            <w:vAlign w:val="center"/>
          </w:tcPr>
          <w:p w14:paraId="608EC31D">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贵阳市生态环境局花溪分局</w:t>
            </w:r>
          </w:p>
        </w:tc>
        <w:tc>
          <w:tcPr>
            <w:tcW w:w="1294" w:type="dxa"/>
            <w:noWrap w:val="0"/>
            <w:vAlign w:val="center"/>
          </w:tcPr>
          <w:p w14:paraId="4EF87B95">
            <w:pPr>
              <w:widowControl/>
              <w:jc w:val="center"/>
              <w:rPr>
                <w:rFonts w:hint="eastAsia" w:ascii="仿宋_GB2312" w:hAnsi="仿宋_GB2312" w:eastAsia="仿宋_GB2312" w:cs="仿宋_GB2312"/>
                <w:color w:val="auto"/>
                <w:sz w:val="21"/>
                <w:szCs w:val="21"/>
              </w:rPr>
            </w:pPr>
            <w:r>
              <w:rPr>
                <w:rFonts w:hint="eastAsia" w:ascii="仿宋_GB2312" w:hAnsi="仿宋_GB2312" w:eastAsia="仿宋_GB2312" w:cs="仿宋_GB2312"/>
                <w:color w:val="auto"/>
                <w:sz w:val="21"/>
                <w:szCs w:val="21"/>
              </w:rPr>
              <w:t>应急中心主任</w:t>
            </w:r>
          </w:p>
        </w:tc>
      </w:tr>
      <w:tr w14:paraId="34A7DC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4"/>
          <w:wAfter w:w="5111" w:type="dxa"/>
          <w:trHeight w:val="608" w:hRule="atLeast"/>
          <w:jc w:val="center"/>
        </w:trPr>
        <w:tc>
          <w:tcPr>
            <w:tcW w:w="878" w:type="dxa"/>
            <w:vMerge w:val="continue"/>
            <w:noWrap w:val="0"/>
            <w:vAlign w:val="center"/>
          </w:tcPr>
          <w:p w14:paraId="597883E5">
            <w:pPr>
              <w:widowControl/>
              <w:jc w:val="left"/>
              <w:rPr>
                <w:rFonts w:hint="eastAsia" w:ascii="仿宋_GB2312" w:hAnsi="仿宋_GB2312" w:eastAsia="仿宋_GB2312" w:cs="仿宋_GB2312"/>
                <w:color w:val="auto"/>
                <w:sz w:val="21"/>
                <w:szCs w:val="21"/>
              </w:rPr>
            </w:pPr>
          </w:p>
        </w:tc>
        <w:tc>
          <w:tcPr>
            <w:tcW w:w="691" w:type="dxa"/>
            <w:vMerge w:val="continue"/>
            <w:noWrap w:val="0"/>
            <w:vAlign w:val="center"/>
          </w:tcPr>
          <w:p w14:paraId="1E7B4B83">
            <w:pPr>
              <w:widowControl/>
              <w:jc w:val="left"/>
              <w:rPr>
                <w:rFonts w:hint="eastAsia" w:ascii="仿宋_GB2312" w:hAnsi="仿宋_GB2312" w:eastAsia="仿宋_GB2312" w:cs="仿宋_GB2312"/>
                <w:color w:val="auto"/>
                <w:sz w:val="21"/>
                <w:szCs w:val="21"/>
              </w:rPr>
            </w:pPr>
          </w:p>
        </w:tc>
      </w:tr>
    </w:tbl>
    <w:p w14:paraId="2DE7BF35">
      <w:pPr>
        <w:widowControl/>
        <w:ind w:firstLine="480"/>
        <w:jc w:val="left"/>
        <w:rPr>
          <w:rFonts w:eastAsia="仿宋"/>
          <w:sz w:val="21"/>
          <w:szCs w:val="21"/>
        </w:rPr>
      </w:pPr>
    </w:p>
    <w:p w14:paraId="198EF30F">
      <w:pPr>
        <w:widowControl/>
        <w:spacing w:line="240" w:lineRule="auto"/>
        <w:jc w:val="center"/>
        <w:rPr>
          <w:rFonts w:eastAsia="仿宋"/>
          <w:b/>
          <w:kern w:val="0"/>
          <w:szCs w:val="24"/>
        </w:rPr>
      </w:pPr>
      <w:r>
        <w:rPr>
          <w:rFonts w:eastAsia="仿宋"/>
          <w:b/>
          <w:kern w:val="0"/>
          <w:szCs w:val="24"/>
        </w:rPr>
        <w:t>附表2  贵州省内相关专家名单</w:t>
      </w:r>
    </w:p>
    <w:tbl>
      <w:tblPr>
        <w:tblStyle w:val="14"/>
        <w:tblW w:w="7437"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774"/>
        <w:gridCol w:w="930"/>
        <w:gridCol w:w="855"/>
        <w:gridCol w:w="2326"/>
        <w:gridCol w:w="1134"/>
        <w:gridCol w:w="1418"/>
      </w:tblGrid>
      <w:tr w14:paraId="4574688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73" w:hRule="atLeast"/>
          <w:jc w:val="center"/>
        </w:trPr>
        <w:tc>
          <w:tcPr>
            <w:tcW w:w="774" w:type="dxa"/>
            <w:noWrap/>
            <w:vAlign w:val="center"/>
          </w:tcPr>
          <w:p w14:paraId="559AEAF5">
            <w:pPr>
              <w:autoSpaceDN w:val="0"/>
              <w:spacing w:line="240" w:lineRule="auto"/>
              <w:jc w:val="center"/>
              <w:textAlignment w:val="center"/>
              <w:rPr>
                <w:rFonts w:eastAsia="仿宋"/>
                <w:sz w:val="21"/>
                <w:szCs w:val="21"/>
              </w:rPr>
            </w:pPr>
            <w:r>
              <w:rPr>
                <w:rFonts w:eastAsia="仿宋"/>
                <w:sz w:val="21"/>
                <w:szCs w:val="21"/>
              </w:rPr>
              <w:t>序 号</w:t>
            </w:r>
          </w:p>
        </w:tc>
        <w:tc>
          <w:tcPr>
            <w:tcW w:w="930" w:type="dxa"/>
            <w:noWrap/>
            <w:vAlign w:val="center"/>
          </w:tcPr>
          <w:p w14:paraId="26E1E92C">
            <w:pPr>
              <w:autoSpaceDN w:val="0"/>
              <w:spacing w:line="240" w:lineRule="auto"/>
              <w:jc w:val="center"/>
              <w:textAlignment w:val="center"/>
              <w:rPr>
                <w:rFonts w:eastAsia="仿宋"/>
                <w:sz w:val="21"/>
                <w:szCs w:val="21"/>
              </w:rPr>
            </w:pPr>
            <w:r>
              <w:rPr>
                <w:rFonts w:eastAsia="仿宋"/>
                <w:sz w:val="21"/>
                <w:szCs w:val="21"/>
              </w:rPr>
              <w:t>姓名</w:t>
            </w:r>
          </w:p>
        </w:tc>
        <w:tc>
          <w:tcPr>
            <w:tcW w:w="855" w:type="dxa"/>
            <w:noWrap/>
            <w:vAlign w:val="center"/>
          </w:tcPr>
          <w:p w14:paraId="2A11FF96">
            <w:pPr>
              <w:autoSpaceDN w:val="0"/>
              <w:spacing w:line="240" w:lineRule="auto"/>
              <w:jc w:val="center"/>
              <w:textAlignment w:val="center"/>
              <w:rPr>
                <w:rFonts w:eastAsia="仿宋"/>
                <w:sz w:val="21"/>
                <w:szCs w:val="21"/>
              </w:rPr>
            </w:pPr>
            <w:r>
              <w:rPr>
                <w:rFonts w:eastAsia="仿宋"/>
                <w:sz w:val="21"/>
                <w:szCs w:val="21"/>
              </w:rPr>
              <w:t>性 别</w:t>
            </w:r>
          </w:p>
        </w:tc>
        <w:tc>
          <w:tcPr>
            <w:tcW w:w="2326" w:type="dxa"/>
            <w:noWrap/>
            <w:vAlign w:val="center"/>
          </w:tcPr>
          <w:p w14:paraId="2ECA97AA">
            <w:pPr>
              <w:autoSpaceDN w:val="0"/>
              <w:spacing w:line="240" w:lineRule="auto"/>
              <w:jc w:val="center"/>
              <w:textAlignment w:val="center"/>
              <w:rPr>
                <w:rFonts w:eastAsia="仿宋"/>
                <w:sz w:val="21"/>
                <w:szCs w:val="21"/>
              </w:rPr>
            </w:pPr>
            <w:r>
              <w:rPr>
                <w:rFonts w:eastAsia="仿宋"/>
                <w:sz w:val="21"/>
                <w:szCs w:val="21"/>
              </w:rPr>
              <w:t>工作单位</w:t>
            </w:r>
          </w:p>
        </w:tc>
        <w:tc>
          <w:tcPr>
            <w:tcW w:w="1134" w:type="dxa"/>
            <w:noWrap/>
            <w:vAlign w:val="center"/>
          </w:tcPr>
          <w:p w14:paraId="0FDD863E">
            <w:pPr>
              <w:autoSpaceDN w:val="0"/>
              <w:spacing w:line="240" w:lineRule="auto"/>
              <w:jc w:val="center"/>
              <w:textAlignment w:val="center"/>
              <w:rPr>
                <w:rFonts w:eastAsia="仿宋"/>
                <w:sz w:val="21"/>
                <w:szCs w:val="21"/>
              </w:rPr>
            </w:pPr>
            <w:r>
              <w:rPr>
                <w:rFonts w:eastAsia="仿宋"/>
                <w:sz w:val="21"/>
                <w:szCs w:val="21"/>
              </w:rPr>
              <w:t>专  业</w:t>
            </w:r>
          </w:p>
        </w:tc>
        <w:tc>
          <w:tcPr>
            <w:tcW w:w="1418" w:type="dxa"/>
            <w:noWrap/>
            <w:vAlign w:val="center"/>
          </w:tcPr>
          <w:p w14:paraId="318D618A">
            <w:pPr>
              <w:autoSpaceDN w:val="0"/>
              <w:spacing w:line="240" w:lineRule="auto"/>
              <w:jc w:val="center"/>
              <w:textAlignment w:val="center"/>
              <w:rPr>
                <w:rFonts w:eastAsia="仿宋"/>
                <w:sz w:val="21"/>
                <w:szCs w:val="21"/>
              </w:rPr>
            </w:pPr>
            <w:r>
              <w:rPr>
                <w:rFonts w:eastAsia="仿宋"/>
                <w:sz w:val="21"/>
                <w:szCs w:val="21"/>
              </w:rPr>
              <w:t>职务/职称</w:t>
            </w:r>
          </w:p>
        </w:tc>
      </w:tr>
      <w:tr w14:paraId="70A1BDC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73" w:hRule="atLeast"/>
          <w:jc w:val="center"/>
        </w:trPr>
        <w:tc>
          <w:tcPr>
            <w:tcW w:w="774" w:type="dxa"/>
            <w:noWrap/>
            <w:vAlign w:val="center"/>
          </w:tcPr>
          <w:p w14:paraId="66D1BB2E">
            <w:pPr>
              <w:autoSpaceDN w:val="0"/>
              <w:spacing w:line="240" w:lineRule="auto"/>
              <w:jc w:val="center"/>
              <w:textAlignment w:val="center"/>
              <w:rPr>
                <w:rFonts w:eastAsia="仿宋"/>
                <w:bCs/>
                <w:spacing w:val="-6"/>
                <w:sz w:val="21"/>
                <w:szCs w:val="21"/>
              </w:rPr>
            </w:pPr>
            <w:r>
              <w:rPr>
                <w:rFonts w:eastAsia="仿宋"/>
                <w:bCs/>
                <w:spacing w:val="-6"/>
                <w:sz w:val="21"/>
                <w:szCs w:val="21"/>
              </w:rPr>
              <w:t>1</w:t>
            </w:r>
          </w:p>
        </w:tc>
        <w:tc>
          <w:tcPr>
            <w:tcW w:w="930" w:type="dxa"/>
            <w:noWrap/>
            <w:vAlign w:val="center"/>
          </w:tcPr>
          <w:p w14:paraId="04655688">
            <w:pPr>
              <w:autoSpaceDN w:val="0"/>
              <w:spacing w:line="240" w:lineRule="auto"/>
              <w:jc w:val="center"/>
              <w:textAlignment w:val="center"/>
              <w:rPr>
                <w:rFonts w:eastAsia="仿宋"/>
                <w:sz w:val="21"/>
                <w:szCs w:val="21"/>
              </w:rPr>
            </w:pPr>
            <w:r>
              <w:rPr>
                <w:rFonts w:eastAsia="仿宋"/>
                <w:sz w:val="21"/>
                <w:szCs w:val="21"/>
              </w:rPr>
              <w:t>马福波</w:t>
            </w:r>
          </w:p>
        </w:tc>
        <w:tc>
          <w:tcPr>
            <w:tcW w:w="855" w:type="dxa"/>
            <w:noWrap/>
            <w:vAlign w:val="center"/>
          </w:tcPr>
          <w:p w14:paraId="685D1286">
            <w:pPr>
              <w:autoSpaceDN w:val="0"/>
              <w:spacing w:line="240" w:lineRule="auto"/>
              <w:jc w:val="center"/>
              <w:textAlignment w:val="center"/>
              <w:rPr>
                <w:rFonts w:eastAsia="仿宋"/>
                <w:sz w:val="21"/>
                <w:szCs w:val="21"/>
              </w:rPr>
            </w:pPr>
            <w:r>
              <w:rPr>
                <w:rFonts w:eastAsia="仿宋"/>
                <w:sz w:val="21"/>
                <w:szCs w:val="21"/>
              </w:rPr>
              <w:t>男</w:t>
            </w:r>
          </w:p>
        </w:tc>
        <w:tc>
          <w:tcPr>
            <w:tcW w:w="2326" w:type="dxa"/>
            <w:noWrap/>
            <w:vAlign w:val="center"/>
          </w:tcPr>
          <w:p w14:paraId="7C0485C6">
            <w:pPr>
              <w:autoSpaceDN w:val="0"/>
              <w:spacing w:line="240" w:lineRule="auto"/>
              <w:jc w:val="center"/>
              <w:textAlignment w:val="center"/>
              <w:rPr>
                <w:rFonts w:eastAsia="仿宋"/>
                <w:sz w:val="21"/>
                <w:szCs w:val="21"/>
              </w:rPr>
            </w:pPr>
            <w:r>
              <w:rPr>
                <w:rFonts w:eastAsia="仿宋"/>
                <w:sz w:val="21"/>
                <w:szCs w:val="21"/>
              </w:rPr>
              <w:t>贵州化工研究院</w:t>
            </w:r>
          </w:p>
        </w:tc>
        <w:tc>
          <w:tcPr>
            <w:tcW w:w="1134" w:type="dxa"/>
            <w:noWrap/>
            <w:vAlign w:val="center"/>
          </w:tcPr>
          <w:p w14:paraId="270F5064">
            <w:pPr>
              <w:autoSpaceDN w:val="0"/>
              <w:spacing w:line="240" w:lineRule="auto"/>
              <w:jc w:val="center"/>
              <w:textAlignment w:val="center"/>
              <w:rPr>
                <w:rFonts w:eastAsia="仿宋"/>
                <w:sz w:val="21"/>
                <w:szCs w:val="21"/>
              </w:rPr>
            </w:pPr>
            <w:r>
              <w:rPr>
                <w:rFonts w:hint="eastAsia" w:eastAsia="仿宋"/>
                <w:sz w:val="21"/>
                <w:szCs w:val="21"/>
              </w:rPr>
              <w:t>放射化学</w:t>
            </w:r>
          </w:p>
        </w:tc>
        <w:tc>
          <w:tcPr>
            <w:tcW w:w="1418" w:type="dxa"/>
            <w:noWrap/>
            <w:vAlign w:val="center"/>
          </w:tcPr>
          <w:p w14:paraId="223D651F">
            <w:pPr>
              <w:autoSpaceDN w:val="0"/>
              <w:spacing w:line="240" w:lineRule="auto"/>
              <w:jc w:val="center"/>
              <w:textAlignment w:val="center"/>
              <w:rPr>
                <w:rFonts w:eastAsia="仿宋"/>
                <w:sz w:val="21"/>
                <w:szCs w:val="21"/>
              </w:rPr>
            </w:pPr>
            <w:r>
              <w:rPr>
                <w:rFonts w:eastAsia="仿宋"/>
                <w:sz w:val="21"/>
                <w:szCs w:val="21"/>
              </w:rPr>
              <w:t>院长</w:t>
            </w:r>
          </w:p>
        </w:tc>
      </w:tr>
      <w:tr w14:paraId="3A36461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73" w:hRule="atLeast"/>
          <w:jc w:val="center"/>
        </w:trPr>
        <w:tc>
          <w:tcPr>
            <w:tcW w:w="774" w:type="dxa"/>
            <w:noWrap/>
            <w:vAlign w:val="center"/>
          </w:tcPr>
          <w:p w14:paraId="6550D53B">
            <w:pPr>
              <w:autoSpaceDN w:val="0"/>
              <w:spacing w:line="240" w:lineRule="auto"/>
              <w:jc w:val="center"/>
              <w:textAlignment w:val="center"/>
              <w:rPr>
                <w:rFonts w:eastAsia="仿宋"/>
                <w:sz w:val="21"/>
                <w:szCs w:val="21"/>
              </w:rPr>
            </w:pPr>
            <w:r>
              <w:rPr>
                <w:rFonts w:eastAsia="仿宋"/>
                <w:sz w:val="21"/>
                <w:szCs w:val="21"/>
              </w:rPr>
              <w:t>2</w:t>
            </w:r>
          </w:p>
        </w:tc>
        <w:tc>
          <w:tcPr>
            <w:tcW w:w="930" w:type="dxa"/>
            <w:noWrap/>
            <w:vAlign w:val="center"/>
          </w:tcPr>
          <w:p w14:paraId="64F7F40E">
            <w:pPr>
              <w:autoSpaceDN w:val="0"/>
              <w:spacing w:line="240" w:lineRule="auto"/>
              <w:jc w:val="center"/>
              <w:textAlignment w:val="center"/>
              <w:rPr>
                <w:rFonts w:eastAsia="仿宋"/>
                <w:kern w:val="0"/>
                <w:sz w:val="21"/>
                <w:szCs w:val="21"/>
              </w:rPr>
            </w:pPr>
            <w:r>
              <w:rPr>
                <w:rFonts w:eastAsia="仿宋"/>
                <w:kern w:val="0"/>
                <w:sz w:val="21"/>
                <w:szCs w:val="21"/>
              </w:rPr>
              <w:t xml:space="preserve">傅成诚 </w:t>
            </w:r>
          </w:p>
        </w:tc>
        <w:tc>
          <w:tcPr>
            <w:tcW w:w="855" w:type="dxa"/>
            <w:noWrap/>
            <w:vAlign w:val="center"/>
          </w:tcPr>
          <w:p w14:paraId="729BC09C">
            <w:pPr>
              <w:autoSpaceDN w:val="0"/>
              <w:spacing w:line="240" w:lineRule="auto"/>
              <w:jc w:val="center"/>
              <w:textAlignment w:val="center"/>
              <w:rPr>
                <w:rFonts w:eastAsia="仿宋"/>
                <w:kern w:val="0"/>
                <w:sz w:val="21"/>
                <w:szCs w:val="21"/>
              </w:rPr>
            </w:pPr>
            <w:r>
              <w:rPr>
                <w:rFonts w:eastAsia="仿宋"/>
                <w:kern w:val="0"/>
                <w:sz w:val="21"/>
                <w:szCs w:val="21"/>
              </w:rPr>
              <w:t>男</w:t>
            </w:r>
          </w:p>
        </w:tc>
        <w:tc>
          <w:tcPr>
            <w:tcW w:w="2326" w:type="dxa"/>
            <w:noWrap/>
            <w:vAlign w:val="center"/>
          </w:tcPr>
          <w:p w14:paraId="3576E17B">
            <w:pPr>
              <w:autoSpaceDN w:val="0"/>
              <w:spacing w:line="240" w:lineRule="auto"/>
              <w:jc w:val="center"/>
              <w:textAlignment w:val="center"/>
              <w:rPr>
                <w:rFonts w:eastAsia="仿宋"/>
                <w:kern w:val="0"/>
                <w:sz w:val="21"/>
                <w:szCs w:val="21"/>
              </w:rPr>
            </w:pPr>
            <w:r>
              <w:rPr>
                <w:rFonts w:eastAsia="仿宋"/>
                <w:kern w:val="0"/>
                <w:sz w:val="21"/>
                <w:szCs w:val="21"/>
              </w:rPr>
              <w:t>贵州省环境监测中心站</w:t>
            </w:r>
          </w:p>
        </w:tc>
        <w:tc>
          <w:tcPr>
            <w:tcW w:w="1134" w:type="dxa"/>
            <w:noWrap/>
            <w:vAlign w:val="center"/>
          </w:tcPr>
          <w:p w14:paraId="54B59638">
            <w:pPr>
              <w:autoSpaceDN w:val="0"/>
              <w:spacing w:line="240" w:lineRule="auto"/>
              <w:jc w:val="center"/>
              <w:textAlignment w:val="center"/>
              <w:rPr>
                <w:rFonts w:eastAsia="仿宋"/>
                <w:kern w:val="0"/>
                <w:sz w:val="21"/>
                <w:szCs w:val="21"/>
              </w:rPr>
            </w:pPr>
            <w:r>
              <w:rPr>
                <w:rFonts w:eastAsia="仿宋"/>
                <w:kern w:val="0"/>
                <w:sz w:val="21"/>
                <w:szCs w:val="21"/>
              </w:rPr>
              <w:t>环境监测</w:t>
            </w:r>
          </w:p>
        </w:tc>
        <w:tc>
          <w:tcPr>
            <w:tcW w:w="1418" w:type="dxa"/>
            <w:noWrap/>
            <w:vAlign w:val="center"/>
          </w:tcPr>
          <w:p w14:paraId="1AAD2072">
            <w:pPr>
              <w:autoSpaceDN w:val="0"/>
              <w:spacing w:line="240" w:lineRule="auto"/>
              <w:jc w:val="center"/>
              <w:textAlignment w:val="center"/>
              <w:rPr>
                <w:rFonts w:eastAsia="仿宋"/>
                <w:kern w:val="0"/>
                <w:sz w:val="21"/>
                <w:szCs w:val="21"/>
              </w:rPr>
            </w:pPr>
            <w:r>
              <w:rPr>
                <w:rFonts w:eastAsia="仿宋"/>
                <w:kern w:val="0"/>
                <w:sz w:val="21"/>
                <w:szCs w:val="21"/>
              </w:rPr>
              <w:t>高工</w:t>
            </w:r>
          </w:p>
        </w:tc>
      </w:tr>
      <w:tr w14:paraId="113AFE4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473" w:hRule="atLeast"/>
          <w:jc w:val="center"/>
        </w:trPr>
        <w:tc>
          <w:tcPr>
            <w:tcW w:w="774" w:type="dxa"/>
            <w:noWrap/>
            <w:vAlign w:val="center"/>
          </w:tcPr>
          <w:p w14:paraId="1C15F606">
            <w:pPr>
              <w:autoSpaceDN w:val="0"/>
              <w:spacing w:line="240" w:lineRule="auto"/>
              <w:jc w:val="center"/>
              <w:textAlignment w:val="center"/>
              <w:rPr>
                <w:rFonts w:eastAsia="仿宋"/>
                <w:sz w:val="21"/>
                <w:szCs w:val="21"/>
              </w:rPr>
            </w:pPr>
            <w:r>
              <w:rPr>
                <w:rFonts w:hint="eastAsia" w:eastAsia="仿宋"/>
                <w:sz w:val="21"/>
                <w:szCs w:val="21"/>
              </w:rPr>
              <w:t>3</w:t>
            </w:r>
          </w:p>
        </w:tc>
        <w:tc>
          <w:tcPr>
            <w:tcW w:w="930" w:type="dxa"/>
            <w:noWrap/>
            <w:vAlign w:val="center"/>
          </w:tcPr>
          <w:p w14:paraId="6D1BD246">
            <w:pPr>
              <w:autoSpaceDN w:val="0"/>
              <w:spacing w:line="240" w:lineRule="auto"/>
              <w:jc w:val="center"/>
              <w:textAlignment w:val="center"/>
              <w:rPr>
                <w:rFonts w:eastAsia="仿宋"/>
                <w:kern w:val="0"/>
                <w:sz w:val="21"/>
                <w:szCs w:val="21"/>
              </w:rPr>
            </w:pPr>
            <w:r>
              <w:rPr>
                <w:rFonts w:hint="eastAsia" w:eastAsia="仿宋"/>
                <w:kern w:val="0"/>
                <w:sz w:val="21"/>
                <w:szCs w:val="21"/>
              </w:rPr>
              <w:t xml:space="preserve">王 </w:t>
            </w:r>
            <w:r>
              <w:rPr>
                <w:rFonts w:eastAsia="仿宋"/>
                <w:kern w:val="0"/>
                <w:sz w:val="21"/>
                <w:szCs w:val="21"/>
              </w:rPr>
              <w:t xml:space="preserve"> </w:t>
            </w:r>
            <w:r>
              <w:rPr>
                <w:rFonts w:hint="eastAsia" w:eastAsia="仿宋"/>
                <w:kern w:val="0"/>
                <w:sz w:val="21"/>
                <w:szCs w:val="21"/>
              </w:rPr>
              <w:t>浩</w:t>
            </w:r>
          </w:p>
        </w:tc>
        <w:tc>
          <w:tcPr>
            <w:tcW w:w="855" w:type="dxa"/>
            <w:noWrap/>
            <w:vAlign w:val="center"/>
          </w:tcPr>
          <w:p w14:paraId="4E4D067E">
            <w:pPr>
              <w:autoSpaceDN w:val="0"/>
              <w:spacing w:line="240" w:lineRule="auto"/>
              <w:jc w:val="center"/>
              <w:textAlignment w:val="center"/>
              <w:rPr>
                <w:rFonts w:eastAsia="仿宋"/>
                <w:kern w:val="0"/>
                <w:sz w:val="21"/>
                <w:szCs w:val="21"/>
              </w:rPr>
            </w:pPr>
            <w:r>
              <w:rPr>
                <w:rFonts w:eastAsia="仿宋"/>
                <w:kern w:val="0"/>
                <w:sz w:val="21"/>
                <w:szCs w:val="21"/>
              </w:rPr>
              <w:t>男</w:t>
            </w:r>
          </w:p>
        </w:tc>
        <w:tc>
          <w:tcPr>
            <w:tcW w:w="2326" w:type="dxa"/>
            <w:noWrap/>
            <w:vAlign w:val="center"/>
          </w:tcPr>
          <w:p w14:paraId="48D79F6A">
            <w:pPr>
              <w:autoSpaceDN w:val="0"/>
              <w:spacing w:line="240" w:lineRule="auto"/>
              <w:jc w:val="center"/>
              <w:textAlignment w:val="center"/>
              <w:rPr>
                <w:rFonts w:eastAsia="仿宋"/>
                <w:kern w:val="0"/>
                <w:sz w:val="21"/>
                <w:szCs w:val="21"/>
              </w:rPr>
            </w:pPr>
            <w:r>
              <w:rPr>
                <w:rFonts w:eastAsia="仿宋"/>
                <w:kern w:val="0"/>
                <w:sz w:val="21"/>
                <w:szCs w:val="21"/>
              </w:rPr>
              <w:t>贵州省环境监测中心站</w:t>
            </w:r>
          </w:p>
        </w:tc>
        <w:tc>
          <w:tcPr>
            <w:tcW w:w="1134" w:type="dxa"/>
            <w:noWrap/>
            <w:vAlign w:val="center"/>
          </w:tcPr>
          <w:p w14:paraId="702BDD36">
            <w:pPr>
              <w:autoSpaceDN w:val="0"/>
              <w:spacing w:line="240" w:lineRule="auto"/>
              <w:jc w:val="center"/>
              <w:textAlignment w:val="center"/>
              <w:rPr>
                <w:rFonts w:eastAsia="仿宋"/>
                <w:kern w:val="0"/>
                <w:sz w:val="21"/>
                <w:szCs w:val="21"/>
              </w:rPr>
            </w:pPr>
            <w:r>
              <w:rPr>
                <w:rFonts w:eastAsia="仿宋"/>
                <w:kern w:val="0"/>
                <w:sz w:val="21"/>
                <w:szCs w:val="21"/>
              </w:rPr>
              <w:t>环境监测</w:t>
            </w:r>
          </w:p>
        </w:tc>
        <w:tc>
          <w:tcPr>
            <w:tcW w:w="1418" w:type="dxa"/>
            <w:noWrap/>
            <w:vAlign w:val="center"/>
          </w:tcPr>
          <w:p w14:paraId="7DA4B739">
            <w:pPr>
              <w:autoSpaceDN w:val="0"/>
              <w:spacing w:line="240" w:lineRule="auto"/>
              <w:jc w:val="center"/>
              <w:textAlignment w:val="center"/>
              <w:rPr>
                <w:rFonts w:eastAsia="仿宋"/>
                <w:kern w:val="0"/>
                <w:sz w:val="21"/>
                <w:szCs w:val="21"/>
              </w:rPr>
            </w:pPr>
            <w:r>
              <w:rPr>
                <w:rFonts w:eastAsia="仿宋"/>
                <w:kern w:val="0"/>
                <w:sz w:val="21"/>
                <w:szCs w:val="21"/>
              </w:rPr>
              <w:t>高工</w:t>
            </w:r>
          </w:p>
        </w:tc>
      </w:tr>
      <w:tr w14:paraId="33C3E41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73" w:hRule="atLeast"/>
          <w:jc w:val="center"/>
        </w:trPr>
        <w:tc>
          <w:tcPr>
            <w:tcW w:w="774" w:type="dxa"/>
            <w:noWrap/>
            <w:vAlign w:val="center"/>
          </w:tcPr>
          <w:p w14:paraId="076F6990">
            <w:pPr>
              <w:autoSpaceDN w:val="0"/>
              <w:spacing w:line="240" w:lineRule="auto"/>
              <w:jc w:val="center"/>
              <w:textAlignment w:val="center"/>
              <w:rPr>
                <w:rFonts w:eastAsia="仿宋"/>
                <w:sz w:val="21"/>
                <w:szCs w:val="21"/>
              </w:rPr>
            </w:pPr>
            <w:r>
              <w:rPr>
                <w:rFonts w:eastAsia="仿宋"/>
                <w:sz w:val="21"/>
                <w:szCs w:val="21"/>
              </w:rPr>
              <w:t>4</w:t>
            </w:r>
          </w:p>
        </w:tc>
        <w:tc>
          <w:tcPr>
            <w:tcW w:w="930" w:type="dxa"/>
            <w:noWrap/>
            <w:vAlign w:val="center"/>
          </w:tcPr>
          <w:p w14:paraId="0C384607">
            <w:pPr>
              <w:autoSpaceDN w:val="0"/>
              <w:spacing w:line="240" w:lineRule="auto"/>
              <w:jc w:val="center"/>
              <w:textAlignment w:val="center"/>
              <w:rPr>
                <w:rFonts w:eastAsia="仿宋"/>
                <w:sz w:val="21"/>
                <w:szCs w:val="21"/>
              </w:rPr>
            </w:pPr>
            <w:r>
              <w:rPr>
                <w:rFonts w:eastAsia="仿宋"/>
                <w:sz w:val="21"/>
                <w:szCs w:val="21"/>
              </w:rPr>
              <w:t>胡  文</w:t>
            </w:r>
          </w:p>
        </w:tc>
        <w:tc>
          <w:tcPr>
            <w:tcW w:w="855" w:type="dxa"/>
            <w:noWrap/>
            <w:vAlign w:val="center"/>
          </w:tcPr>
          <w:p w14:paraId="51E7BC53">
            <w:pPr>
              <w:autoSpaceDN w:val="0"/>
              <w:spacing w:line="240" w:lineRule="auto"/>
              <w:jc w:val="center"/>
              <w:textAlignment w:val="center"/>
              <w:rPr>
                <w:rFonts w:eastAsia="仿宋"/>
                <w:sz w:val="21"/>
                <w:szCs w:val="21"/>
              </w:rPr>
            </w:pPr>
            <w:r>
              <w:rPr>
                <w:rFonts w:eastAsia="仿宋"/>
                <w:sz w:val="21"/>
                <w:szCs w:val="21"/>
              </w:rPr>
              <w:t>男</w:t>
            </w:r>
          </w:p>
        </w:tc>
        <w:tc>
          <w:tcPr>
            <w:tcW w:w="2326" w:type="dxa"/>
            <w:noWrap/>
            <w:vAlign w:val="center"/>
          </w:tcPr>
          <w:p w14:paraId="6E13CF37">
            <w:pPr>
              <w:autoSpaceDN w:val="0"/>
              <w:spacing w:line="240" w:lineRule="auto"/>
              <w:jc w:val="center"/>
              <w:textAlignment w:val="center"/>
              <w:rPr>
                <w:rFonts w:eastAsia="仿宋"/>
                <w:sz w:val="21"/>
                <w:szCs w:val="21"/>
              </w:rPr>
            </w:pPr>
            <w:r>
              <w:rPr>
                <w:rFonts w:eastAsia="仿宋"/>
                <w:sz w:val="21"/>
                <w:szCs w:val="21"/>
              </w:rPr>
              <w:t>贵州楚天</w:t>
            </w:r>
            <w:r>
              <w:rPr>
                <w:rFonts w:hint="eastAsia" w:eastAsia="仿宋"/>
                <w:sz w:val="21"/>
                <w:szCs w:val="21"/>
              </w:rPr>
              <w:t>环保公司</w:t>
            </w:r>
          </w:p>
        </w:tc>
        <w:tc>
          <w:tcPr>
            <w:tcW w:w="1134" w:type="dxa"/>
            <w:noWrap/>
            <w:vAlign w:val="center"/>
          </w:tcPr>
          <w:p w14:paraId="6683295C">
            <w:pPr>
              <w:autoSpaceDN w:val="0"/>
              <w:spacing w:line="240" w:lineRule="auto"/>
              <w:jc w:val="center"/>
              <w:textAlignment w:val="center"/>
              <w:rPr>
                <w:rFonts w:eastAsia="仿宋"/>
                <w:sz w:val="21"/>
                <w:szCs w:val="21"/>
              </w:rPr>
            </w:pPr>
            <w:r>
              <w:rPr>
                <w:rFonts w:hint="eastAsia" w:eastAsia="仿宋"/>
                <w:sz w:val="21"/>
                <w:szCs w:val="21"/>
              </w:rPr>
              <w:t>废水治理</w:t>
            </w:r>
          </w:p>
        </w:tc>
        <w:tc>
          <w:tcPr>
            <w:tcW w:w="1418" w:type="dxa"/>
            <w:noWrap/>
            <w:vAlign w:val="center"/>
          </w:tcPr>
          <w:p w14:paraId="2E3851F8">
            <w:pPr>
              <w:autoSpaceDN w:val="0"/>
              <w:spacing w:line="240" w:lineRule="auto"/>
              <w:jc w:val="center"/>
              <w:textAlignment w:val="center"/>
              <w:rPr>
                <w:rFonts w:eastAsia="仿宋"/>
                <w:sz w:val="21"/>
                <w:szCs w:val="21"/>
              </w:rPr>
            </w:pPr>
            <w:r>
              <w:rPr>
                <w:rFonts w:hint="eastAsia" w:eastAsia="仿宋"/>
                <w:sz w:val="21"/>
                <w:szCs w:val="21"/>
              </w:rPr>
              <w:t>总经理</w:t>
            </w:r>
          </w:p>
        </w:tc>
      </w:tr>
      <w:tr w14:paraId="634DBB6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73" w:hRule="atLeast"/>
          <w:jc w:val="center"/>
        </w:trPr>
        <w:tc>
          <w:tcPr>
            <w:tcW w:w="774" w:type="dxa"/>
            <w:noWrap/>
            <w:vAlign w:val="center"/>
          </w:tcPr>
          <w:p w14:paraId="27F4450A">
            <w:pPr>
              <w:autoSpaceDN w:val="0"/>
              <w:spacing w:line="240" w:lineRule="auto"/>
              <w:jc w:val="center"/>
              <w:textAlignment w:val="center"/>
              <w:rPr>
                <w:rFonts w:eastAsia="仿宋"/>
                <w:bCs/>
                <w:spacing w:val="-6"/>
                <w:sz w:val="21"/>
                <w:szCs w:val="21"/>
              </w:rPr>
            </w:pPr>
            <w:r>
              <w:rPr>
                <w:rFonts w:eastAsia="仿宋"/>
                <w:sz w:val="21"/>
                <w:szCs w:val="21"/>
              </w:rPr>
              <w:t>5</w:t>
            </w:r>
          </w:p>
        </w:tc>
        <w:tc>
          <w:tcPr>
            <w:tcW w:w="930" w:type="dxa"/>
            <w:noWrap/>
            <w:vAlign w:val="center"/>
          </w:tcPr>
          <w:p w14:paraId="63846BF4">
            <w:pPr>
              <w:autoSpaceDN w:val="0"/>
              <w:spacing w:line="240" w:lineRule="auto"/>
              <w:jc w:val="center"/>
              <w:textAlignment w:val="center"/>
              <w:rPr>
                <w:rFonts w:eastAsia="仿宋"/>
                <w:kern w:val="0"/>
                <w:sz w:val="21"/>
                <w:szCs w:val="21"/>
              </w:rPr>
            </w:pPr>
            <w:r>
              <w:rPr>
                <w:rFonts w:eastAsia="仿宋"/>
                <w:bCs/>
                <w:spacing w:val="-6"/>
                <w:sz w:val="21"/>
                <w:szCs w:val="21"/>
              </w:rPr>
              <w:t>邓邦庆</w:t>
            </w:r>
          </w:p>
        </w:tc>
        <w:tc>
          <w:tcPr>
            <w:tcW w:w="855" w:type="dxa"/>
            <w:noWrap/>
            <w:vAlign w:val="center"/>
          </w:tcPr>
          <w:p w14:paraId="27E3106D">
            <w:pPr>
              <w:autoSpaceDN w:val="0"/>
              <w:spacing w:line="240" w:lineRule="auto"/>
              <w:jc w:val="center"/>
              <w:textAlignment w:val="center"/>
              <w:rPr>
                <w:rFonts w:eastAsia="仿宋"/>
                <w:kern w:val="0"/>
                <w:sz w:val="21"/>
                <w:szCs w:val="21"/>
              </w:rPr>
            </w:pPr>
            <w:r>
              <w:rPr>
                <w:rFonts w:eastAsia="仿宋"/>
                <w:bCs/>
                <w:spacing w:val="-6"/>
                <w:sz w:val="21"/>
                <w:szCs w:val="21"/>
              </w:rPr>
              <w:t>男</w:t>
            </w:r>
          </w:p>
        </w:tc>
        <w:tc>
          <w:tcPr>
            <w:tcW w:w="2326" w:type="dxa"/>
            <w:noWrap/>
            <w:vAlign w:val="center"/>
          </w:tcPr>
          <w:p w14:paraId="3BC8EA35">
            <w:pPr>
              <w:autoSpaceDN w:val="0"/>
              <w:spacing w:line="240" w:lineRule="auto"/>
              <w:jc w:val="center"/>
              <w:textAlignment w:val="center"/>
              <w:rPr>
                <w:rFonts w:eastAsia="仿宋"/>
                <w:kern w:val="0"/>
                <w:sz w:val="21"/>
                <w:szCs w:val="21"/>
              </w:rPr>
            </w:pPr>
            <w:r>
              <w:rPr>
                <w:rFonts w:hint="eastAsia" w:eastAsia="仿宋"/>
                <w:bCs/>
                <w:spacing w:val="-6"/>
                <w:sz w:val="21"/>
                <w:szCs w:val="21"/>
              </w:rPr>
              <w:t>中铝贵州分公司安环部</w:t>
            </w:r>
          </w:p>
        </w:tc>
        <w:tc>
          <w:tcPr>
            <w:tcW w:w="1134" w:type="dxa"/>
            <w:noWrap/>
            <w:vAlign w:val="center"/>
          </w:tcPr>
          <w:p w14:paraId="3FB94744">
            <w:pPr>
              <w:autoSpaceDN w:val="0"/>
              <w:spacing w:line="240" w:lineRule="auto"/>
              <w:jc w:val="center"/>
              <w:textAlignment w:val="center"/>
              <w:rPr>
                <w:rFonts w:eastAsia="仿宋"/>
                <w:kern w:val="0"/>
                <w:sz w:val="21"/>
                <w:szCs w:val="21"/>
              </w:rPr>
            </w:pPr>
            <w:r>
              <w:rPr>
                <w:rFonts w:eastAsia="仿宋"/>
                <w:bCs/>
                <w:spacing w:val="-6"/>
                <w:sz w:val="21"/>
                <w:szCs w:val="21"/>
              </w:rPr>
              <w:t>环境工程</w:t>
            </w:r>
          </w:p>
        </w:tc>
        <w:tc>
          <w:tcPr>
            <w:tcW w:w="1418" w:type="dxa"/>
            <w:noWrap/>
            <w:vAlign w:val="center"/>
          </w:tcPr>
          <w:p w14:paraId="63F87EE9">
            <w:pPr>
              <w:autoSpaceDN w:val="0"/>
              <w:spacing w:line="240" w:lineRule="auto"/>
              <w:jc w:val="center"/>
              <w:textAlignment w:val="center"/>
              <w:rPr>
                <w:rFonts w:eastAsia="仿宋"/>
                <w:kern w:val="0"/>
                <w:sz w:val="21"/>
                <w:szCs w:val="21"/>
              </w:rPr>
            </w:pPr>
            <w:r>
              <w:rPr>
                <w:rFonts w:eastAsia="仿宋"/>
                <w:bCs/>
                <w:spacing w:val="-6"/>
                <w:sz w:val="21"/>
                <w:szCs w:val="21"/>
              </w:rPr>
              <w:t>教授级高工</w:t>
            </w:r>
          </w:p>
        </w:tc>
      </w:tr>
      <w:tr w14:paraId="634F35E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73" w:hRule="atLeast"/>
          <w:jc w:val="center"/>
        </w:trPr>
        <w:tc>
          <w:tcPr>
            <w:tcW w:w="774" w:type="dxa"/>
            <w:noWrap/>
            <w:vAlign w:val="center"/>
          </w:tcPr>
          <w:p w14:paraId="3F011CEA">
            <w:pPr>
              <w:autoSpaceDN w:val="0"/>
              <w:spacing w:line="240" w:lineRule="auto"/>
              <w:jc w:val="center"/>
              <w:textAlignment w:val="center"/>
              <w:rPr>
                <w:rFonts w:eastAsia="仿宋"/>
                <w:sz w:val="21"/>
                <w:szCs w:val="21"/>
              </w:rPr>
            </w:pPr>
            <w:r>
              <w:rPr>
                <w:rFonts w:eastAsia="仿宋"/>
                <w:sz w:val="21"/>
                <w:szCs w:val="21"/>
              </w:rPr>
              <w:t>6</w:t>
            </w:r>
          </w:p>
        </w:tc>
        <w:tc>
          <w:tcPr>
            <w:tcW w:w="930" w:type="dxa"/>
            <w:noWrap/>
            <w:vAlign w:val="center"/>
          </w:tcPr>
          <w:p w14:paraId="788103D8">
            <w:pPr>
              <w:autoSpaceDN w:val="0"/>
              <w:spacing w:line="240" w:lineRule="auto"/>
              <w:jc w:val="center"/>
              <w:textAlignment w:val="center"/>
              <w:rPr>
                <w:rFonts w:eastAsia="仿宋"/>
                <w:sz w:val="21"/>
                <w:szCs w:val="21"/>
              </w:rPr>
            </w:pPr>
            <w:r>
              <w:rPr>
                <w:rFonts w:eastAsia="仿宋"/>
                <w:sz w:val="21"/>
                <w:szCs w:val="21"/>
              </w:rPr>
              <w:t>张延林</w:t>
            </w:r>
          </w:p>
        </w:tc>
        <w:tc>
          <w:tcPr>
            <w:tcW w:w="855" w:type="dxa"/>
            <w:noWrap/>
            <w:vAlign w:val="center"/>
          </w:tcPr>
          <w:p w14:paraId="0BB7D8DE">
            <w:pPr>
              <w:autoSpaceDN w:val="0"/>
              <w:spacing w:line="240" w:lineRule="auto"/>
              <w:jc w:val="center"/>
              <w:textAlignment w:val="center"/>
              <w:rPr>
                <w:rFonts w:eastAsia="仿宋"/>
                <w:sz w:val="21"/>
                <w:szCs w:val="21"/>
              </w:rPr>
            </w:pPr>
            <w:r>
              <w:rPr>
                <w:rFonts w:eastAsia="仿宋"/>
                <w:sz w:val="21"/>
                <w:szCs w:val="21"/>
              </w:rPr>
              <w:t>男</w:t>
            </w:r>
          </w:p>
        </w:tc>
        <w:tc>
          <w:tcPr>
            <w:tcW w:w="2326" w:type="dxa"/>
            <w:noWrap/>
            <w:vAlign w:val="center"/>
          </w:tcPr>
          <w:p w14:paraId="25C70934">
            <w:pPr>
              <w:autoSpaceDN w:val="0"/>
              <w:spacing w:line="240" w:lineRule="auto"/>
              <w:jc w:val="center"/>
              <w:textAlignment w:val="center"/>
              <w:rPr>
                <w:rFonts w:eastAsia="仿宋"/>
                <w:sz w:val="21"/>
                <w:szCs w:val="21"/>
              </w:rPr>
            </w:pPr>
            <w:r>
              <w:rPr>
                <w:rFonts w:eastAsia="仿宋"/>
                <w:sz w:val="21"/>
                <w:szCs w:val="21"/>
              </w:rPr>
              <w:t>贵州省轻纺工业设计院</w:t>
            </w:r>
          </w:p>
        </w:tc>
        <w:tc>
          <w:tcPr>
            <w:tcW w:w="1134" w:type="dxa"/>
            <w:noWrap/>
            <w:vAlign w:val="center"/>
          </w:tcPr>
          <w:p w14:paraId="1BD01A5B">
            <w:pPr>
              <w:autoSpaceDN w:val="0"/>
              <w:spacing w:line="240" w:lineRule="auto"/>
              <w:jc w:val="center"/>
              <w:textAlignment w:val="center"/>
              <w:rPr>
                <w:rFonts w:eastAsia="仿宋"/>
                <w:sz w:val="21"/>
                <w:szCs w:val="21"/>
              </w:rPr>
            </w:pPr>
            <w:r>
              <w:rPr>
                <w:rFonts w:hint="eastAsia" w:eastAsia="仿宋"/>
                <w:sz w:val="21"/>
                <w:szCs w:val="21"/>
              </w:rPr>
              <w:t>轻工</w:t>
            </w:r>
          </w:p>
        </w:tc>
        <w:tc>
          <w:tcPr>
            <w:tcW w:w="1418" w:type="dxa"/>
            <w:noWrap/>
            <w:vAlign w:val="center"/>
          </w:tcPr>
          <w:p w14:paraId="0DD5D1C8">
            <w:pPr>
              <w:autoSpaceDN w:val="0"/>
              <w:spacing w:line="240" w:lineRule="auto"/>
              <w:jc w:val="center"/>
              <w:textAlignment w:val="center"/>
              <w:rPr>
                <w:rFonts w:eastAsia="仿宋"/>
                <w:sz w:val="21"/>
                <w:szCs w:val="21"/>
              </w:rPr>
            </w:pPr>
            <w:r>
              <w:rPr>
                <w:rFonts w:eastAsia="仿宋"/>
                <w:bCs/>
                <w:spacing w:val="-6"/>
                <w:sz w:val="21"/>
                <w:szCs w:val="21"/>
              </w:rPr>
              <w:t>教授级高工</w:t>
            </w:r>
            <w:r>
              <w:rPr>
                <w:rFonts w:hint="eastAsia" w:eastAsia="仿宋"/>
                <w:bCs/>
                <w:spacing w:val="-6"/>
                <w:sz w:val="21"/>
                <w:szCs w:val="21"/>
              </w:rPr>
              <w:t>/</w:t>
            </w:r>
            <w:r>
              <w:rPr>
                <w:rFonts w:eastAsia="仿宋"/>
                <w:sz w:val="21"/>
                <w:szCs w:val="21"/>
              </w:rPr>
              <w:t>院长</w:t>
            </w:r>
          </w:p>
        </w:tc>
      </w:tr>
      <w:tr w14:paraId="4203505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73" w:hRule="atLeast"/>
          <w:jc w:val="center"/>
        </w:trPr>
        <w:tc>
          <w:tcPr>
            <w:tcW w:w="774" w:type="dxa"/>
            <w:noWrap/>
            <w:vAlign w:val="center"/>
          </w:tcPr>
          <w:p w14:paraId="3CCD48B0">
            <w:pPr>
              <w:autoSpaceDN w:val="0"/>
              <w:spacing w:line="240" w:lineRule="auto"/>
              <w:jc w:val="center"/>
              <w:textAlignment w:val="center"/>
              <w:rPr>
                <w:rFonts w:eastAsia="仿宋"/>
                <w:sz w:val="21"/>
                <w:szCs w:val="21"/>
              </w:rPr>
            </w:pPr>
            <w:r>
              <w:rPr>
                <w:rFonts w:eastAsia="仿宋"/>
                <w:sz w:val="21"/>
                <w:szCs w:val="21"/>
              </w:rPr>
              <w:t>7</w:t>
            </w:r>
          </w:p>
        </w:tc>
        <w:tc>
          <w:tcPr>
            <w:tcW w:w="930" w:type="dxa"/>
            <w:noWrap/>
            <w:vAlign w:val="center"/>
          </w:tcPr>
          <w:p w14:paraId="23F39E64">
            <w:pPr>
              <w:autoSpaceDN w:val="0"/>
              <w:spacing w:line="240" w:lineRule="auto"/>
              <w:jc w:val="center"/>
              <w:textAlignment w:val="center"/>
              <w:rPr>
                <w:rFonts w:eastAsia="仿宋"/>
                <w:sz w:val="21"/>
                <w:szCs w:val="21"/>
              </w:rPr>
            </w:pPr>
            <w:r>
              <w:rPr>
                <w:rFonts w:eastAsia="仿宋"/>
                <w:sz w:val="21"/>
                <w:szCs w:val="21"/>
              </w:rPr>
              <w:t>孙  萍</w:t>
            </w:r>
          </w:p>
        </w:tc>
        <w:tc>
          <w:tcPr>
            <w:tcW w:w="855" w:type="dxa"/>
            <w:noWrap/>
            <w:vAlign w:val="center"/>
          </w:tcPr>
          <w:p w14:paraId="2AC10D91">
            <w:pPr>
              <w:autoSpaceDN w:val="0"/>
              <w:spacing w:line="240" w:lineRule="auto"/>
              <w:jc w:val="center"/>
              <w:textAlignment w:val="center"/>
              <w:rPr>
                <w:rFonts w:eastAsia="仿宋"/>
                <w:sz w:val="21"/>
                <w:szCs w:val="21"/>
              </w:rPr>
            </w:pPr>
            <w:r>
              <w:rPr>
                <w:rFonts w:eastAsia="仿宋"/>
                <w:sz w:val="21"/>
                <w:szCs w:val="21"/>
              </w:rPr>
              <w:t>女</w:t>
            </w:r>
          </w:p>
        </w:tc>
        <w:tc>
          <w:tcPr>
            <w:tcW w:w="2326" w:type="dxa"/>
            <w:noWrap/>
            <w:vAlign w:val="center"/>
          </w:tcPr>
          <w:p w14:paraId="12E490CA">
            <w:pPr>
              <w:autoSpaceDN w:val="0"/>
              <w:spacing w:line="240" w:lineRule="auto"/>
              <w:jc w:val="center"/>
              <w:textAlignment w:val="center"/>
              <w:rPr>
                <w:rFonts w:eastAsia="仿宋"/>
                <w:sz w:val="21"/>
                <w:szCs w:val="21"/>
              </w:rPr>
            </w:pPr>
            <w:r>
              <w:rPr>
                <w:rFonts w:eastAsia="仿宋"/>
                <w:sz w:val="21"/>
                <w:szCs w:val="21"/>
              </w:rPr>
              <w:t>贵阳铝镁设计研究院</w:t>
            </w:r>
          </w:p>
        </w:tc>
        <w:tc>
          <w:tcPr>
            <w:tcW w:w="1134" w:type="dxa"/>
            <w:noWrap/>
            <w:vAlign w:val="center"/>
          </w:tcPr>
          <w:p w14:paraId="749716FD">
            <w:pPr>
              <w:autoSpaceDN w:val="0"/>
              <w:spacing w:line="240" w:lineRule="auto"/>
              <w:jc w:val="center"/>
              <w:textAlignment w:val="center"/>
              <w:rPr>
                <w:rFonts w:eastAsia="仿宋"/>
                <w:sz w:val="21"/>
                <w:szCs w:val="21"/>
              </w:rPr>
            </w:pPr>
            <w:r>
              <w:rPr>
                <w:rFonts w:eastAsia="仿宋"/>
                <w:sz w:val="21"/>
                <w:szCs w:val="21"/>
              </w:rPr>
              <w:t>环境工程</w:t>
            </w:r>
          </w:p>
        </w:tc>
        <w:tc>
          <w:tcPr>
            <w:tcW w:w="1418" w:type="dxa"/>
            <w:noWrap/>
            <w:vAlign w:val="center"/>
          </w:tcPr>
          <w:p w14:paraId="2DE6B897">
            <w:pPr>
              <w:autoSpaceDN w:val="0"/>
              <w:spacing w:line="240" w:lineRule="auto"/>
              <w:jc w:val="center"/>
              <w:textAlignment w:val="center"/>
              <w:rPr>
                <w:rFonts w:eastAsia="仿宋"/>
                <w:sz w:val="21"/>
                <w:szCs w:val="21"/>
              </w:rPr>
            </w:pPr>
            <w:r>
              <w:rPr>
                <w:rFonts w:eastAsia="仿宋"/>
                <w:sz w:val="21"/>
                <w:szCs w:val="21"/>
              </w:rPr>
              <w:t>主任工程师</w:t>
            </w:r>
          </w:p>
        </w:tc>
      </w:tr>
      <w:tr w14:paraId="4755E83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73" w:hRule="atLeast"/>
          <w:jc w:val="center"/>
        </w:trPr>
        <w:tc>
          <w:tcPr>
            <w:tcW w:w="774" w:type="dxa"/>
            <w:noWrap/>
            <w:vAlign w:val="center"/>
          </w:tcPr>
          <w:p w14:paraId="77509ABB">
            <w:pPr>
              <w:autoSpaceDN w:val="0"/>
              <w:spacing w:line="240" w:lineRule="auto"/>
              <w:jc w:val="center"/>
              <w:textAlignment w:val="center"/>
              <w:rPr>
                <w:rFonts w:eastAsia="仿宋"/>
                <w:sz w:val="21"/>
                <w:szCs w:val="21"/>
              </w:rPr>
            </w:pPr>
            <w:r>
              <w:rPr>
                <w:rFonts w:eastAsia="仿宋"/>
                <w:sz w:val="21"/>
                <w:szCs w:val="21"/>
              </w:rPr>
              <w:t>8</w:t>
            </w:r>
          </w:p>
        </w:tc>
        <w:tc>
          <w:tcPr>
            <w:tcW w:w="930" w:type="dxa"/>
            <w:noWrap/>
            <w:vAlign w:val="center"/>
          </w:tcPr>
          <w:p w14:paraId="24B2AF93">
            <w:pPr>
              <w:autoSpaceDN w:val="0"/>
              <w:spacing w:line="240" w:lineRule="auto"/>
              <w:jc w:val="center"/>
              <w:textAlignment w:val="center"/>
              <w:rPr>
                <w:rFonts w:eastAsia="仿宋"/>
                <w:sz w:val="21"/>
                <w:szCs w:val="21"/>
              </w:rPr>
            </w:pPr>
            <w:r>
              <w:rPr>
                <w:rFonts w:eastAsia="仿宋"/>
                <w:sz w:val="21"/>
                <w:szCs w:val="21"/>
              </w:rPr>
              <w:t>邵  冰</w:t>
            </w:r>
          </w:p>
        </w:tc>
        <w:tc>
          <w:tcPr>
            <w:tcW w:w="855" w:type="dxa"/>
            <w:noWrap/>
            <w:vAlign w:val="center"/>
          </w:tcPr>
          <w:p w14:paraId="5073AA6E">
            <w:pPr>
              <w:autoSpaceDN w:val="0"/>
              <w:spacing w:line="240" w:lineRule="auto"/>
              <w:jc w:val="center"/>
              <w:textAlignment w:val="center"/>
              <w:rPr>
                <w:rFonts w:eastAsia="仿宋"/>
                <w:sz w:val="21"/>
                <w:szCs w:val="21"/>
              </w:rPr>
            </w:pPr>
            <w:r>
              <w:rPr>
                <w:rFonts w:eastAsia="仿宋"/>
                <w:sz w:val="21"/>
                <w:szCs w:val="21"/>
              </w:rPr>
              <w:t>男</w:t>
            </w:r>
          </w:p>
        </w:tc>
        <w:tc>
          <w:tcPr>
            <w:tcW w:w="2326" w:type="dxa"/>
            <w:noWrap/>
            <w:vAlign w:val="center"/>
          </w:tcPr>
          <w:p w14:paraId="5C17A77C">
            <w:pPr>
              <w:autoSpaceDN w:val="0"/>
              <w:spacing w:line="240" w:lineRule="auto"/>
              <w:jc w:val="center"/>
              <w:textAlignment w:val="center"/>
              <w:rPr>
                <w:rFonts w:eastAsia="仿宋"/>
                <w:sz w:val="21"/>
                <w:szCs w:val="21"/>
              </w:rPr>
            </w:pPr>
            <w:r>
              <w:rPr>
                <w:rFonts w:eastAsia="仿宋"/>
                <w:sz w:val="21"/>
                <w:szCs w:val="21"/>
              </w:rPr>
              <w:t>贵州省化工</w:t>
            </w:r>
            <w:r>
              <w:rPr>
                <w:rFonts w:hint="eastAsia" w:eastAsia="仿宋"/>
                <w:sz w:val="21"/>
                <w:szCs w:val="21"/>
              </w:rPr>
              <w:t>研究</w:t>
            </w:r>
            <w:r>
              <w:rPr>
                <w:rFonts w:eastAsia="仿宋"/>
                <w:sz w:val="21"/>
                <w:szCs w:val="21"/>
              </w:rPr>
              <w:t>院</w:t>
            </w:r>
          </w:p>
        </w:tc>
        <w:tc>
          <w:tcPr>
            <w:tcW w:w="1134" w:type="dxa"/>
            <w:noWrap/>
            <w:vAlign w:val="center"/>
          </w:tcPr>
          <w:p w14:paraId="0E5ED434">
            <w:pPr>
              <w:autoSpaceDN w:val="0"/>
              <w:spacing w:line="240" w:lineRule="auto"/>
              <w:jc w:val="center"/>
              <w:textAlignment w:val="center"/>
              <w:rPr>
                <w:rFonts w:eastAsia="仿宋"/>
                <w:sz w:val="21"/>
                <w:szCs w:val="21"/>
              </w:rPr>
            </w:pPr>
            <w:r>
              <w:rPr>
                <w:rFonts w:hint="eastAsia" w:eastAsia="仿宋"/>
                <w:sz w:val="21"/>
                <w:szCs w:val="21"/>
              </w:rPr>
              <w:t>环境应急</w:t>
            </w:r>
          </w:p>
        </w:tc>
        <w:tc>
          <w:tcPr>
            <w:tcW w:w="1418" w:type="dxa"/>
            <w:noWrap/>
            <w:vAlign w:val="center"/>
          </w:tcPr>
          <w:p w14:paraId="25A2CA27">
            <w:pPr>
              <w:autoSpaceDN w:val="0"/>
              <w:spacing w:line="240" w:lineRule="auto"/>
              <w:jc w:val="center"/>
              <w:textAlignment w:val="center"/>
              <w:rPr>
                <w:rFonts w:eastAsia="仿宋"/>
                <w:sz w:val="21"/>
                <w:szCs w:val="21"/>
              </w:rPr>
            </w:pPr>
            <w:r>
              <w:rPr>
                <w:rFonts w:eastAsia="仿宋"/>
                <w:sz w:val="21"/>
                <w:szCs w:val="21"/>
              </w:rPr>
              <w:t>副总工程师</w:t>
            </w:r>
          </w:p>
        </w:tc>
      </w:tr>
      <w:tr w14:paraId="6024F00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786" w:hRule="atLeast"/>
          <w:jc w:val="center"/>
        </w:trPr>
        <w:tc>
          <w:tcPr>
            <w:tcW w:w="774" w:type="dxa"/>
            <w:noWrap/>
            <w:vAlign w:val="center"/>
          </w:tcPr>
          <w:p w14:paraId="533765AE">
            <w:pPr>
              <w:autoSpaceDN w:val="0"/>
              <w:spacing w:line="240" w:lineRule="auto"/>
              <w:jc w:val="center"/>
              <w:textAlignment w:val="center"/>
              <w:rPr>
                <w:rFonts w:eastAsia="仿宋"/>
                <w:sz w:val="21"/>
                <w:szCs w:val="21"/>
              </w:rPr>
            </w:pPr>
            <w:r>
              <w:rPr>
                <w:rFonts w:eastAsia="仿宋"/>
                <w:sz w:val="21"/>
                <w:szCs w:val="21"/>
              </w:rPr>
              <w:t>9</w:t>
            </w:r>
          </w:p>
        </w:tc>
        <w:tc>
          <w:tcPr>
            <w:tcW w:w="930" w:type="dxa"/>
            <w:noWrap/>
            <w:vAlign w:val="center"/>
          </w:tcPr>
          <w:p w14:paraId="6D191F62">
            <w:pPr>
              <w:autoSpaceDN w:val="0"/>
              <w:spacing w:line="240" w:lineRule="auto"/>
              <w:jc w:val="center"/>
              <w:textAlignment w:val="center"/>
              <w:rPr>
                <w:rFonts w:eastAsia="仿宋"/>
                <w:sz w:val="21"/>
                <w:szCs w:val="21"/>
              </w:rPr>
            </w:pPr>
            <w:r>
              <w:rPr>
                <w:rFonts w:eastAsia="仿宋"/>
                <w:sz w:val="21"/>
                <w:szCs w:val="21"/>
              </w:rPr>
              <w:t>胡  军</w:t>
            </w:r>
          </w:p>
        </w:tc>
        <w:tc>
          <w:tcPr>
            <w:tcW w:w="855" w:type="dxa"/>
            <w:noWrap/>
            <w:vAlign w:val="center"/>
          </w:tcPr>
          <w:p w14:paraId="1F5EA613">
            <w:pPr>
              <w:autoSpaceDN w:val="0"/>
              <w:spacing w:line="240" w:lineRule="auto"/>
              <w:jc w:val="center"/>
              <w:textAlignment w:val="center"/>
              <w:rPr>
                <w:rFonts w:eastAsia="仿宋"/>
                <w:sz w:val="21"/>
                <w:szCs w:val="21"/>
              </w:rPr>
            </w:pPr>
            <w:r>
              <w:rPr>
                <w:rFonts w:eastAsia="仿宋"/>
                <w:sz w:val="21"/>
                <w:szCs w:val="21"/>
              </w:rPr>
              <w:t>男</w:t>
            </w:r>
          </w:p>
        </w:tc>
        <w:tc>
          <w:tcPr>
            <w:tcW w:w="2326" w:type="dxa"/>
            <w:noWrap/>
            <w:vAlign w:val="center"/>
          </w:tcPr>
          <w:p w14:paraId="4B7316E0">
            <w:pPr>
              <w:autoSpaceDN w:val="0"/>
              <w:spacing w:line="240" w:lineRule="auto"/>
              <w:jc w:val="center"/>
              <w:textAlignment w:val="center"/>
              <w:rPr>
                <w:rFonts w:eastAsia="仿宋"/>
                <w:sz w:val="21"/>
                <w:szCs w:val="21"/>
              </w:rPr>
            </w:pPr>
            <w:r>
              <w:rPr>
                <w:rFonts w:eastAsia="仿宋"/>
                <w:sz w:val="21"/>
                <w:szCs w:val="21"/>
              </w:rPr>
              <w:t>贵州省环境</w:t>
            </w:r>
            <w:r>
              <w:rPr>
                <w:rFonts w:hint="eastAsia" w:eastAsia="仿宋"/>
                <w:sz w:val="21"/>
                <w:szCs w:val="21"/>
              </w:rPr>
              <w:t>保护国际合作中心</w:t>
            </w:r>
          </w:p>
        </w:tc>
        <w:tc>
          <w:tcPr>
            <w:tcW w:w="1134" w:type="dxa"/>
            <w:noWrap/>
            <w:vAlign w:val="center"/>
          </w:tcPr>
          <w:p w14:paraId="16FF3EE4">
            <w:pPr>
              <w:autoSpaceDN w:val="0"/>
              <w:spacing w:line="240" w:lineRule="auto"/>
              <w:jc w:val="center"/>
              <w:textAlignment w:val="center"/>
              <w:rPr>
                <w:rFonts w:eastAsia="仿宋"/>
                <w:sz w:val="21"/>
                <w:szCs w:val="21"/>
              </w:rPr>
            </w:pPr>
            <w:r>
              <w:rPr>
                <w:rFonts w:hint="eastAsia" w:eastAsia="仿宋"/>
                <w:sz w:val="21"/>
                <w:szCs w:val="21"/>
              </w:rPr>
              <w:t>有机化工</w:t>
            </w:r>
          </w:p>
        </w:tc>
        <w:tc>
          <w:tcPr>
            <w:tcW w:w="1418" w:type="dxa"/>
            <w:noWrap/>
            <w:vAlign w:val="center"/>
          </w:tcPr>
          <w:p w14:paraId="474F52BB">
            <w:pPr>
              <w:autoSpaceDN w:val="0"/>
              <w:spacing w:line="240" w:lineRule="auto"/>
              <w:jc w:val="center"/>
              <w:textAlignment w:val="center"/>
              <w:rPr>
                <w:rFonts w:eastAsia="仿宋"/>
                <w:sz w:val="21"/>
                <w:szCs w:val="21"/>
              </w:rPr>
            </w:pPr>
            <w:r>
              <w:rPr>
                <w:rFonts w:hint="eastAsia" w:eastAsia="仿宋"/>
                <w:sz w:val="21"/>
                <w:szCs w:val="21"/>
              </w:rPr>
              <w:t>研究员</w:t>
            </w:r>
          </w:p>
        </w:tc>
      </w:tr>
      <w:tr w14:paraId="21DB7D5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73" w:hRule="atLeast"/>
          <w:jc w:val="center"/>
        </w:trPr>
        <w:tc>
          <w:tcPr>
            <w:tcW w:w="774" w:type="dxa"/>
            <w:noWrap/>
            <w:vAlign w:val="center"/>
          </w:tcPr>
          <w:p w14:paraId="280251EA">
            <w:pPr>
              <w:autoSpaceDN w:val="0"/>
              <w:spacing w:line="240" w:lineRule="auto"/>
              <w:jc w:val="center"/>
              <w:textAlignment w:val="center"/>
              <w:rPr>
                <w:rFonts w:eastAsia="仿宋"/>
                <w:sz w:val="21"/>
                <w:szCs w:val="21"/>
              </w:rPr>
            </w:pPr>
            <w:r>
              <w:rPr>
                <w:rFonts w:eastAsia="仿宋"/>
                <w:sz w:val="21"/>
                <w:szCs w:val="21"/>
              </w:rPr>
              <w:t>10</w:t>
            </w:r>
          </w:p>
        </w:tc>
        <w:tc>
          <w:tcPr>
            <w:tcW w:w="930" w:type="dxa"/>
            <w:noWrap/>
            <w:vAlign w:val="center"/>
          </w:tcPr>
          <w:p w14:paraId="051ED1F3">
            <w:pPr>
              <w:autoSpaceDN w:val="0"/>
              <w:spacing w:line="240" w:lineRule="auto"/>
              <w:jc w:val="center"/>
              <w:textAlignment w:val="center"/>
              <w:rPr>
                <w:rFonts w:eastAsia="仿宋"/>
                <w:sz w:val="21"/>
                <w:szCs w:val="21"/>
              </w:rPr>
            </w:pPr>
            <w:r>
              <w:rPr>
                <w:rFonts w:hint="eastAsia" w:eastAsia="仿宋"/>
                <w:sz w:val="21"/>
                <w:szCs w:val="21"/>
              </w:rPr>
              <w:t>李桂贤</w:t>
            </w:r>
          </w:p>
        </w:tc>
        <w:tc>
          <w:tcPr>
            <w:tcW w:w="855" w:type="dxa"/>
            <w:noWrap/>
            <w:vAlign w:val="center"/>
          </w:tcPr>
          <w:p w14:paraId="08647B63">
            <w:pPr>
              <w:autoSpaceDN w:val="0"/>
              <w:spacing w:line="240" w:lineRule="auto"/>
              <w:jc w:val="center"/>
              <w:textAlignment w:val="center"/>
              <w:rPr>
                <w:rFonts w:eastAsia="仿宋"/>
                <w:sz w:val="21"/>
                <w:szCs w:val="21"/>
              </w:rPr>
            </w:pPr>
            <w:r>
              <w:rPr>
                <w:rFonts w:eastAsia="仿宋"/>
                <w:sz w:val="21"/>
                <w:szCs w:val="21"/>
              </w:rPr>
              <w:t>女</w:t>
            </w:r>
          </w:p>
        </w:tc>
        <w:tc>
          <w:tcPr>
            <w:tcW w:w="2326" w:type="dxa"/>
            <w:noWrap/>
            <w:vAlign w:val="center"/>
          </w:tcPr>
          <w:p w14:paraId="42AB20F9">
            <w:pPr>
              <w:autoSpaceDN w:val="0"/>
              <w:spacing w:line="240" w:lineRule="auto"/>
              <w:jc w:val="center"/>
              <w:textAlignment w:val="center"/>
              <w:rPr>
                <w:rFonts w:eastAsia="仿宋"/>
                <w:sz w:val="21"/>
                <w:szCs w:val="21"/>
              </w:rPr>
            </w:pPr>
            <w:r>
              <w:rPr>
                <w:rFonts w:eastAsia="仿宋"/>
                <w:sz w:val="21"/>
                <w:szCs w:val="21"/>
              </w:rPr>
              <w:t>贵州</w:t>
            </w:r>
            <w:r>
              <w:rPr>
                <w:rFonts w:hint="eastAsia" w:eastAsia="仿宋"/>
                <w:sz w:val="21"/>
                <w:szCs w:val="21"/>
              </w:rPr>
              <w:t>理工学院资源与环境工程学院</w:t>
            </w:r>
          </w:p>
        </w:tc>
        <w:tc>
          <w:tcPr>
            <w:tcW w:w="1134" w:type="dxa"/>
            <w:noWrap/>
            <w:vAlign w:val="center"/>
          </w:tcPr>
          <w:p w14:paraId="70DD461C">
            <w:pPr>
              <w:autoSpaceDN w:val="0"/>
              <w:spacing w:line="240" w:lineRule="auto"/>
              <w:jc w:val="center"/>
              <w:textAlignment w:val="center"/>
              <w:rPr>
                <w:rFonts w:eastAsia="仿宋"/>
                <w:sz w:val="21"/>
                <w:szCs w:val="21"/>
              </w:rPr>
            </w:pPr>
            <w:r>
              <w:rPr>
                <w:rFonts w:eastAsia="仿宋"/>
                <w:sz w:val="21"/>
                <w:szCs w:val="21"/>
              </w:rPr>
              <w:t>环境工程</w:t>
            </w:r>
          </w:p>
        </w:tc>
        <w:tc>
          <w:tcPr>
            <w:tcW w:w="1418" w:type="dxa"/>
            <w:noWrap/>
            <w:vAlign w:val="center"/>
          </w:tcPr>
          <w:p w14:paraId="7A28E226">
            <w:pPr>
              <w:autoSpaceDN w:val="0"/>
              <w:spacing w:line="240" w:lineRule="auto"/>
              <w:jc w:val="center"/>
              <w:textAlignment w:val="center"/>
              <w:rPr>
                <w:rFonts w:eastAsia="仿宋"/>
                <w:sz w:val="21"/>
                <w:szCs w:val="21"/>
              </w:rPr>
            </w:pPr>
            <w:r>
              <w:rPr>
                <w:rFonts w:hint="eastAsia" w:eastAsia="仿宋"/>
                <w:sz w:val="21"/>
                <w:szCs w:val="21"/>
              </w:rPr>
              <w:t>教授/副院长</w:t>
            </w:r>
          </w:p>
        </w:tc>
      </w:tr>
      <w:tr w14:paraId="1AF267F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73" w:hRule="atLeast"/>
          <w:jc w:val="center"/>
        </w:trPr>
        <w:tc>
          <w:tcPr>
            <w:tcW w:w="774" w:type="dxa"/>
            <w:noWrap/>
            <w:vAlign w:val="center"/>
          </w:tcPr>
          <w:p w14:paraId="64559D5E">
            <w:pPr>
              <w:autoSpaceDN w:val="0"/>
              <w:spacing w:line="240" w:lineRule="auto"/>
              <w:jc w:val="center"/>
              <w:textAlignment w:val="center"/>
              <w:rPr>
                <w:rFonts w:eastAsia="仿宋"/>
                <w:sz w:val="21"/>
                <w:szCs w:val="21"/>
              </w:rPr>
            </w:pPr>
            <w:r>
              <w:rPr>
                <w:rFonts w:eastAsia="仿宋"/>
                <w:sz w:val="21"/>
                <w:szCs w:val="21"/>
              </w:rPr>
              <w:t>11</w:t>
            </w:r>
          </w:p>
        </w:tc>
        <w:tc>
          <w:tcPr>
            <w:tcW w:w="930" w:type="dxa"/>
            <w:noWrap/>
            <w:vAlign w:val="center"/>
          </w:tcPr>
          <w:p w14:paraId="28A180E0">
            <w:pPr>
              <w:autoSpaceDN w:val="0"/>
              <w:spacing w:line="240" w:lineRule="auto"/>
              <w:jc w:val="center"/>
              <w:textAlignment w:val="center"/>
              <w:rPr>
                <w:rFonts w:eastAsia="仿宋"/>
                <w:sz w:val="21"/>
                <w:szCs w:val="21"/>
              </w:rPr>
            </w:pPr>
            <w:r>
              <w:rPr>
                <w:rFonts w:hint="eastAsia" w:eastAsia="仿宋"/>
                <w:sz w:val="21"/>
                <w:szCs w:val="21"/>
              </w:rPr>
              <w:t>李金娟</w:t>
            </w:r>
          </w:p>
        </w:tc>
        <w:tc>
          <w:tcPr>
            <w:tcW w:w="855" w:type="dxa"/>
            <w:noWrap/>
            <w:vAlign w:val="center"/>
          </w:tcPr>
          <w:p w14:paraId="4C25EA57">
            <w:pPr>
              <w:autoSpaceDN w:val="0"/>
              <w:spacing w:line="240" w:lineRule="auto"/>
              <w:jc w:val="center"/>
              <w:textAlignment w:val="center"/>
              <w:rPr>
                <w:rFonts w:eastAsia="仿宋"/>
                <w:sz w:val="21"/>
                <w:szCs w:val="21"/>
              </w:rPr>
            </w:pPr>
            <w:r>
              <w:rPr>
                <w:rFonts w:hint="eastAsia" w:eastAsia="仿宋"/>
                <w:sz w:val="21"/>
                <w:szCs w:val="21"/>
              </w:rPr>
              <w:t>女</w:t>
            </w:r>
          </w:p>
        </w:tc>
        <w:tc>
          <w:tcPr>
            <w:tcW w:w="2326" w:type="dxa"/>
            <w:noWrap/>
            <w:vAlign w:val="center"/>
          </w:tcPr>
          <w:p w14:paraId="70AADDA2">
            <w:pPr>
              <w:autoSpaceDN w:val="0"/>
              <w:spacing w:line="240" w:lineRule="auto"/>
              <w:jc w:val="center"/>
              <w:textAlignment w:val="center"/>
              <w:rPr>
                <w:rFonts w:eastAsia="仿宋"/>
                <w:sz w:val="21"/>
                <w:szCs w:val="21"/>
              </w:rPr>
            </w:pPr>
            <w:r>
              <w:rPr>
                <w:rFonts w:eastAsia="仿宋"/>
                <w:sz w:val="21"/>
                <w:szCs w:val="21"/>
              </w:rPr>
              <w:t>贵州</w:t>
            </w:r>
            <w:r>
              <w:rPr>
                <w:rFonts w:hint="eastAsia" w:eastAsia="仿宋"/>
                <w:sz w:val="21"/>
                <w:szCs w:val="21"/>
              </w:rPr>
              <w:t>大学资源与环境工程学院</w:t>
            </w:r>
          </w:p>
        </w:tc>
        <w:tc>
          <w:tcPr>
            <w:tcW w:w="1134" w:type="dxa"/>
            <w:noWrap/>
            <w:vAlign w:val="center"/>
          </w:tcPr>
          <w:p w14:paraId="299CC0EB">
            <w:pPr>
              <w:autoSpaceDN w:val="0"/>
              <w:spacing w:line="240" w:lineRule="auto"/>
              <w:jc w:val="center"/>
              <w:textAlignment w:val="center"/>
              <w:rPr>
                <w:rFonts w:eastAsia="仿宋"/>
                <w:sz w:val="21"/>
                <w:szCs w:val="21"/>
              </w:rPr>
            </w:pPr>
            <w:r>
              <w:rPr>
                <w:rFonts w:eastAsia="仿宋"/>
                <w:sz w:val="21"/>
                <w:szCs w:val="21"/>
              </w:rPr>
              <w:t>环境工程</w:t>
            </w:r>
          </w:p>
        </w:tc>
        <w:tc>
          <w:tcPr>
            <w:tcW w:w="1418" w:type="dxa"/>
            <w:noWrap/>
            <w:vAlign w:val="center"/>
          </w:tcPr>
          <w:p w14:paraId="58C3171C">
            <w:pPr>
              <w:autoSpaceDN w:val="0"/>
              <w:spacing w:line="240" w:lineRule="auto"/>
              <w:jc w:val="center"/>
              <w:textAlignment w:val="center"/>
              <w:rPr>
                <w:rFonts w:eastAsia="仿宋"/>
                <w:sz w:val="21"/>
                <w:szCs w:val="21"/>
              </w:rPr>
            </w:pPr>
            <w:r>
              <w:rPr>
                <w:rFonts w:hint="eastAsia" w:eastAsia="仿宋"/>
                <w:sz w:val="21"/>
                <w:szCs w:val="21"/>
              </w:rPr>
              <w:t>教授</w:t>
            </w:r>
          </w:p>
        </w:tc>
      </w:tr>
      <w:tr w14:paraId="0630E68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73" w:hRule="atLeast"/>
          <w:jc w:val="center"/>
        </w:trPr>
        <w:tc>
          <w:tcPr>
            <w:tcW w:w="774" w:type="dxa"/>
            <w:noWrap/>
            <w:vAlign w:val="center"/>
          </w:tcPr>
          <w:p w14:paraId="0A6ABD86">
            <w:pPr>
              <w:autoSpaceDN w:val="0"/>
              <w:spacing w:line="240" w:lineRule="auto"/>
              <w:jc w:val="center"/>
              <w:textAlignment w:val="center"/>
              <w:rPr>
                <w:rFonts w:eastAsia="仿宋"/>
                <w:sz w:val="21"/>
                <w:szCs w:val="21"/>
              </w:rPr>
            </w:pPr>
            <w:r>
              <w:rPr>
                <w:rFonts w:hint="eastAsia" w:eastAsia="仿宋"/>
                <w:sz w:val="21"/>
                <w:szCs w:val="21"/>
              </w:rPr>
              <w:t>1</w:t>
            </w:r>
            <w:r>
              <w:rPr>
                <w:rFonts w:eastAsia="仿宋"/>
                <w:sz w:val="21"/>
                <w:szCs w:val="21"/>
              </w:rPr>
              <w:t>2</w:t>
            </w:r>
          </w:p>
        </w:tc>
        <w:tc>
          <w:tcPr>
            <w:tcW w:w="930" w:type="dxa"/>
            <w:noWrap/>
            <w:vAlign w:val="center"/>
          </w:tcPr>
          <w:p w14:paraId="5922F5CE">
            <w:pPr>
              <w:autoSpaceDN w:val="0"/>
              <w:spacing w:line="240" w:lineRule="auto"/>
              <w:jc w:val="center"/>
              <w:textAlignment w:val="center"/>
              <w:rPr>
                <w:rFonts w:eastAsia="仿宋"/>
                <w:sz w:val="21"/>
                <w:szCs w:val="21"/>
              </w:rPr>
            </w:pPr>
            <w:r>
              <w:rPr>
                <w:rFonts w:hint="eastAsia" w:eastAsia="仿宋"/>
                <w:sz w:val="21"/>
                <w:szCs w:val="21"/>
              </w:rPr>
              <w:t xml:space="preserve">李 </w:t>
            </w:r>
            <w:r>
              <w:rPr>
                <w:rFonts w:eastAsia="仿宋"/>
                <w:sz w:val="21"/>
                <w:szCs w:val="21"/>
              </w:rPr>
              <w:t xml:space="preserve"> </w:t>
            </w:r>
            <w:r>
              <w:rPr>
                <w:rFonts w:hint="eastAsia" w:eastAsia="仿宋"/>
                <w:sz w:val="21"/>
                <w:szCs w:val="21"/>
              </w:rPr>
              <w:t>敏</w:t>
            </w:r>
          </w:p>
        </w:tc>
        <w:tc>
          <w:tcPr>
            <w:tcW w:w="855" w:type="dxa"/>
            <w:noWrap/>
            <w:vAlign w:val="center"/>
          </w:tcPr>
          <w:p w14:paraId="73B6CD6F">
            <w:pPr>
              <w:autoSpaceDN w:val="0"/>
              <w:spacing w:line="240" w:lineRule="auto"/>
              <w:jc w:val="center"/>
              <w:textAlignment w:val="center"/>
              <w:rPr>
                <w:rFonts w:eastAsia="仿宋"/>
                <w:sz w:val="21"/>
                <w:szCs w:val="21"/>
              </w:rPr>
            </w:pPr>
            <w:r>
              <w:rPr>
                <w:rFonts w:hint="eastAsia" w:eastAsia="仿宋"/>
                <w:sz w:val="21"/>
                <w:szCs w:val="21"/>
              </w:rPr>
              <w:t>女</w:t>
            </w:r>
          </w:p>
        </w:tc>
        <w:tc>
          <w:tcPr>
            <w:tcW w:w="2326" w:type="dxa"/>
            <w:noWrap/>
            <w:vAlign w:val="center"/>
          </w:tcPr>
          <w:p w14:paraId="3F314FE8">
            <w:pPr>
              <w:autoSpaceDN w:val="0"/>
              <w:spacing w:line="240" w:lineRule="auto"/>
              <w:jc w:val="center"/>
              <w:textAlignment w:val="center"/>
              <w:rPr>
                <w:rFonts w:eastAsia="仿宋"/>
                <w:sz w:val="21"/>
                <w:szCs w:val="21"/>
              </w:rPr>
            </w:pPr>
            <w:r>
              <w:rPr>
                <w:rFonts w:hint="eastAsia" w:eastAsia="仿宋"/>
                <w:sz w:val="21"/>
                <w:szCs w:val="21"/>
              </w:rPr>
              <w:t>贵州省环科院</w:t>
            </w:r>
          </w:p>
        </w:tc>
        <w:tc>
          <w:tcPr>
            <w:tcW w:w="1134" w:type="dxa"/>
            <w:noWrap/>
            <w:vAlign w:val="center"/>
          </w:tcPr>
          <w:p w14:paraId="0893FA84">
            <w:pPr>
              <w:autoSpaceDN w:val="0"/>
              <w:spacing w:line="240" w:lineRule="auto"/>
              <w:jc w:val="center"/>
              <w:textAlignment w:val="center"/>
              <w:rPr>
                <w:rFonts w:eastAsia="仿宋"/>
                <w:sz w:val="21"/>
                <w:szCs w:val="21"/>
              </w:rPr>
            </w:pPr>
            <w:r>
              <w:rPr>
                <w:rFonts w:hint="eastAsia" w:eastAsia="仿宋"/>
                <w:sz w:val="21"/>
                <w:szCs w:val="21"/>
              </w:rPr>
              <w:t>环境科学</w:t>
            </w:r>
          </w:p>
        </w:tc>
        <w:tc>
          <w:tcPr>
            <w:tcW w:w="1418" w:type="dxa"/>
            <w:noWrap/>
            <w:vAlign w:val="center"/>
          </w:tcPr>
          <w:p w14:paraId="5855520B">
            <w:pPr>
              <w:autoSpaceDN w:val="0"/>
              <w:spacing w:line="240" w:lineRule="auto"/>
              <w:jc w:val="center"/>
              <w:textAlignment w:val="center"/>
              <w:rPr>
                <w:rFonts w:eastAsia="仿宋"/>
                <w:sz w:val="21"/>
                <w:szCs w:val="21"/>
              </w:rPr>
            </w:pPr>
            <w:r>
              <w:rPr>
                <w:rFonts w:hint="eastAsia" w:eastAsia="仿宋"/>
                <w:sz w:val="21"/>
                <w:szCs w:val="21"/>
              </w:rPr>
              <w:t>高级工程师</w:t>
            </w:r>
          </w:p>
        </w:tc>
      </w:tr>
      <w:tr w14:paraId="64B7D8E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73" w:hRule="atLeast"/>
          <w:jc w:val="center"/>
        </w:trPr>
        <w:tc>
          <w:tcPr>
            <w:tcW w:w="774" w:type="dxa"/>
            <w:noWrap/>
            <w:vAlign w:val="center"/>
          </w:tcPr>
          <w:p w14:paraId="27CD3EFF">
            <w:pPr>
              <w:autoSpaceDN w:val="0"/>
              <w:spacing w:line="240" w:lineRule="auto"/>
              <w:jc w:val="center"/>
              <w:textAlignment w:val="center"/>
              <w:rPr>
                <w:rFonts w:eastAsia="仿宋"/>
                <w:sz w:val="21"/>
                <w:szCs w:val="21"/>
              </w:rPr>
            </w:pPr>
            <w:r>
              <w:rPr>
                <w:rFonts w:hint="eastAsia" w:eastAsia="仿宋"/>
                <w:sz w:val="21"/>
                <w:szCs w:val="21"/>
              </w:rPr>
              <w:t>1</w:t>
            </w:r>
            <w:r>
              <w:rPr>
                <w:rFonts w:eastAsia="仿宋"/>
                <w:sz w:val="21"/>
                <w:szCs w:val="21"/>
              </w:rPr>
              <w:t>3</w:t>
            </w:r>
          </w:p>
        </w:tc>
        <w:tc>
          <w:tcPr>
            <w:tcW w:w="930" w:type="dxa"/>
            <w:noWrap/>
            <w:vAlign w:val="center"/>
          </w:tcPr>
          <w:p w14:paraId="0E54AB53">
            <w:pPr>
              <w:autoSpaceDN w:val="0"/>
              <w:spacing w:line="240" w:lineRule="auto"/>
              <w:jc w:val="center"/>
              <w:textAlignment w:val="center"/>
              <w:rPr>
                <w:rFonts w:eastAsia="仿宋"/>
                <w:sz w:val="21"/>
                <w:szCs w:val="21"/>
              </w:rPr>
            </w:pPr>
            <w:r>
              <w:rPr>
                <w:rFonts w:hint="eastAsia" w:eastAsia="仿宋"/>
                <w:sz w:val="21"/>
                <w:szCs w:val="21"/>
              </w:rPr>
              <w:t xml:space="preserve">夏 </w:t>
            </w:r>
            <w:r>
              <w:rPr>
                <w:rFonts w:eastAsia="仿宋"/>
                <w:sz w:val="21"/>
                <w:szCs w:val="21"/>
              </w:rPr>
              <w:t xml:space="preserve"> </w:t>
            </w:r>
            <w:r>
              <w:rPr>
                <w:rFonts w:hint="eastAsia" w:eastAsia="仿宋"/>
                <w:sz w:val="21"/>
                <w:szCs w:val="21"/>
              </w:rPr>
              <w:t>豪</w:t>
            </w:r>
          </w:p>
        </w:tc>
        <w:tc>
          <w:tcPr>
            <w:tcW w:w="855" w:type="dxa"/>
            <w:noWrap/>
            <w:vAlign w:val="center"/>
          </w:tcPr>
          <w:p w14:paraId="5979E80F">
            <w:pPr>
              <w:autoSpaceDN w:val="0"/>
              <w:spacing w:line="240" w:lineRule="auto"/>
              <w:jc w:val="center"/>
              <w:textAlignment w:val="center"/>
              <w:rPr>
                <w:rFonts w:eastAsia="仿宋"/>
                <w:sz w:val="21"/>
                <w:szCs w:val="21"/>
              </w:rPr>
            </w:pPr>
            <w:r>
              <w:rPr>
                <w:rFonts w:hint="eastAsia" w:eastAsia="仿宋"/>
                <w:sz w:val="21"/>
                <w:szCs w:val="21"/>
              </w:rPr>
              <w:t>男</w:t>
            </w:r>
          </w:p>
        </w:tc>
        <w:tc>
          <w:tcPr>
            <w:tcW w:w="2326" w:type="dxa"/>
            <w:noWrap/>
            <w:vAlign w:val="center"/>
          </w:tcPr>
          <w:p w14:paraId="7C0673D2">
            <w:pPr>
              <w:autoSpaceDN w:val="0"/>
              <w:spacing w:line="240" w:lineRule="auto"/>
              <w:jc w:val="center"/>
              <w:textAlignment w:val="center"/>
              <w:rPr>
                <w:rFonts w:eastAsia="仿宋"/>
                <w:sz w:val="21"/>
                <w:szCs w:val="21"/>
              </w:rPr>
            </w:pPr>
            <w:r>
              <w:rPr>
                <w:rFonts w:hint="eastAsia" w:eastAsia="仿宋"/>
                <w:sz w:val="21"/>
                <w:szCs w:val="21"/>
              </w:rPr>
              <w:t>中国电建贵阳勘测设计研究院有限公司</w:t>
            </w:r>
          </w:p>
        </w:tc>
        <w:tc>
          <w:tcPr>
            <w:tcW w:w="1134" w:type="dxa"/>
            <w:noWrap/>
            <w:vAlign w:val="center"/>
          </w:tcPr>
          <w:p w14:paraId="420F8F41">
            <w:pPr>
              <w:autoSpaceDN w:val="0"/>
              <w:spacing w:line="240" w:lineRule="auto"/>
              <w:jc w:val="center"/>
              <w:textAlignment w:val="center"/>
              <w:rPr>
                <w:rFonts w:eastAsia="仿宋"/>
                <w:sz w:val="21"/>
                <w:szCs w:val="21"/>
              </w:rPr>
            </w:pPr>
            <w:r>
              <w:rPr>
                <w:rFonts w:hint="eastAsia" w:eastAsia="仿宋"/>
                <w:sz w:val="21"/>
                <w:szCs w:val="21"/>
              </w:rPr>
              <w:t>水环境保护</w:t>
            </w:r>
          </w:p>
        </w:tc>
        <w:tc>
          <w:tcPr>
            <w:tcW w:w="1418" w:type="dxa"/>
            <w:noWrap/>
            <w:vAlign w:val="center"/>
          </w:tcPr>
          <w:p w14:paraId="26908170">
            <w:pPr>
              <w:autoSpaceDN w:val="0"/>
              <w:spacing w:line="240" w:lineRule="auto"/>
              <w:jc w:val="center"/>
              <w:textAlignment w:val="center"/>
              <w:rPr>
                <w:rFonts w:eastAsia="仿宋"/>
                <w:sz w:val="21"/>
                <w:szCs w:val="21"/>
              </w:rPr>
            </w:pPr>
            <w:r>
              <w:rPr>
                <w:rFonts w:hint="eastAsia" w:eastAsia="仿宋"/>
                <w:sz w:val="21"/>
                <w:szCs w:val="21"/>
              </w:rPr>
              <w:t>高级工程师</w:t>
            </w:r>
          </w:p>
        </w:tc>
      </w:tr>
      <w:tr w14:paraId="4982847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73" w:hRule="atLeast"/>
          <w:jc w:val="center"/>
        </w:trPr>
        <w:tc>
          <w:tcPr>
            <w:tcW w:w="774" w:type="dxa"/>
            <w:noWrap/>
            <w:vAlign w:val="center"/>
          </w:tcPr>
          <w:p w14:paraId="39C471E5">
            <w:pPr>
              <w:autoSpaceDN w:val="0"/>
              <w:spacing w:line="240" w:lineRule="auto"/>
              <w:jc w:val="center"/>
              <w:textAlignment w:val="center"/>
              <w:rPr>
                <w:rFonts w:eastAsia="仿宋"/>
                <w:sz w:val="21"/>
                <w:szCs w:val="21"/>
              </w:rPr>
            </w:pPr>
            <w:r>
              <w:rPr>
                <w:rFonts w:hint="eastAsia" w:eastAsia="仿宋"/>
                <w:sz w:val="21"/>
                <w:szCs w:val="21"/>
              </w:rPr>
              <w:t>1</w:t>
            </w:r>
            <w:r>
              <w:rPr>
                <w:rFonts w:eastAsia="仿宋"/>
                <w:sz w:val="21"/>
                <w:szCs w:val="21"/>
              </w:rPr>
              <w:t>4</w:t>
            </w:r>
          </w:p>
        </w:tc>
        <w:tc>
          <w:tcPr>
            <w:tcW w:w="930" w:type="dxa"/>
            <w:noWrap/>
            <w:vAlign w:val="center"/>
          </w:tcPr>
          <w:p w14:paraId="40E9ADA8">
            <w:pPr>
              <w:autoSpaceDN w:val="0"/>
              <w:spacing w:line="240" w:lineRule="auto"/>
              <w:jc w:val="center"/>
              <w:textAlignment w:val="center"/>
              <w:rPr>
                <w:rFonts w:eastAsia="仿宋"/>
                <w:sz w:val="21"/>
                <w:szCs w:val="21"/>
              </w:rPr>
            </w:pPr>
            <w:r>
              <w:rPr>
                <w:rFonts w:hint="eastAsia" w:eastAsia="仿宋"/>
                <w:sz w:val="21"/>
                <w:szCs w:val="21"/>
              </w:rPr>
              <w:t>袁海宁</w:t>
            </w:r>
          </w:p>
        </w:tc>
        <w:tc>
          <w:tcPr>
            <w:tcW w:w="855" w:type="dxa"/>
            <w:noWrap/>
            <w:vAlign w:val="center"/>
          </w:tcPr>
          <w:p w14:paraId="6F8FE0ED">
            <w:pPr>
              <w:autoSpaceDN w:val="0"/>
              <w:spacing w:line="240" w:lineRule="auto"/>
              <w:jc w:val="center"/>
              <w:textAlignment w:val="center"/>
              <w:rPr>
                <w:rFonts w:eastAsia="仿宋"/>
                <w:sz w:val="21"/>
                <w:szCs w:val="21"/>
              </w:rPr>
            </w:pPr>
            <w:r>
              <w:rPr>
                <w:rFonts w:hint="eastAsia" w:eastAsia="仿宋"/>
                <w:sz w:val="21"/>
                <w:szCs w:val="21"/>
              </w:rPr>
              <w:t>男</w:t>
            </w:r>
          </w:p>
        </w:tc>
        <w:tc>
          <w:tcPr>
            <w:tcW w:w="2326" w:type="dxa"/>
            <w:noWrap/>
            <w:vAlign w:val="center"/>
          </w:tcPr>
          <w:p w14:paraId="1173F74C">
            <w:pPr>
              <w:autoSpaceDN w:val="0"/>
              <w:spacing w:line="240" w:lineRule="auto"/>
              <w:jc w:val="center"/>
              <w:textAlignment w:val="center"/>
              <w:rPr>
                <w:rFonts w:eastAsia="仿宋"/>
                <w:sz w:val="21"/>
                <w:szCs w:val="21"/>
              </w:rPr>
            </w:pPr>
            <w:r>
              <w:rPr>
                <w:rFonts w:hint="eastAsia" w:eastAsia="仿宋"/>
                <w:sz w:val="21"/>
                <w:szCs w:val="21"/>
              </w:rPr>
              <w:t>中石化贵州石油分公司安全处</w:t>
            </w:r>
          </w:p>
        </w:tc>
        <w:tc>
          <w:tcPr>
            <w:tcW w:w="1134" w:type="dxa"/>
            <w:noWrap/>
            <w:vAlign w:val="center"/>
          </w:tcPr>
          <w:p w14:paraId="09AEA26B">
            <w:pPr>
              <w:autoSpaceDN w:val="0"/>
              <w:spacing w:line="240" w:lineRule="auto"/>
              <w:jc w:val="center"/>
              <w:textAlignment w:val="center"/>
              <w:rPr>
                <w:rFonts w:eastAsia="仿宋"/>
                <w:sz w:val="21"/>
                <w:szCs w:val="21"/>
              </w:rPr>
            </w:pPr>
            <w:r>
              <w:rPr>
                <w:rFonts w:hint="eastAsia" w:eastAsia="仿宋"/>
                <w:sz w:val="21"/>
                <w:szCs w:val="21"/>
              </w:rPr>
              <w:t>环保/应急/安全</w:t>
            </w:r>
          </w:p>
        </w:tc>
        <w:tc>
          <w:tcPr>
            <w:tcW w:w="1418" w:type="dxa"/>
            <w:noWrap/>
            <w:vAlign w:val="center"/>
          </w:tcPr>
          <w:p w14:paraId="10D60B8F">
            <w:pPr>
              <w:autoSpaceDN w:val="0"/>
              <w:spacing w:line="240" w:lineRule="auto"/>
              <w:jc w:val="center"/>
              <w:textAlignment w:val="center"/>
              <w:rPr>
                <w:rFonts w:eastAsia="仿宋"/>
                <w:sz w:val="21"/>
                <w:szCs w:val="21"/>
              </w:rPr>
            </w:pPr>
            <w:r>
              <w:rPr>
                <w:rFonts w:hint="eastAsia" w:eastAsia="仿宋"/>
                <w:sz w:val="21"/>
                <w:szCs w:val="21"/>
              </w:rPr>
              <w:t>注册安全工程师</w:t>
            </w:r>
          </w:p>
        </w:tc>
      </w:tr>
      <w:tr w14:paraId="77690B1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73" w:hRule="atLeast"/>
          <w:jc w:val="center"/>
        </w:trPr>
        <w:tc>
          <w:tcPr>
            <w:tcW w:w="774" w:type="dxa"/>
            <w:noWrap/>
            <w:vAlign w:val="center"/>
          </w:tcPr>
          <w:p w14:paraId="79A9B5C2">
            <w:pPr>
              <w:autoSpaceDN w:val="0"/>
              <w:spacing w:line="240" w:lineRule="auto"/>
              <w:jc w:val="center"/>
              <w:textAlignment w:val="center"/>
              <w:rPr>
                <w:rFonts w:eastAsia="仿宋"/>
                <w:sz w:val="21"/>
                <w:szCs w:val="21"/>
              </w:rPr>
            </w:pPr>
            <w:r>
              <w:rPr>
                <w:rFonts w:hint="eastAsia" w:eastAsia="仿宋"/>
                <w:sz w:val="21"/>
                <w:szCs w:val="21"/>
              </w:rPr>
              <w:t>1</w:t>
            </w:r>
            <w:r>
              <w:rPr>
                <w:rFonts w:eastAsia="仿宋"/>
                <w:sz w:val="21"/>
                <w:szCs w:val="21"/>
              </w:rPr>
              <w:t>5</w:t>
            </w:r>
          </w:p>
        </w:tc>
        <w:tc>
          <w:tcPr>
            <w:tcW w:w="930" w:type="dxa"/>
            <w:noWrap/>
            <w:vAlign w:val="center"/>
          </w:tcPr>
          <w:p w14:paraId="794CC11E">
            <w:pPr>
              <w:autoSpaceDN w:val="0"/>
              <w:spacing w:line="240" w:lineRule="auto"/>
              <w:jc w:val="center"/>
              <w:textAlignment w:val="center"/>
              <w:rPr>
                <w:rFonts w:eastAsia="仿宋"/>
                <w:sz w:val="21"/>
                <w:szCs w:val="21"/>
              </w:rPr>
            </w:pPr>
            <w:r>
              <w:rPr>
                <w:rFonts w:hint="eastAsia" w:eastAsia="仿宋"/>
                <w:sz w:val="21"/>
                <w:szCs w:val="21"/>
              </w:rPr>
              <w:t xml:space="preserve">曹 </w:t>
            </w:r>
            <w:r>
              <w:rPr>
                <w:rFonts w:eastAsia="仿宋"/>
                <w:sz w:val="21"/>
                <w:szCs w:val="21"/>
              </w:rPr>
              <w:t xml:space="preserve"> </w:t>
            </w:r>
            <w:r>
              <w:rPr>
                <w:rFonts w:hint="eastAsia" w:eastAsia="仿宋"/>
                <w:sz w:val="21"/>
                <w:szCs w:val="21"/>
              </w:rPr>
              <w:t>阳</w:t>
            </w:r>
          </w:p>
        </w:tc>
        <w:tc>
          <w:tcPr>
            <w:tcW w:w="855" w:type="dxa"/>
            <w:noWrap/>
            <w:vAlign w:val="center"/>
          </w:tcPr>
          <w:p w14:paraId="04FEC735">
            <w:pPr>
              <w:autoSpaceDN w:val="0"/>
              <w:spacing w:line="240" w:lineRule="auto"/>
              <w:jc w:val="center"/>
              <w:textAlignment w:val="center"/>
              <w:rPr>
                <w:rFonts w:eastAsia="仿宋"/>
                <w:sz w:val="21"/>
                <w:szCs w:val="21"/>
              </w:rPr>
            </w:pPr>
            <w:r>
              <w:rPr>
                <w:rFonts w:hint="eastAsia" w:eastAsia="仿宋"/>
                <w:sz w:val="21"/>
                <w:szCs w:val="21"/>
              </w:rPr>
              <w:t>女</w:t>
            </w:r>
          </w:p>
        </w:tc>
        <w:tc>
          <w:tcPr>
            <w:tcW w:w="2326" w:type="dxa"/>
            <w:noWrap/>
            <w:vAlign w:val="center"/>
          </w:tcPr>
          <w:p w14:paraId="3F5E13F7">
            <w:pPr>
              <w:autoSpaceDN w:val="0"/>
              <w:spacing w:line="240" w:lineRule="auto"/>
              <w:jc w:val="center"/>
              <w:textAlignment w:val="center"/>
              <w:rPr>
                <w:rFonts w:eastAsia="仿宋"/>
                <w:sz w:val="21"/>
                <w:szCs w:val="21"/>
              </w:rPr>
            </w:pPr>
            <w:r>
              <w:rPr>
                <w:rFonts w:hint="eastAsia" w:eastAsia="仿宋"/>
                <w:sz w:val="21"/>
                <w:szCs w:val="21"/>
              </w:rPr>
              <w:t>贵州大学化学工程学院</w:t>
            </w:r>
          </w:p>
        </w:tc>
        <w:tc>
          <w:tcPr>
            <w:tcW w:w="1134" w:type="dxa"/>
            <w:noWrap/>
            <w:vAlign w:val="center"/>
          </w:tcPr>
          <w:p w14:paraId="568A7EAF">
            <w:pPr>
              <w:autoSpaceDN w:val="0"/>
              <w:spacing w:line="240" w:lineRule="auto"/>
              <w:jc w:val="center"/>
              <w:textAlignment w:val="center"/>
              <w:rPr>
                <w:rFonts w:eastAsia="仿宋"/>
                <w:sz w:val="21"/>
                <w:szCs w:val="21"/>
              </w:rPr>
            </w:pPr>
            <w:r>
              <w:rPr>
                <w:rFonts w:hint="eastAsia" w:eastAsia="仿宋"/>
                <w:sz w:val="21"/>
                <w:szCs w:val="21"/>
              </w:rPr>
              <w:t>化学工程</w:t>
            </w:r>
          </w:p>
        </w:tc>
        <w:tc>
          <w:tcPr>
            <w:tcW w:w="1418" w:type="dxa"/>
            <w:noWrap/>
            <w:vAlign w:val="center"/>
          </w:tcPr>
          <w:p w14:paraId="1979819C">
            <w:pPr>
              <w:autoSpaceDN w:val="0"/>
              <w:spacing w:line="240" w:lineRule="auto"/>
              <w:jc w:val="center"/>
              <w:textAlignment w:val="center"/>
              <w:rPr>
                <w:rFonts w:eastAsia="仿宋"/>
                <w:sz w:val="21"/>
                <w:szCs w:val="21"/>
              </w:rPr>
            </w:pPr>
            <w:r>
              <w:rPr>
                <w:rFonts w:hint="eastAsia" w:eastAsia="仿宋"/>
                <w:sz w:val="21"/>
                <w:szCs w:val="21"/>
              </w:rPr>
              <w:t>副教授/主任</w:t>
            </w:r>
          </w:p>
        </w:tc>
      </w:tr>
    </w:tbl>
    <w:p w14:paraId="10F38D0E">
      <w:pPr>
        <w:widowControl/>
        <w:spacing w:line="240" w:lineRule="auto"/>
        <w:jc w:val="left"/>
        <w:rPr>
          <w:rFonts w:eastAsia="仿宋"/>
          <w:b/>
        </w:rPr>
      </w:pPr>
      <w:r>
        <w:rPr>
          <w:rFonts w:eastAsia="仿宋"/>
          <w:b/>
        </w:rPr>
        <w:br w:type="page"/>
      </w:r>
    </w:p>
    <w:p w14:paraId="5AF0FA48">
      <w:pPr>
        <w:widowControl/>
        <w:spacing w:line="276" w:lineRule="auto"/>
        <w:jc w:val="center"/>
        <w:rPr>
          <w:rFonts w:eastAsia="仿宋"/>
          <w:b/>
        </w:rPr>
      </w:pPr>
      <w:r>
        <w:rPr>
          <w:rFonts w:eastAsia="仿宋"/>
          <w:b/>
        </w:rPr>
        <w:t>附表3   突发事故应急处理技术体系</w:t>
      </w:r>
    </w:p>
    <w:tbl>
      <w:tblPr>
        <w:tblStyle w:val="15"/>
        <w:tblW w:w="8851"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2312"/>
        <w:gridCol w:w="6539"/>
      </w:tblGrid>
      <w:tr w14:paraId="0D22C2A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981" w:hRule="atLeast"/>
          <w:jc w:val="center"/>
        </w:trPr>
        <w:tc>
          <w:tcPr>
            <w:tcW w:w="2312" w:type="dxa"/>
            <w:vAlign w:val="center"/>
          </w:tcPr>
          <w:p w14:paraId="00EB911A">
            <w:pPr>
              <w:widowControl/>
              <w:jc w:val="center"/>
              <w:rPr>
                <w:rFonts w:eastAsia="仿宋"/>
                <w:kern w:val="0"/>
                <w:szCs w:val="21"/>
              </w:rPr>
            </w:pPr>
            <w:r>
              <w:rPr>
                <w:rFonts w:eastAsia="仿宋"/>
                <w:kern w:val="0"/>
                <w:szCs w:val="21"/>
              </w:rPr>
              <w:t>可吸附有机污染物的活性炭吸附技术</w:t>
            </w:r>
          </w:p>
        </w:tc>
        <w:tc>
          <w:tcPr>
            <w:tcW w:w="6539" w:type="dxa"/>
            <w:vAlign w:val="center"/>
          </w:tcPr>
          <w:p w14:paraId="2E331CE6">
            <w:pPr>
              <w:widowControl/>
              <w:rPr>
                <w:rFonts w:eastAsia="仿宋"/>
                <w:kern w:val="0"/>
                <w:szCs w:val="21"/>
              </w:rPr>
            </w:pPr>
            <w:r>
              <w:rPr>
                <w:rFonts w:eastAsia="仿宋"/>
                <w:kern w:val="0"/>
                <w:szCs w:val="21"/>
              </w:rPr>
              <w:t>粉末活性炭在取水口投加，对于取水口离净水厂有一定距离的水厂，粉末活性炭应在取水口处投加，在原输水管道中完成吸附过程，吸附污染物后的活性炭在净水过程中与泥沙浊度物质一起在沉淀池和滤池中被去除。</w:t>
            </w:r>
          </w:p>
        </w:tc>
      </w:tr>
      <w:tr w14:paraId="605DEA4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981" w:hRule="atLeast"/>
          <w:jc w:val="center"/>
        </w:trPr>
        <w:tc>
          <w:tcPr>
            <w:tcW w:w="2312" w:type="dxa"/>
            <w:vAlign w:val="center"/>
          </w:tcPr>
          <w:p w14:paraId="20012FF8">
            <w:pPr>
              <w:widowControl/>
              <w:jc w:val="center"/>
              <w:rPr>
                <w:rFonts w:eastAsia="仿宋"/>
                <w:kern w:val="0"/>
                <w:szCs w:val="21"/>
              </w:rPr>
            </w:pPr>
            <w:r>
              <w:rPr>
                <w:rFonts w:eastAsia="仿宋"/>
                <w:kern w:val="0"/>
                <w:szCs w:val="21"/>
              </w:rPr>
              <w:t>应对金属非金属污染物的化学沉淀技术</w:t>
            </w:r>
          </w:p>
        </w:tc>
        <w:tc>
          <w:tcPr>
            <w:tcW w:w="6539" w:type="dxa"/>
            <w:vAlign w:val="center"/>
          </w:tcPr>
          <w:p w14:paraId="1C7AEE45">
            <w:pPr>
              <w:widowControl/>
              <w:rPr>
                <w:rFonts w:eastAsia="仿宋"/>
                <w:kern w:val="0"/>
                <w:szCs w:val="21"/>
              </w:rPr>
            </w:pPr>
            <w:r>
              <w:rPr>
                <w:rFonts w:eastAsia="仿宋"/>
                <w:kern w:val="0"/>
                <w:szCs w:val="21"/>
              </w:rPr>
              <w:t>通过调整pH、投加沉淀剂或是改变污染离子价态，使污染金属或非金属离子生成难溶于水的固体沉淀物，再通过混凝沉淀处理，去除金属非金属污染物。</w:t>
            </w:r>
          </w:p>
        </w:tc>
      </w:tr>
      <w:tr w14:paraId="43F13AB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981" w:hRule="atLeast"/>
          <w:jc w:val="center"/>
        </w:trPr>
        <w:tc>
          <w:tcPr>
            <w:tcW w:w="2312" w:type="dxa"/>
            <w:vAlign w:val="center"/>
          </w:tcPr>
          <w:p w14:paraId="6ED4D8F7">
            <w:pPr>
              <w:widowControl/>
              <w:jc w:val="center"/>
              <w:rPr>
                <w:rFonts w:eastAsia="仿宋"/>
                <w:kern w:val="0"/>
                <w:szCs w:val="21"/>
              </w:rPr>
            </w:pPr>
            <w:r>
              <w:rPr>
                <w:rFonts w:eastAsia="仿宋"/>
                <w:kern w:val="0"/>
                <w:szCs w:val="21"/>
              </w:rPr>
              <w:t>应对还原性或者氧化性污染物的氧化还原技术</w:t>
            </w:r>
          </w:p>
        </w:tc>
        <w:tc>
          <w:tcPr>
            <w:tcW w:w="6539" w:type="dxa"/>
            <w:vAlign w:val="center"/>
          </w:tcPr>
          <w:p w14:paraId="23C7490B">
            <w:pPr>
              <w:widowControl/>
              <w:rPr>
                <w:rFonts w:eastAsia="仿宋"/>
                <w:kern w:val="0"/>
                <w:szCs w:val="21"/>
              </w:rPr>
            </w:pPr>
            <w:r>
              <w:rPr>
                <w:rFonts w:eastAsia="仿宋"/>
                <w:kern w:val="0"/>
                <w:szCs w:val="21"/>
              </w:rPr>
              <w:t>对于硫化物、氰化物等还原性污染物，可以在取水口处投加氧化剂，如高锰酸钾、氯等；对于六价铬等氧化性污染物，可以投加亚硫酸铁盐或亚铁混凝剂，具有很好的去除效果。</w:t>
            </w:r>
          </w:p>
        </w:tc>
      </w:tr>
      <w:tr w14:paraId="30BF095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981" w:hRule="atLeast"/>
          <w:jc w:val="center"/>
        </w:trPr>
        <w:tc>
          <w:tcPr>
            <w:tcW w:w="2312" w:type="dxa"/>
            <w:vAlign w:val="center"/>
          </w:tcPr>
          <w:p w14:paraId="11CEBEF7">
            <w:pPr>
              <w:widowControl/>
              <w:jc w:val="center"/>
              <w:rPr>
                <w:rFonts w:eastAsia="仿宋"/>
                <w:kern w:val="0"/>
                <w:szCs w:val="21"/>
              </w:rPr>
            </w:pPr>
            <w:r>
              <w:rPr>
                <w:rFonts w:eastAsia="仿宋"/>
                <w:kern w:val="0"/>
                <w:szCs w:val="21"/>
              </w:rPr>
              <w:t>应对难挥发性污染物的曝气吹脱技术</w:t>
            </w:r>
          </w:p>
        </w:tc>
        <w:tc>
          <w:tcPr>
            <w:tcW w:w="6539" w:type="dxa"/>
            <w:vAlign w:val="center"/>
          </w:tcPr>
          <w:p w14:paraId="21EABF9B">
            <w:pPr>
              <w:widowControl/>
              <w:rPr>
                <w:rFonts w:eastAsia="仿宋"/>
                <w:kern w:val="0"/>
                <w:szCs w:val="21"/>
              </w:rPr>
            </w:pPr>
            <w:r>
              <w:rPr>
                <w:rFonts w:eastAsia="仿宋"/>
                <w:kern w:val="0"/>
                <w:szCs w:val="21"/>
              </w:rPr>
              <w:t>可在难吸附和氧化的挥发性污染物，如卤代烃类等，可以在取水口外水源地设置应急曝气设备，吹脱去除。</w:t>
            </w:r>
          </w:p>
        </w:tc>
      </w:tr>
      <w:tr w14:paraId="3D6116E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981" w:hRule="atLeast"/>
          <w:jc w:val="center"/>
        </w:trPr>
        <w:tc>
          <w:tcPr>
            <w:tcW w:w="2312" w:type="dxa"/>
            <w:vAlign w:val="center"/>
          </w:tcPr>
          <w:p w14:paraId="227F4B21">
            <w:pPr>
              <w:widowControl/>
              <w:jc w:val="center"/>
              <w:rPr>
                <w:rFonts w:eastAsia="仿宋"/>
                <w:kern w:val="0"/>
                <w:szCs w:val="21"/>
              </w:rPr>
            </w:pPr>
            <w:r>
              <w:rPr>
                <w:rFonts w:eastAsia="仿宋"/>
                <w:kern w:val="0"/>
                <w:szCs w:val="21"/>
              </w:rPr>
              <w:t>应对微生物污染的强化消毒技术</w:t>
            </w:r>
          </w:p>
        </w:tc>
        <w:tc>
          <w:tcPr>
            <w:tcW w:w="6539" w:type="dxa"/>
            <w:vAlign w:val="center"/>
          </w:tcPr>
          <w:p w14:paraId="6CC84E78">
            <w:pPr>
              <w:widowControl/>
              <w:rPr>
                <w:rFonts w:eastAsia="仿宋"/>
                <w:kern w:val="0"/>
                <w:szCs w:val="21"/>
              </w:rPr>
            </w:pPr>
            <w:r>
              <w:rPr>
                <w:rFonts w:eastAsia="仿宋"/>
                <w:kern w:val="0"/>
                <w:szCs w:val="21"/>
              </w:rPr>
              <w:t>通过增加前置预消毒和加强主消毒的强化消毒处理，能 够控制饮用水的微生物安全。</w:t>
            </w:r>
          </w:p>
        </w:tc>
      </w:tr>
      <w:tr w14:paraId="5C296A2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981" w:hRule="atLeast"/>
          <w:jc w:val="center"/>
        </w:trPr>
        <w:tc>
          <w:tcPr>
            <w:tcW w:w="2312" w:type="dxa"/>
            <w:vAlign w:val="center"/>
          </w:tcPr>
          <w:p w14:paraId="60250DD3">
            <w:pPr>
              <w:widowControl/>
              <w:jc w:val="center"/>
              <w:rPr>
                <w:rFonts w:eastAsia="仿宋"/>
                <w:kern w:val="0"/>
                <w:szCs w:val="21"/>
              </w:rPr>
            </w:pPr>
            <w:r>
              <w:rPr>
                <w:rFonts w:eastAsia="仿宋"/>
                <w:kern w:val="0"/>
                <w:szCs w:val="21"/>
              </w:rPr>
              <w:t>应对藻类爆发的综合 处理技</w:t>
            </w:r>
          </w:p>
        </w:tc>
        <w:tc>
          <w:tcPr>
            <w:tcW w:w="6539" w:type="dxa"/>
            <w:vAlign w:val="center"/>
          </w:tcPr>
          <w:p w14:paraId="1C45B6FE">
            <w:pPr>
              <w:widowControl/>
              <w:rPr>
                <w:rFonts w:eastAsia="仿宋"/>
                <w:kern w:val="0"/>
                <w:szCs w:val="21"/>
              </w:rPr>
            </w:pPr>
            <w:r>
              <w:rPr>
                <w:rFonts w:eastAsia="仿宋"/>
                <w:kern w:val="0"/>
                <w:szCs w:val="21"/>
              </w:rPr>
              <w:t>首先确定主要的污染物种类，再根据其去除特性，综合 采用多种处理技术，形成应急处理工艺。</w:t>
            </w:r>
          </w:p>
        </w:tc>
      </w:tr>
    </w:tbl>
    <w:p w14:paraId="7772B204">
      <w:pPr>
        <w:widowControl/>
        <w:spacing w:line="240" w:lineRule="auto"/>
        <w:jc w:val="center"/>
        <w:rPr>
          <w:rFonts w:eastAsia="仿宋"/>
          <w:b/>
          <w:sz w:val="21"/>
          <w:szCs w:val="21"/>
        </w:rPr>
      </w:pPr>
    </w:p>
    <w:p w14:paraId="652404FB">
      <w:pPr>
        <w:widowControl/>
        <w:spacing w:line="240" w:lineRule="auto"/>
        <w:jc w:val="center"/>
        <w:rPr>
          <w:rFonts w:eastAsia="仿宋"/>
          <w:b/>
          <w:sz w:val="21"/>
          <w:szCs w:val="21"/>
        </w:rPr>
      </w:pPr>
    </w:p>
    <w:p w14:paraId="0D362FC1">
      <w:pPr>
        <w:widowControl/>
        <w:spacing w:line="240" w:lineRule="auto"/>
        <w:jc w:val="center"/>
        <w:rPr>
          <w:rFonts w:eastAsia="仿宋"/>
          <w:b/>
          <w:sz w:val="21"/>
          <w:szCs w:val="21"/>
        </w:rPr>
      </w:pPr>
    </w:p>
    <w:p w14:paraId="3B0F149B">
      <w:pPr>
        <w:widowControl/>
        <w:spacing w:line="240" w:lineRule="auto"/>
        <w:jc w:val="center"/>
        <w:rPr>
          <w:rFonts w:eastAsia="仿宋"/>
          <w:b/>
          <w:sz w:val="21"/>
          <w:szCs w:val="21"/>
        </w:rPr>
      </w:pPr>
    </w:p>
    <w:p w14:paraId="7BC99B88">
      <w:pPr>
        <w:widowControl/>
        <w:spacing w:line="240" w:lineRule="auto"/>
        <w:jc w:val="center"/>
        <w:rPr>
          <w:rFonts w:eastAsia="仿宋"/>
          <w:b/>
          <w:sz w:val="21"/>
          <w:szCs w:val="21"/>
        </w:rPr>
      </w:pPr>
    </w:p>
    <w:p w14:paraId="76E50A9B">
      <w:pPr>
        <w:widowControl/>
        <w:spacing w:line="276" w:lineRule="auto"/>
        <w:jc w:val="center"/>
        <w:rPr>
          <w:rFonts w:eastAsia="仿宋"/>
          <w:b/>
        </w:rPr>
      </w:pPr>
      <w:r>
        <w:rPr>
          <w:rFonts w:eastAsia="仿宋"/>
          <w:b/>
        </w:rPr>
        <w:t>附表4  活性炭吸附技术可以应对的污染物</w:t>
      </w:r>
    </w:p>
    <w:tbl>
      <w:tblPr>
        <w:tblStyle w:val="15"/>
        <w:tblW w:w="8847"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2745"/>
        <w:gridCol w:w="3774"/>
        <w:gridCol w:w="2328"/>
      </w:tblGrid>
      <w:tr w14:paraId="58D5597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98" w:hRule="atLeast"/>
          <w:jc w:val="center"/>
        </w:trPr>
        <w:tc>
          <w:tcPr>
            <w:tcW w:w="2745" w:type="dxa"/>
            <w:vAlign w:val="center"/>
          </w:tcPr>
          <w:p w14:paraId="2F3538BC">
            <w:pPr>
              <w:widowControl/>
              <w:spacing w:line="240" w:lineRule="auto"/>
              <w:jc w:val="center"/>
              <w:rPr>
                <w:rFonts w:eastAsia="仿宋"/>
                <w:b/>
                <w:kern w:val="0"/>
                <w:szCs w:val="21"/>
              </w:rPr>
            </w:pPr>
            <w:r>
              <w:rPr>
                <w:rFonts w:eastAsia="仿宋"/>
                <w:b/>
                <w:kern w:val="0"/>
                <w:szCs w:val="21"/>
              </w:rPr>
              <w:t>农药</w:t>
            </w:r>
          </w:p>
        </w:tc>
        <w:tc>
          <w:tcPr>
            <w:tcW w:w="3774" w:type="dxa"/>
            <w:vAlign w:val="center"/>
          </w:tcPr>
          <w:p w14:paraId="219EF5EF">
            <w:pPr>
              <w:widowControl/>
              <w:spacing w:line="240" w:lineRule="auto"/>
              <w:jc w:val="center"/>
              <w:rPr>
                <w:rFonts w:eastAsia="仿宋"/>
                <w:b/>
                <w:kern w:val="0"/>
                <w:szCs w:val="21"/>
              </w:rPr>
            </w:pPr>
            <w:r>
              <w:rPr>
                <w:rFonts w:eastAsia="仿宋"/>
                <w:b/>
                <w:kern w:val="0"/>
                <w:szCs w:val="21"/>
              </w:rPr>
              <w:t>芳香族</w:t>
            </w:r>
          </w:p>
        </w:tc>
        <w:tc>
          <w:tcPr>
            <w:tcW w:w="2328" w:type="dxa"/>
            <w:vAlign w:val="center"/>
          </w:tcPr>
          <w:p w14:paraId="0048C4E1">
            <w:pPr>
              <w:widowControl/>
              <w:spacing w:line="240" w:lineRule="auto"/>
              <w:jc w:val="center"/>
              <w:rPr>
                <w:rFonts w:eastAsia="仿宋"/>
                <w:b/>
                <w:kern w:val="0"/>
                <w:szCs w:val="21"/>
              </w:rPr>
            </w:pPr>
            <w:r>
              <w:rPr>
                <w:rFonts w:eastAsia="仿宋"/>
                <w:b/>
                <w:kern w:val="0"/>
                <w:szCs w:val="21"/>
              </w:rPr>
              <w:t>其他有机物</w:t>
            </w:r>
          </w:p>
        </w:tc>
      </w:tr>
      <w:tr w14:paraId="050F83F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234" w:hRule="atLeast"/>
          <w:jc w:val="center"/>
        </w:trPr>
        <w:tc>
          <w:tcPr>
            <w:tcW w:w="2745" w:type="dxa"/>
            <w:vAlign w:val="center"/>
          </w:tcPr>
          <w:p w14:paraId="5F260B42">
            <w:pPr>
              <w:widowControl/>
              <w:rPr>
                <w:rFonts w:eastAsia="仿宋"/>
                <w:kern w:val="0"/>
                <w:szCs w:val="21"/>
              </w:rPr>
            </w:pPr>
            <w:r>
              <w:rPr>
                <w:rFonts w:eastAsia="仿宋"/>
                <w:kern w:val="0"/>
                <w:szCs w:val="21"/>
              </w:rPr>
              <w:t>滴滴涕、乐果、甲基对硫磷、对硫磷、马拉硫磷、内吸磷、敌敌畏、敌百虫、百菌清、阿特拉津、2,4-滴、灭草松、林丹、六六六、七氯、环氧七氯、甲草胺、呋喃丹、毒死蜱</w:t>
            </w:r>
          </w:p>
        </w:tc>
        <w:tc>
          <w:tcPr>
            <w:tcW w:w="3774" w:type="dxa"/>
            <w:vAlign w:val="center"/>
          </w:tcPr>
          <w:p w14:paraId="315625B2">
            <w:pPr>
              <w:widowControl/>
              <w:rPr>
                <w:rFonts w:eastAsia="仿宋"/>
                <w:kern w:val="0"/>
                <w:szCs w:val="21"/>
              </w:rPr>
            </w:pPr>
            <w:r>
              <w:rPr>
                <w:rFonts w:eastAsia="仿宋"/>
                <w:kern w:val="0"/>
                <w:szCs w:val="21"/>
              </w:rPr>
              <w:t>苯、甲苯、乙苯、二甲苯、苯乙烯、一氯苯、1,2-二氯苯、1,4-二氯苯、三氯苯、挥发酚、五氯酚、2,4,6-三氯苯酚、2,4二氯苯酚、四氯苯、六氯苯、异丙苯、硝基苯、二硝基苯、2,4-二硝基甲苯、2,4,6-三硝基甲苯、硝基氯苯、2、4-二硝基氯苯、苯胺、联苯胺、多环芳烃、苯并芘、多氯联苯</w:t>
            </w:r>
          </w:p>
        </w:tc>
        <w:tc>
          <w:tcPr>
            <w:tcW w:w="2328" w:type="dxa"/>
            <w:vAlign w:val="center"/>
          </w:tcPr>
          <w:p w14:paraId="572C91BE">
            <w:pPr>
              <w:widowControl/>
              <w:rPr>
                <w:rFonts w:eastAsia="仿宋"/>
                <w:kern w:val="0"/>
                <w:szCs w:val="21"/>
              </w:rPr>
            </w:pPr>
            <w:r>
              <w:rPr>
                <w:rFonts w:eastAsia="仿宋"/>
                <w:kern w:val="0"/>
                <w:szCs w:val="21"/>
              </w:rPr>
              <w:t>五氯丙烷、氯丁二 烯、六氯丁二烯、阴 离子合成洗涤剂、邻 苯二甲酸二酯、邻苯 二甲酸二丁酯、邻苯 二甲酸二乙酯、石油 类、环氧氯丙烷、微 囊藻毒素、土嗅素、 甲基异莰醇-2、双酚 A、松节油、苦味酸</w:t>
            </w:r>
          </w:p>
        </w:tc>
      </w:tr>
    </w:tbl>
    <w:p w14:paraId="4199E9AE">
      <w:pPr>
        <w:widowControl/>
        <w:spacing w:line="240" w:lineRule="auto"/>
        <w:jc w:val="center"/>
        <w:rPr>
          <w:rFonts w:eastAsia="仿宋"/>
          <w:b/>
          <w:sz w:val="21"/>
          <w:szCs w:val="21"/>
        </w:rPr>
      </w:pPr>
    </w:p>
    <w:p w14:paraId="6942744E">
      <w:pPr>
        <w:widowControl/>
        <w:spacing w:line="276" w:lineRule="auto"/>
        <w:jc w:val="center"/>
        <w:rPr>
          <w:rFonts w:eastAsia="仿宋"/>
          <w:b/>
        </w:rPr>
      </w:pPr>
      <w:r>
        <w:rPr>
          <w:rFonts w:eastAsia="仿宋"/>
          <w:b/>
        </w:rPr>
        <w:t>附表5  化学沉淀技术可以应对的污染物</w:t>
      </w:r>
    </w:p>
    <w:tbl>
      <w:tblPr>
        <w:tblStyle w:val="15"/>
        <w:tblW w:w="862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3339"/>
        <w:gridCol w:w="5285"/>
      </w:tblGrid>
      <w:tr w14:paraId="1005831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74" w:hRule="atLeast"/>
          <w:jc w:val="center"/>
        </w:trPr>
        <w:tc>
          <w:tcPr>
            <w:tcW w:w="3339" w:type="dxa"/>
            <w:vAlign w:val="center"/>
          </w:tcPr>
          <w:p w14:paraId="3C0B90CC">
            <w:pPr>
              <w:widowControl/>
              <w:spacing w:line="240" w:lineRule="auto"/>
              <w:jc w:val="center"/>
              <w:rPr>
                <w:rFonts w:eastAsia="仿宋"/>
                <w:b/>
                <w:kern w:val="0"/>
                <w:szCs w:val="21"/>
              </w:rPr>
            </w:pPr>
            <w:r>
              <w:rPr>
                <w:rFonts w:eastAsia="仿宋"/>
                <w:b/>
                <w:kern w:val="0"/>
                <w:szCs w:val="21"/>
              </w:rPr>
              <w:t>应急处理技术</w:t>
            </w:r>
          </w:p>
        </w:tc>
        <w:tc>
          <w:tcPr>
            <w:tcW w:w="5285" w:type="dxa"/>
            <w:vAlign w:val="center"/>
          </w:tcPr>
          <w:p w14:paraId="6F5F6432">
            <w:pPr>
              <w:widowControl/>
              <w:spacing w:line="240" w:lineRule="auto"/>
              <w:jc w:val="center"/>
              <w:rPr>
                <w:rFonts w:eastAsia="仿宋"/>
                <w:b/>
                <w:kern w:val="0"/>
                <w:szCs w:val="21"/>
              </w:rPr>
            </w:pPr>
            <w:r>
              <w:rPr>
                <w:rFonts w:eastAsia="仿宋"/>
                <w:b/>
                <w:kern w:val="0"/>
                <w:szCs w:val="21"/>
              </w:rPr>
              <w:t>金属与非金属</w:t>
            </w:r>
          </w:p>
        </w:tc>
      </w:tr>
      <w:tr w14:paraId="4CE8A00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90" w:hRule="atLeast"/>
          <w:jc w:val="center"/>
        </w:trPr>
        <w:tc>
          <w:tcPr>
            <w:tcW w:w="3339" w:type="dxa"/>
            <w:vAlign w:val="center"/>
          </w:tcPr>
          <w:p w14:paraId="1101C19F">
            <w:pPr>
              <w:widowControl/>
              <w:spacing w:line="240" w:lineRule="auto"/>
              <w:jc w:val="center"/>
              <w:rPr>
                <w:rFonts w:eastAsia="仿宋"/>
                <w:kern w:val="0"/>
                <w:szCs w:val="21"/>
              </w:rPr>
            </w:pPr>
            <w:r>
              <w:rPr>
                <w:rFonts w:eastAsia="仿宋"/>
                <w:kern w:val="0"/>
                <w:szCs w:val="21"/>
              </w:rPr>
              <w:t>碱性化学沉淀法</w:t>
            </w:r>
          </w:p>
        </w:tc>
        <w:tc>
          <w:tcPr>
            <w:tcW w:w="5285" w:type="dxa"/>
            <w:vAlign w:val="center"/>
          </w:tcPr>
          <w:p w14:paraId="77A344CD">
            <w:pPr>
              <w:widowControl/>
              <w:spacing w:line="240" w:lineRule="auto"/>
              <w:jc w:val="center"/>
              <w:rPr>
                <w:rFonts w:eastAsia="仿宋"/>
                <w:kern w:val="0"/>
                <w:szCs w:val="21"/>
              </w:rPr>
            </w:pPr>
            <w:r>
              <w:rPr>
                <w:rFonts w:eastAsia="仿宋"/>
                <w:kern w:val="0"/>
                <w:szCs w:val="21"/>
              </w:rPr>
              <w:t>银、铍、镉、铜、汞、锰、镍、铅、锌、钒、钛、钴</w:t>
            </w:r>
          </w:p>
        </w:tc>
      </w:tr>
      <w:tr w14:paraId="1A5F105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90" w:hRule="atLeast"/>
          <w:jc w:val="center"/>
        </w:trPr>
        <w:tc>
          <w:tcPr>
            <w:tcW w:w="3339" w:type="dxa"/>
            <w:vAlign w:val="center"/>
          </w:tcPr>
          <w:p w14:paraId="1F78B365">
            <w:pPr>
              <w:widowControl/>
              <w:spacing w:line="240" w:lineRule="auto"/>
              <w:jc w:val="center"/>
              <w:rPr>
                <w:rFonts w:eastAsia="仿宋"/>
                <w:kern w:val="0"/>
                <w:szCs w:val="21"/>
              </w:rPr>
            </w:pPr>
            <w:r>
              <w:rPr>
                <w:rFonts w:eastAsia="仿宋"/>
                <w:kern w:val="0"/>
                <w:szCs w:val="21"/>
              </w:rPr>
              <w:t>硫化物沉淀法</w:t>
            </w:r>
          </w:p>
        </w:tc>
        <w:tc>
          <w:tcPr>
            <w:tcW w:w="5285" w:type="dxa"/>
            <w:vAlign w:val="center"/>
          </w:tcPr>
          <w:p w14:paraId="315448AD">
            <w:pPr>
              <w:widowControl/>
              <w:spacing w:line="240" w:lineRule="auto"/>
              <w:jc w:val="center"/>
              <w:rPr>
                <w:rFonts w:eastAsia="仿宋"/>
                <w:kern w:val="0"/>
                <w:szCs w:val="21"/>
              </w:rPr>
            </w:pPr>
            <w:r>
              <w:rPr>
                <w:rFonts w:eastAsia="仿宋"/>
                <w:kern w:val="0"/>
                <w:szCs w:val="21"/>
              </w:rPr>
              <w:t>银、镉、铜、汞、镍、铅、锌</w:t>
            </w:r>
          </w:p>
        </w:tc>
      </w:tr>
      <w:tr w14:paraId="5896A50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90" w:hRule="atLeast"/>
          <w:jc w:val="center"/>
        </w:trPr>
        <w:tc>
          <w:tcPr>
            <w:tcW w:w="3339" w:type="dxa"/>
            <w:vAlign w:val="center"/>
          </w:tcPr>
          <w:p w14:paraId="00148131">
            <w:pPr>
              <w:widowControl/>
              <w:spacing w:line="240" w:lineRule="auto"/>
              <w:jc w:val="center"/>
              <w:rPr>
                <w:rFonts w:eastAsia="仿宋"/>
                <w:kern w:val="0"/>
                <w:szCs w:val="21"/>
              </w:rPr>
            </w:pPr>
            <w:r>
              <w:rPr>
                <w:rFonts w:eastAsia="仿宋"/>
                <w:kern w:val="0"/>
                <w:szCs w:val="21"/>
              </w:rPr>
              <w:t>组合或其他沉淀法</w:t>
            </w:r>
          </w:p>
        </w:tc>
        <w:tc>
          <w:tcPr>
            <w:tcW w:w="5285" w:type="dxa"/>
            <w:vAlign w:val="center"/>
          </w:tcPr>
          <w:p w14:paraId="32444F65">
            <w:pPr>
              <w:widowControl/>
              <w:spacing w:line="240" w:lineRule="auto"/>
              <w:jc w:val="center"/>
              <w:rPr>
                <w:rFonts w:eastAsia="仿宋"/>
                <w:kern w:val="0"/>
                <w:szCs w:val="21"/>
              </w:rPr>
            </w:pPr>
            <w:r>
              <w:rPr>
                <w:rFonts w:eastAsia="仿宋"/>
                <w:kern w:val="0"/>
                <w:szCs w:val="21"/>
              </w:rPr>
              <w:t>砷、铊、锑、铬、硒、银、钡、总磷</w:t>
            </w:r>
          </w:p>
        </w:tc>
      </w:tr>
    </w:tbl>
    <w:p w14:paraId="7C7AD6C3">
      <w:pPr>
        <w:widowControl/>
        <w:spacing w:line="240" w:lineRule="auto"/>
        <w:jc w:val="center"/>
        <w:rPr>
          <w:rFonts w:eastAsia="仿宋"/>
          <w:b/>
          <w:sz w:val="21"/>
          <w:szCs w:val="21"/>
        </w:rPr>
      </w:pPr>
    </w:p>
    <w:p w14:paraId="77E3EE6D">
      <w:pPr>
        <w:widowControl/>
        <w:spacing w:line="276" w:lineRule="auto"/>
        <w:jc w:val="center"/>
        <w:rPr>
          <w:rFonts w:eastAsia="仿宋"/>
          <w:b/>
        </w:rPr>
      </w:pPr>
    </w:p>
    <w:p w14:paraId="3C0F4373">
      <w:pPr>
        <w:widowControl/>
        <w:spacing w:line="276" w:lineRule="auto"/>
        <w:jc w:val="center"/>
        <w:rPr>
          <w:rFonts w:eastAsia="仿宋"/>
          <w:b/>
        </w:rPr>
      </w:pPr>
    </w:p>
    <w:p w14:paraId="27F1B253">
      <w:pPr>
        <w:widowControl/>
        <w:spacing w:line="240" w:lineRule="auto"/>
        <w:jc w:val="center"/>
        <w:rPr>
          <w:rFonts w:eastAsia="仿宋"/>
          <w:b/>
          <w:sz w:val="21"/>
          <w:szCs w:val="21"/>
        </w:rPr>
      </w:pPr>
    </w:p>
    <w:p w14:paraId="74618A85">
      <w:pPr>
        <w:widowControl/>
        <w:spacing w:line="240" w:lineRule="auto"/>
        <w:jc w:val="center"/>
        <w:rPr>
          <w:rFonts w:eastAsia="仿宋"/>
          <w:b/>
          <w:sz w:val="21"/>
          <w:szCs w:val="21"/>
        </w:rPr>
      </w:pPr>
    </w:p>
    <w:p w14:paraId="2607F324">
      <w:pPr>
        <w:widowControl/>
        <w:spacing w:line="240" w:lineRule="auto"/>
        <w:jc w:val="center"/>
        <w:rPr>
          <w:rFonts w:eastAsia="仿宋"/>
          <w:b/>
          <w:sz w:val="21"/>
          <w:szCs w:val="21"/>
        </w:rPr>
      </w:pPr>
    </w:p>
    <w:p w14:paraId="18C5E922">
      <w:pPr>
        <w:widowControl/>
        <w:spacing w:line="240" w:lineRule="auto"/>
        <w:jc w:val="center"/>
        <w:rPr>
          <w:rFonts w:eastAsia="仿宋"/>
          <w:b/>
          <w:sz w:val="21"/>
          <w:szCs w:val="21"/>
        </w:rPr>
      </w:pPr>
    </w:p>
    <w:p w14:paraId="49A82058">
      <w:pPr>
        <w:widowControl/>
        <w:spacing w:line="240" w:lineRule="auto"/>
        <w:jc w:val="center"/>
        <w:rPr>
          <w:rFonts w:eastAsia="仿宋"/>
          <w:b/>
          <w:sz w:val="21"/>
          <w:szCs w:val="21"/>
        </w:rPr>
      </w:pPr>
    </w:p>
    <w:p w14:paraId="76AC9B7F">
      <w:pPr>
        <w:widowControl/>
        <w:spacing w:line="240" w:lineRule="auto"/>
        <w:jc w:val="center"/>
        <w:rPr>
          <w:rFonts w:eastAsia="仿宋"/>
          <w:b/>
          <w:sz w:val="21"/>
          <w:szCs w:val="21"/>
        </w:rPr>
      </w:pPr>
    </w:p>
    <w:p w14:paraId="45C28A2E">
      <w:pPr>
        <w:widowControl/>
        <w:spacing w:line="276" w:lineRule="auto"/>
        <w:jc w:val="center"/>
        <w:rPr>
          <w:rFonts w:eastAsia="仿宋"/>
          <w:b/>
        </w:rPr>
      </w:pPr>
      <w:r>
        <w:rPr>
          <w:rFonts w:eastAsia="仿宋"/>
          <w:b/>
        </w:rPr>
        <w:t>附表6  常见化学品引发水污染事故的简要处置方法</w:t>
      </w:r>
    </w:p>
    <w:tbl>
      <w:tblPr>
        <w:tblStyle w:val="15"/>
        <w:tblW w:w="8851"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758"/>
        <w:gridCol w:w="1400"/>
        <w:gridCol w:w="3411"/>
        <w:gridCol w:w="3282"/>
      </w:tblGrid>
      <w:tr w14:paraId="475A582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15" w:hRule="atLeast"/>
          <w:jc w:val="center"/>
        </w:trPr>
        <w:tc>
          <w:tcPr>
            <w:tcW w:w="758" w:type="dxa"/>
            <w:vAlign w:val="center"/>
          </w:tcPr>
          <w:p w14:paraId="1819B2AC">
            <w:pPr>
              <w:widowControl/>
              <w:spacing w:line="240" w:lineRule="auto"/>
              <w:jc w:val="center"/>
              <w:rPr>
                <w:rFonts w:eastAsia="仿宋"/>
                <w:b/>
                <w:kern w:val="0"/>
                <w:sz w:val="22"/>
                <w:szCs w:val="21"/>
              </w:rPr>
            </w:pPr>
            <w:r>
              <w:rPr>
                <w:rFonts w:eastAsia="仿宋"/>
                <w:b/>
                <w:kern w:val="0"/>
                <w:sz w:val="22"/>
                <w:szCs w:val="21"/>
              </w:rPr>
              <w:t>序号</w:t>
            </w:r>
          </w:p>
        </w:tc>
        <w:tc>
          <w:tcPr>
            <w:tcW w:w="1400" w:type="dxa"/>
            <w:vAlign w:val="center"/>
          </w:tcPr>
          <w:p w14:paraId="11B61D78">
            <w:pPr>
              <w:widowControl/>
              <w:spacing w:line="240" w:lineRule="auto"/>
              <w:jc w:val="center"/>
              <w:rPr>
                <w:rFonts w:eastAsia="仿宋"/>
                <w:b/>
                <w:kern w:val="0"/>
                <w:sz w:val="22"/>
                <w:szCs w:val="21"/>
              </w:rPr>
            </w:pPr>
            <w:r>
              <w:rPr>
                <w:rFonts w:eastAsia="仿宋"/>
                <w:b/>
                <w:kern w:val="0"/>
                <w:sz w:val="22"/>
                <w:szCs w:val="21"/>
              </w:rPr>
              <w:t>污染物类别</w:t>
            </w:r>
          </w:p>
        </w:tc>
        <w:tc>
          <w:tcPr>
            <w:tcW w:w="3411" w:type="dxa"/>
            <w:vAlign w:val="center"/>
          </w:tcPr>
          <w:p w14:paraId="6E7AD08D">
            <w:pPr>
              <w:widowControl/>
              <w:spacing w:line="240" w:lineRule="auto"/>
              <w:jc w:val="center"/>
              <w:rPr>
                <w:rFonts w:eastAsia="仿宋"/>
                <w:b/>
                <w:kern w:val="0"/>
                <w:sz w:val="22"/>
                <w:szCs w:val="21"/>
              </w:rPr>
            </w:pPr>
            <w:r>
              <w:rPr>
                <w:rFonts w:eastAsia="仿宋"/>
                <w:b/>
                <w:kern w:val="0"/>
                <w:sz w:val="22"/>
                <w:szCs w:val="21"/>
              </w:rPr>
              <w:t>代表物质</w:t>
            </w:r>
          </w:p>
        </w:tc>
        <w:tc>
          <w:tcPr>
            <w:tcW w:w="3282" w:type="dxa"/>
            <w:vAlign w:val="center"/>
          </w:tcPr>
          <w:p w14:paraId="79DF7A52">
            <w:pPr>
              <w:widowControl/>
              <w:spacing w:line="240" w:lineRule="auto"/>
              <w:jc w:val="center"/>
              <w:rPr>
                <w:rFonts w:eastAsia="仿宋"/>
                <w:b/>
                <w:kern w:val="0"/>
                <w:sz w:val="22"/>
                <w:szCs w:val="21"/>
              </w:rPr>
            </w:pPr>
            <w:r>
              <w:rPr>
                <w:rFonts w:eastAsia="仿宋"/>
                <w:b/>
                <w:kern w:val="0"/>
                <w:sz w:val="22"/>
                <w:szCs w:val="21"/>
              </w:rPr>
              <w:t>应急处置</w:t>
            </w:r>
          </w:p>
        </w:tc>
      </w:tr>
      <w:tr w14:paraId="712E77C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758" w:type="dxa"/>
            <w:vAlign w:val="center"/>
          </w:tcPr>
          <w:p w14:paraId="02DCC77B">
            <w:pPr>
              <w:widowControl/>
              <w:spacing w:line="240" w:lineRule="auto"/>
              <w:jc w:val="center"/>
              <w:rPr>
                <w:rFonts w:eastAsia="仿宋"/>
                <w:kern w:val="0"/>
                <w:sz w:val="22"/>
                <w:szCs w:val="21"/>
              </w:rPr>
            </w:pPr>
            <w:r>
              <w:rPr>
                <w:rFonts w:eastAsia="仿宋"/>
                <w:kern w:val="0"/>
                <w:sz w:val="22"/>
                <w:szCs w:val="21"/>
              </w:rPr>
              <w:t>1</w:t>
            </w:r>
          </w:p>
        </w:tc>
        <w:tc>
          <w:tcPr>
            <w:tcW w:w="1400" w:type="dxa"/>
            <w:vAlign w:val="center"/>
          </w:tcPr>
          <w:p w14:paraId="323B0100">
            <w:pPr>
              <w:widowControl/>
              <w:spacing w:line="240" w:lineRule="auto"/>
              <w:jc w:val="center"/>
              <w:rPr>
                <w:rFonts w:eastAsia="仿宋"/>
                <w:kern w:val="0"/>
                <w:sz w:val="22"/>
                <w:szCs w:val="21"/>
              </w:rPr>
            </w:pPr>
            <w:r>
              <w:rPr>
                <w:rFonts w:eastAsia="仿宋"/>
                <w:kern w:val="0"/>
                <w:sz w:val="22"/>
                <w:szCs w:val="21"/>
              </w:rPr>
              <w:t>重金属类</w:t>
            </w:r>
          </w:p>
        </w:tc>
        <w:tc>
          <w:tcPr>
            <w:tcW w:w="3411" w:type="dxa"/>
            <w:vAlign w:val="center"/>
          </w:tcPr>
          <w:p w14:paraId="17DDA1C1">
            <w:pPr>
              <w:widowControl/>
              <w:spacing w:line="240" w:lineRule="auto"/>
              <w:rPr>
                <w:rFonts w:eastAsia="仿宋"/>
                <w:kern w:val="0"/>
                <w:sz w:val="22"/>
                <w:szCs w:val="21"/>
              </w:rPr>
            </w:pPr>
            <w:r>
              <w:rPr>
                <w:rFonts w:eastAsia="仿宋"/>
                <w:kern w:val="0"/>
                <w:sz w:val="22"/>
                <w:szCs w:val="21"/>
              </w:rPr>
              <w:t>代表物质有汞及汞盐、铅盐、锡盐、铭盐等。汞为液体金属，其余均为结晶盐类，铭盐和铅盐往往有鲜亮的颜色。该类物质多数具有较强毒性，在自然环境中不降解，并能随食物链逐渐富集，形成急性或蓄积类水污染事故。</w:t>
            </w:r>
          </w:p>
        </w:tc>
        <w:tc>
          <w:tcPr>
            <w:tcW w:w="3282" w:type="dxa"/>
            <w:vAlign w:val="center"/>
          </w:tcPr>
          <w:p w14:paraId="14AD256A">
            <w:pPr>
              <w:widowControl/>
              <w:spacing w:line="240" w:lineRule="auto"/>
              <w:rPr>
                <w:rFonts w:eastAsia="仿宋"/>
                <w:kern w:val="0"/>
                <w:sz w:val="22"/>
                <w:szCs w:val="21"/>
              </w:rPr>
            </w:pPr>
            <w:r>
              <w:rPr>
                <w:rFonts w:eastAsia="仿宋"/>
                <w:kern w:val="0"/>
                <w:sz w:val="22"/>
                <w:szCs w:val="21"/>
              </w:rPr>
              <w:t>筑坝围隔污染区投加生石灰沉淀重金属离子，排干上清液后将底质转移到安全地方水泥固化后填埋。汞泄漏后应急人员应佩戴防护用具，尽量将泄漏汞收集 到安全地方处理，无法收集的现场用硫磺粉覆盖处理。</w:t>
            </w:r>
          </w:p>
        </w:tc>
      </w:tr>
      <w:tr w14:paraId="76A375B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758" w:type="dxa"/>
            <w:vAlign w:val="center"/>
          </w:tcPr>
          <w:p w14:paraId="7FA3FD26">
            <w:pPr>
              <w:widowControl/>
              <w:spacing w:line="240" w:lineRule="auto"/>
              <w:jc w:val="center"/>
              <w:rPr>
                <w:rFonts w:eastAsia="仿宋"/>
                <w:kern w:val="0"/>
                <w:sz w:val="22"/>
                <w:szCs w:val="21"/>
              </w:rPr>
            </w:pPr>
            <w:r>
              <w:rPr>
                <w:rFonts w:eastAsia="仿宋"/>
                <w:kern w:val="0"/>
                <w:sz w:val="22"/>
                <w:szCs w:val="21"/>
              </w:rPr>
              <w:t>2</w:t>
            </w:r>
          </w:p>
        </w:tc>
        <w:tc>
          <w:tcPr>
            <w:tcW w:w="1400" w:type="dxa"/>
            <w:vAlign w:val="center"/>
          </w:tcPr>
          <w:p w14:paraId="7370FB5B">
            <w:pPr>
              <w:widowControl/>
              <w:spacing w:line="240" w:lineRule="auto"/>
              <w:jc w:val="center"/>
              <w:rPr>
                <w:rFonts w:eastAsia="仿宋"/>
                <w:kern w:val="0"/>
                <w:sz w:val="22"/>
                <w:szCs w:val="21"/>
              </w:rPr>
            </w:pPr>
            <w:r>
              <w:rPr>
                <w:rFonts w:eastAsia="仿宋"/>
                <w:kern w:val="0"/>
                <w:sz w:val="22"/>
                <w:szCs w:val="21"/>
              </w:rPr>
              <w:t>氰化物</w:t>
            </w:r>
          </w:p>
        </w:tc>
        <w:tc>
          <w:tcPr>
            <w:tcW w:w="3411" w:type="dxa"/>
            <w:vAlign w:val="center"/>
          </w:tcPr>
          <w:p w14:paraId="4A1731CC">
            <w:pPr>
              <w:widowControl/>
              <w:spacing w:line="240" w:lineRule="auto"/>
              <w:rPr>
                <w:rFonts w:eastAsia="仿宋"/>
                <w:kern w:val="0"/>
                <w:sz w:val="22"/>
                <w:szCs w:val="21"/>
              </w:rPr>
            </w:pPr>
            <w:r>
              <w:rPr>
                <w:rFonts w:eastAsia="仿宋"/>
                <w:kern w:val="0"/>
                <w:sz w:val="22"/>
                <w:szCs w:val="21"/>
              </w:rPr>
              <w:t>代表物质有氰化钾、氰化钠和氰化氢的水溶液。氰化钾、氰化钠为白色结晶粉末，易潮解，易溶于水，用于冶金和电镀行业，常以水溶液罐车运输。氰化氢常温下为液体，易挥发，有苦杏仁味。该类物质呈现剧毒，能抑制呼吸酶，对底栖动物、鱼类、两栖动物、哺乳动物等均呈高毒。</w:t>
            </w:r>
          </w:p>
        </w:tc>
        <w:tc>
          <w:tcPr>
            <w:tcW w:w="3282" w:type="dxa"/>
            <w:vAlign w:val="center"/>
          </w:tcPr>
          <w:p w14:paraId="1153EC06">
            <w:pPr>
              <w:widowControl/>
              <w:spacing w:line="240" w:lineRule="auto"/>
              <w:rPr>
                <w:rFonts w:eastAsia="仿宋"/>
                <w:kern w:val="0"/>
                <w:sz w:val="22"/>
                <w:szCs w:val="21"/>
              </w:rPr>
            </w:pPr>
            <w:r>
              <w:rPr>
                <w:rFonts w:eastAsia="仿宋"/>
                <w:kern w:val="0"/>
                <w:sz w:val="22"/>
                <w:szCs w:val="21"/>
              </w:rPr>
              <w:t>应急处置人员须佩戴全身防护用品，尽可能围隔污染区，在污染区加过量漂白粉处置，一般24小时可氧化完全。</w:t>
            </w:r>
          </w:p>
        </w:tc>
      </w:tr>
      <w:tr w14:paraId="60A6E78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758" w:type="dxa"/>
            <w:vAlign w:val="center"/>
          </w:tcPr>
          <w:p w14:paraId="1DE4DD07">
            <w:pPr>
              <w:widowControl/>
              <w:spacing w:line="240" w:lineRule="auto"/>
              <w:jc w:val="center"/>
              <w:rPr>
                <w:rFonts w:eastAsia="仿宋"/>
                <w:kern w:val="0"/>
                <w:sz w:val="22"/>
                <w:szCs w:val="21"/>
              </w:rPr>
            </w:pPr>
            <w:r>
              <w:rPr>
                <w:rFonts w:eastAsia="仿宋"/>
                <w:kern w:val="0"/>
                <w:sz w:val="22"/>
                <w:szCs w:val="21"/>
              </w:rPr>
              <w:t>3</w:t>
            </w:r>
          </w:p>
        </w:tc>
        <w:tc>
          <w:tcPr>
            <w:tcW w:w="1400" w:type="dxa"/>
            <w:vAlign w:val="center"/>
          </w:tcPr>
          <w:p w14:paraId="1B892A75">
            <w:pPr>
              <w:widowControl/>
              <w:spacing w:line="240" w:lineRule="auto"/>
              <w:jc w:val="center"/>
              <w:rPr>
                <w:rFonts w:eastAsia="仿宋"/>
                <w:kern w:val="0"/>
                <w:sz w:val="22"/>
                <w:szCs w:val="21"/>
              </w:rPr>
            </w:pPr>
            <w:r>
              <w:rPr>
                <w:rFonts w:eastAsia="仿宋"/>
                <w:kern w:val="0"/>
                <w:sz w:val="22"/>
                <w:szCs w:val="21"/>
              </w:rPr>
              <w:t>氟化物</w:t>
            </w:r>
          </w:p>
        </w:tc>
        <w:tc>
          <w:tcPr>
            <w:tcW w:w="3411" w:type="dxa"/>
            <w:vAlign w:val="center"/>
          </w:tcPr>
          <w:p w14:paraId="36953C0B">
            <w:pPr>
              <w:widowControl/>
              <w:spacing w:line="240" w:lineRule="auto"/>
              <w:rPr>
                <w:rFonts w:eastAsia="仿宋"/>
                <w:kern w:val="0"/>
                <w:sz w:val="22"/>
                <w:szCs w:val="21"/>
              </w:rPr>
            </w:pPr>
            <w:r>
              <w:rPr>
                <w:rFonts w:eastAsia="仿宋"/>
                <w:kern w:val="0"/>
                <w:sz w:val="22"/>
                <w:szCs w:val="21"/>
              </w:rPr>
              <w:t>代表物质有氟化钠、氢氟酸等。氟化钠为白色粉末，无味。氢氟酸为无色有刺激臭味的液体。该类物质易溶于水，高毒，并且容易在酸性环境中挥发氟化氢气体毒害呼吸系统。在自然环境中容易和金属离子形成络合物而降低毒性。</w:t>
            </w:r>
          </w:p>
        </w:tc>
        <w:tc>
          <w:tcPr>
            <w:tcW w:w="3282" w:type="dxa"/>
            <w:vAlign w:val="center"/>
          </w:tcPr>
          <w:p w14:paraId="6440A6C0">
            <w:pPr>
              <w:widowControl/>
              <w:spacing w:line="240" w:lineRule="auto"/>
              <w:rPr>
                <w:rFonts w:eastAsia="仿宋"/>
                <w:kern w:val="0"/>
                <w:sz w:val="22"/>
                <w:szCs w:val="21"/>
              </w:rPr>
            </w:pPr>
            <w:r>
              <w:rPr>
                <w:rFonts w:eastAsia="仿宋"/>
                <w:kern w:val="0"/>
                <w:sz w:val="22"/>
                <w:szCs w:val="21"/>
              </w:rPr>
              <w:t>筑坝围隔污染区，应急处置人员须带全身防护用具。在污染水体中加入过量生石灰沉淀氟离子，并投加明矾加快沉淀速度。沉淀完全后将上清液排放，铲除底质，并转移到安全地方处置。</w:t>
            </w:r>
          </w:p>
        </w:tc>
      </w:tr>
      <w:tr w14:paraId="7AE172E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758" w:type="dxa"/>
            <w:vAlign w:val="center"/>
          </w:tcPr>
          <w:p w14:paraId="5E5280E4">
            <w:pPr>
              <w:widowControl/>
              <w:spacing w:line="240" w:lineRule="auto"/>
              <w:jc w:val="center"/>
              <w:rPr>
                <w:rFonts w:eastAsia="仿宋"/>
                <w:kern w:val="0"/>
                <w:sz w:val="22"/>
                <w:szCs w:val="21"/>
              </w:rPr>
            </w:pPr>
            <w:r>
              <w:rPr>
                <w:rFonts w:eastAsia="仿宋"/>
                <w:kern w:val="0"/>
                <w:sz w:val="22"/>
                <w:szCs w:val="21"/>
              </w:rPr>
              <w:t>4</w:t>
            </w:r>
          </w:p>
        </w:tc>
        <w:tc>
          <w:tcPr>
            <w:tcW w:w="1400" w:type="dxa"/>
            <w:vAlign w:val="center"/>
          </w:tcPr>
          <w:p w14:paraId="0D23DDB7">
            <w:pPr>
              <w:widowControl/>
              <w:spacing w:line="240" w:lineRule="auto"/>
              <w:jc w:val="center"/>
              <w:rPr>
                <w:rFonts w:eastAsia="仿宋"/>
                <w:kern w:val="0"/>
                <w:sz w:val="22"/>
                <w:szCs w:val="21"/>
              </w:rPr>
            </w:pPr>
            <w:r>
              <w:rPr>
                <w:rFonts w:eastAsia="仿宋"/>
                <w:kern w:val="0"/>
                <w:sz w:val="22"/>
                <w:szCs w:val="21"/>
              </w:rPr>
              <w:t>金属酸矸</w:t>
            </w:r>
          </w:p>
        </w:tc>
        <w:tc>
          <w:tcPr>
            <w:tcW w:w="3411" w:type="dxa"/>
            <w:vAlign w:val="center"/>
          </w:tcPr>
          <w:p w14:paraId="2DD57D6F">
            <w:pPr>
              <w:widowControl/>
              <w:spacing w:line="240" w:lineRule="auto"/>
              <w:rPr>
                <w:rFonts w:eastAsia="仿宋"/>
                <w:kern w:val="0"/>
                <w:sz w:val="22"/>
                <w:szCs w:val="21"/>
              </w:rPr>
            </w:pPr>
            <w:r>
              <w:rPr>
                <w:rFonts w:eastAsia="仿宋"/>
                <w:kern w:val="0"/>
                <w:sz w:val="22"/>
                <w:szCs w:val="21"/>
              </w:rPr>
              <w:t>代表物质有砒霜（三氧化二砷）和铬酸矸（三氧化铬）。砒霜为无色无味白色粉末，微溶于水。铬酸矸为紫红色斜方晶体，易潮解。两种物质均在水中有一定的溶解度，呈现高毒性，可毒害呼吸系统、神经系统和循环系统，并在动物体内可以富集，造成二次中毒。</w:t>
            </w:r>
          </w:p>
        </w:tc>
        <w:tc>
          <w:tcPr>
            <w:tcW w:w="3282" w:type="dxa"/>
            <w:vAlign w:val="center"/>
          </w:tcPr>
          <w:p w14:paraId="779BC244">
            <w:pPr>
              <w:widowControl/>
              <w:spacing w:line="240" w:lineRule="auto"/>
              <w:rPr>
                <w:rFonts w:eastAsia="仿宋"/>
                <w:kern w:val="0"/>
                <w:sz w:val="22"/>
                <w:szCs w:val="21"/>
              </w:rPr>
            </w:pPr>
            <w:r>
              <w:rPr>
                <w:rFonts w:eastAsia="仿宋"/>
                <w:kern w:val="0"/>
                <w:sz w:val="22"/>
                <w:szCs w:val="21"/>
              </w:rPr>
              <w:t>筑坝围隔污染区。投放石灰和明矾沉淀，沉淀完全后将上清液转移到安全地方，用草酸钠还原后排放。清除底泥中的沉淀物，用水泥固化后深埋。</w:t>
            </w:r>
          </w:p>
        </w:tc>
      </w:tr>
      <w:tr w14:paraId="619821F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758" w:type="dxa"/>
            <w:vAlign w:val="center"/>
          </w:tcPr>
          <w:p w14:paraId="339EBE05">
            <w:pPr>
              <w:widowControl/>
              <w:spacing w:line="240" w:lineRule="auto"/>
              <w:jc w:val="center"/>
              <w:rPr>
                <w:rFonts w:eastAsia="仿宋"/>
                <w:kern w:val="0"/>
                <w:sz w:val="22"/>
                <w:szCs w:val="21"/>
              </w:rPr>
            </w:pPr>
            <w:r>
              <w:rPr>
                <w:rFonts w:eastAsia="仿宋"/>
                <w:kern w:val="0"/>
                <w:sz w:val="22"/>
                <w:szCs w:val="21"/>
              </w:rPr>
              <w:t>5</w:t>
            </w:r>
          </w:p>
        </w:tc>
        <w:tc>
          <w:tcPr>
            <w:tcW w:w="1400" w:type="dxa"/>
            <w:vAlign w:val="center"/>
          </w:tcPr>
          <w:p w14:paraId="57EF8289">
            <w:pPr>
              <w:widowControl/>
              <w:spacing w:line="240" w:lineRule="auto"/>
              <w:jc w:val="center"/>
              <w:rPr>
                <w:rFonts w:eastAsia="仿宋"/>
                <w:kern w:val="0"/>
                <w:sz w:val="22"/>
                <w:szCs w:val="21"/>
              </w:rPr>
            </w:pPr>
            <w:r>
              <w:rPr>
                <w:rFonts w:eastAsia="仿宋"/>
                <w:kern w:val="0"/>
                <w:sz w:val="22"/>
                <w:szCs w:val="21"/>
              </w:rPr>
              <w:t>苯类化合物</w:t>
            </w:r>
          </w:p>
        </w:tc>
        <w:tc>
          <w:tcPr>
            <w:tcW w:w="3411" w:type="dxa"/>
            <w:vAlign w:val="center"/>
          </w:tcPr>
          <w:p w14:paraId="3E2D5C54">
            <w:pPr>
              <w:widowControl/>
              <w:spacing w:line="240" w:lineRule="auto"/>
              <w:rPr>
                <w:rFonts w:eastAsia="仿宋"/>
                <w:kern w:val="0"/>
                <w:sz w:val="22"/>
                <w:szCs w:val="21"/>
              </w:rPr>
            </w:pPr>
            <w:r>
              <w:rPr>
                <w:rFonts w:eastAsia="仿宋"/>
                <w:kern w:val="0"/>
                <w:sz w:val="22"/>
                <w:szCs w:val="21"/>
              </w:rPr>
              <w:t>代表物质有苯、甲苯、乙苯、二甲苯、苯乙烯、硝基苯等。油状液体，有特殊芳香味，易挥发，除取代苯外，密度一般小于水。该类物质是神经和循环系统毒剂，对人体有致癌作用，不溶或微溶于水扩散速度快。</w:t>
            </w:r>
          </w:p>
        </w:tc>
        <w:tc>
          <w:tcPr>
            <w:tcW w:w="3282" w:type="dxa"/>
            <w:vAlign w:val="center"/>
          </w:tcPr>
          <w:p w14:paraId="39E64FC6">
            <w:pPr>
              <w:widowControl/>
              <w:spacing w:line="240" w:lineRule="auto"/>
              <w:rPr>
                <w:rFonts w:eastAsia="仿宋"/>
                <w:kern w:val="0"/>
                <w:sz w:val="22"/>
                <w:szCs w:val="21"/>
              </w:rPr>
            </w:pPr>
            <w:r>
              <w:rPr>
                <w:rFonts w:eastAsia="仿宋"/>
                <w:kern w:val="0"/>
                <w:sz w:val="22"/>
                <w:szCs w:val="21"/>
              </w:rPr>
              <w:t>应急处置人员应戴全身防护用具，筑坝或用围油栏围隔污染区，注意防火。污染区用吸油棉等高吸油材料现场吸附，转移到安全地方焚烧处理。污染水体最终用活性炭吸附处理。</w:t>
            </w:r>
          </w:p>
        </w:tc>
      </w:tr>
      <w:tr w14:paraId="77E1884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758" w:type="dxa"/>
            <w:vAlign w:val="center"/>
          </w:tcPr>
          <w:p w14:paraId="2C1F7AA1">
            <w:pPr>
              <w:widowControl/>
              <w:spacing w:line="240" w:lineRule="auto"/>
              <w:jc w:val="center"/>
              <w:rPr>
                <w:rFonts w:eastAsia="仿宋"/>
                <w:kern w:val="0"/>
                <w:sz w:val="22"/>
                <w:szCs w:val="21"/>
              </w:rPr>
            </w:pPr>
            <w:r>
              <w:rPr>
                <w:rFonts w:eastAsia="仿宋"/>
                <w:kern w:val="0"/>
                <w:sz w:val="22"/>
                <w:szCs w:val="21"/>
              </w:rPr>
              <w:t>6</w:t>
            </w:r>
          </w:p>
        </w:tc>
        <w:tc>
          <w:tcPr>
            <w:tcW w:w="1400" w:type="dxa"/>
            <w:vAlign w:val="center"/>
          </w:tcPr>
          <w:p w14:paraId="1C1753A6">
            <w:pPr>
              <w:widowControl/>
              <w:spacing w:line="240" w:lineRule="auto"/>
              <w:jc w:val="center"/>
              <w:rPr>
                <w:rFonts w:eastAsia="仿宋"/>
                <w:kern w:val="0"/>
                <w:sz w:val="22"/>
                <w:szCs w:val="21"/>
              </w:rPr>
            </w:pPr>
            <w:r>
              <w:rPr>
                <w:rFonts w:eastAsia="仿宋"/>
                <w:kern w:val="0"/>
                <w:sz w:val="22"/>
                <w:szCs w:val="21"/>
              </w:rPr>
              <w:t>卤代烃</w:t>
            </w:r>
          </w:p>
        </w:tc>
        <w:tc>
          <w:tcPr>
            <w:tcW w:w="3411" w:type="dxa"/>
            <w:vAlign w:val="center"/>
          </w:tcPr>
          <w:p w14:paraId="1D56F392">
            <w:pPr>
              <w:widowControl/>
              <w:spacing w:line="240" w:lineRule="auto"/>
              <w:rPr>
                <w:rFonts w:eastAsia="仿宋"/>
                <w:kern w:val="0"/>
                <w:sz w:val="22"/>
                <w:szCs w:val="21"/>
              </w:rPr>
            </w:pPr>
            <w:r>
              <w:rPr>
                <w:rFonts w:eastAsia="仿宋"/>
                <w:kern w:val="0"/>
                <w:sz w:val="22"/>
                <w:szCs w:val="21"/>
              </w:rPr>
              <w:t>代表物质有氯乙烯、四氯代碳、三氯甲烷、氯苯，均为油状液体，易挥发，不溶于水，密度一般大于水，燃烧时有刺激气体放出。该类物质雨水稳定，对眼睛、皮肤、呼吸道等有刺激作用，对人体有致癌作用。多元取代物密度往往大于水，沉于水底造成持久危害。</w:t>
            </w:r>
          </w:p>
        </w:tc>
        <w:tc>
          <w:tcPr>
            <w:tcW w:w="3282" w:type="dxa"/>
            <w:vAlign w:val="center"/>
          </w:tcPr>
          <w:p w14:paraId="02EB082E">
            <w:pPr>
              <w:widowControl/>
              <w:spacing w:line="240" w:lineRule="auto"/>
              <w:rPr>
                <w:rFonts w:eastAsia="仿宋"/>
                <w:kern w:val="0"/>
                <w:sz w:val="22"/>
                <w:szCs w:val="21"/>
              </w:rPr>
            </w:pPr>
            <w:r>
              <w:rPr>
                <w:rFonts w:eastAsia="仿宋"/>
                <w:kern w:val="0"/>
                <w:sz w:val="22"/>
                <w:szCs w:val="21"/>
              </w:rPr>
              <w:t>应急人员应佩戴全身防护用具。筑坝围隔污染区，污染水体投加活性炭吸附处置。用活性炭、吸油棉等高吸油材料等现场吸附积水中的污染物，彻底清除后送到安全地方处置。</w:t>
            </w:r>
          </w:p>
        </w:tc>
      </w:tr>
      <w:tr w14:paraId="119FB1A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758" w:type="dxa"/>
            <w:vAlign w:val="center"/>
          </w:tcPr>
          <w:p w14:paraId="5196048A">
            <w:pPr>
              <w:widowControl/>
              <w:spacing w:line="240" w:lineRule="auto"/>
              <w:jc w:val="center"/>
              <w:rPr>
                <w:rFonts w:eastAsia="仿宋"/>
                <w:kern w:val="0"/>
                <w:sz w:val="22"/>
                <w:szCs w:val="21"/>
              </w:rPr>
            </w:pPr>
            <w:r>
              <w:rPr>
                <w:rFonts w:eastAsia="仿宋"/>
                <w:kern w:val="0"/>
                <w:sz w:val="22"/>
                <w:szCs w:val="21"/>
              </w:rPr>
              <w:t>7</w:t>
            </w:r>
          </w:p>
        </w:tc>
        <w:tc>
          <w:tcPr>
            <w:tcW w:w="1400" w:type="dxa"/>
            <w:vAlign w:val="center"/>
          </w:tcPr>
          <w:p w14:paraId="597E20D2">
            <w:pPr>
              <w:widowControl/>
              <w:spacing w:line="240" w:lineRule="auto"/>
              <w:jc w:val="center"/>
              <w:rPr>
                <w:rFonts w:eastAsia="仿宋"/>
                <w:kern w:val="0"/>
                <w:sz w:val="22"/>
                <w:szCs w:val="21"/>
              </w:rPr>
            </w:pPr>
            <w:r>
              <w:rPr>
                <w:rFonts w:eastAsia="仿宋"/>
                <w:kern w:val="0"/>
                <w:sz w:val="22"/>
                <w:szCs w:val="21"/>
              </w:rPr>
              <w:t>酚类</w:t>
            </w:r>
          </w:p>
        </w:tc>
        <w:tc>
          <w:tcPr>
            <w:tcW w:w="3411" w:type="dxa"/>
            <w:vAlign w:val="center"/>
          </w:tcPr>
          <w:p w14:paraId="4A0F5678">
            <w:pPr>
              <w:widowControl/>
              <w:spacing w:line="240" w:lineRule="auto"/>
              <w:rPr>
                <w:rFonts w:eastAsia="仿宋"/>
                <w:kern w:val="0"/>
                <w:sz w:val="22"/>
                <w:szCs w:val="21"/>
              </w:rPr>
            </w:pPr>
            <w:r>
              <w:rPr>
                <w:rFonts w:eastAsia="仿宋"/>
                <w:kern w:val="0"/>
                <w:sz w:val="22"/>
                <w:szCs w:val="21"/>
              </w:rPr>
              <w:t>代表物质有苯酚、间甲酚、对硝基苯酚、氯苯酚、三铝粉、五氯酚等。多为白色结晶或油状液体，有特殊气味，不溶或微溶于水，密度一般大于水。该类物质一般具有较高的毒性，能刺激皮肤和消化道，在水中接触速度慢，有致癌和致畸作用。</w:t>
            </w:r>
          </w:p>
        </w:tc>
        <w:tc>
          <w:tcPr>
            <w:tcW w:w="3282" w:type="dxa"/>
            <w:vAlign w:val="center"/>
          </w:tcPr>
          <w:p w14:paraId="55320D2B">
            <w:pPr>
              <w:widowControl/>
              <w:spacing w:line="240" w:lineRule="auto"/>
              <w:rPr>
                <w:rFonts w:eastAsia="仿宋"/>
                <w:kern w:val="0"/>
                <w:sz w:val="22"/>
                <w:szCs w:val="21"/>
              </w:rPr>
            </w:pPr>
            <w:r>
              <w:rPr>
                <w:rFonts w:eastAsia="仿宋"/>
                <w:kern w:val="0"/>
                <w:sz w:val="22"/>
                <w:szCs w:val="21"/>
              </w:rPr>
              <w:t>应急处置人员应佩戴全身防护用具。筑坝或用围油栏围隔污染区后，用吸油棉等高吸油材料现场吸附残留泄漏物，转移到安全地方处理。污染水体投加生石灰、漂白粉沉淀和促进除解，最后投加活性炭吸附处理。</w:t>
            </w:r>
          </w:p>
        </w:tc>
      </w:tr>
      <w:tr w14:paraId="3670BDB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758" w:type="dxa"/>
            <w:vAlign w:val="center"/>
          </w:tcPr>
          <w:p w14:paraId="4DDD810B">
            <w:pPr>
              <w:widowControl/>
              <w:spacing w:line="240" w:lineRule="auto"/>
              <w:jc w:val="center"/>
              <w:rPr>
                <w:rFonts w:eastAsia="仿宋"/>
                <w:kern w:val="0"/>
                <w:sz w:val="22"/>
                <w:szCs w:val="21"/>
              </w:rPr>
            </w:pPr>
            <w:r>
              <w:rPr>
                <w:rFonts w:eastAsia="仿宋"/>
                <w:kern w:val="0"/>
                <w:sz w:val="22"/>
                <w:szCs w:val="21"/>
              </w:rPr>
              <w:t>8</w:t>
            </w:r>
          </w:p>
        </w:tc>
        <w:tc>
          <w:tcPr>
            <w:tcW w:w="1400" w:type="dxa"/>
            <w:vAlign w:val="center"/>
          </w:tcPr>
          <w:p w14:paraId="4F779C8E">
            <w:pPr>
              <w:widowControl/>
              <w:spacing w:line="240" w:lineRule="auto"/>
              <w:jc w:val="center"/>
              <w:rPr>
                <w:rFonts w:eastAsia="仿宋"/>
                <w:kern w:val="0"/>
                <w:sz w:val="22"/>
                <w:szCs w:val="21"/>
              </w:rPr>
            </w:pPr>
            <w:r>
              <w:rPr>
                <w:rFonts w:eastAsia="仿宋"/>
                <w:kern w:val="0"/>
                <w:sz w:val="22"/>
                <w:szCs w:val="21"/>
              </w:rPr>
              <w:t>农药类</w:t>
            </w:r>
          </w:p>
        </w:tc>
        <w:tc>
          <w:tcPr>
            <w:tcW w:w="3411" w:type="dxa"/>
            <w:vAlign w:val="center"/>
          </w:tcPr>
          <w:p w14:paraId="673082C6">
            <w:pPr>
              <w:widowControl/>
              <w:spacing w:line="240" w:lineRule="auto"/>
              <w:rPr>
                <w:rFonts w:eastAsia="仿宋"/>
                <w:kern w:val="0"/>
                <w:sz w:val="22"/>
                <w:szCs w:val="21"/>
              </w:rPr>
            </w:pPr>
            <w:r>
              <w:rPr>
                <w:rFonts w:eastAsia="仿宋"/>
                <w:kern w:val="0"/>
                <w:sz w:val="22"/>
                <w:szCs w:val="21"/>
              </w:rPr>
              <w:t>有机氯农药在我国已经禁用，在用的农药包括有机磷农药、氨基甲酸醋农药、拟除虫菊醋类农药等。有机磷农药有甲胺磷、敌敌畏、敌百虫、乐果、氧化乐果、对硫磷、甲基对硫磷、马拉硫磷、苯硫磷、倍硫磷等，多用作杀虫剂。多数品种为油状液体，不溶于水，密度大于水，具有类似大蒜样特殊臭味，一般制成乳油使用。多为剧毒农药，通过消化道、呼吸道及皮肤吸收，对人及鱼类高毒氨基甲酸醋农药有吠喃丹、抗蚜威、速灭威、灭多威、丙硫威等，多用于杀虫剂和抗菌剂。多为结晶粉末状，微溶于水，无气味或气味弱。多为剧毒农药，通过消化道、呼吸道及皮肤吸收。拟除虫菊醋类农药有溴氰菊酯、氯氰菊酯、氰戊菊酯，多用作杀虫剂。一般为微黄油状粘稠液体，不溶于水，溶于常用有机溶剂。是高效低残留杀虫剂，对鱼类高毒，对人类中等毒性，能损害神经、肝、肾等器官。</w:t>
            </w:r>
          </w:p>
        </w:tc>
        <w:tc>
          <w:tcPr>
            <w:tcW w:w="3282" w:type="dxa"/>
            <w:vAlign w:val="center"/>
          </w:tcPr>
          <w:p w14:paraId="6A81FA21">
            <w:pPr>
              <w:widowControl/>
              <w:spacing w:line="240" w:lineRule="auto"/>
              <w:rPr>
                <w:rFonts w:eastAsia="仿宋"/>
                <w:kern w:val="0"/>
                <w:sz w:val="22"/>
                <w:szCs w:val="21"/>
              </w:rPr>
            </w:pPr>
            <w:r>
              <w:rPr>
                <w:rFonts w:eastAsia="仿宋"/>
                <w:kern w:val="0"/>
                <w:sz w:val="22"/>
                <w:szCs w:val="21"/>
              </w:rPr>
              <w:t>应急人员应配戴全身防护用具。筑坝围隔污染区，用活性炭吸收未溶的农药，收集到安全场所用碱性溶液无害化处理。对污染区用生石灰或漂白粉处置，破坏农药的致毒基团，达到解毒的目的。最后用活性炭进行吸附处理。</w:t>
            </w:r>
          </w:p>
        </w:tc>
      </w:tr>
      <w:tr w14:paraId="70B052D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758" w:type="dxa"/>
            <w:vAlign w:val="center"/>
          </w:tcPr>
          <w:p w14:paraId="168F474F">
            <w:pPr>
              <w:widowControl/>
              <w:spacing w:line="240" w:lineRule="auto"/>
              <w:jc w:val="center"/>
              <w:rPr>
                <w:rFonts w:eastAsia="仿宋"/>
                <w:kern w:val="0"/>
                <w:sz w:val="22"/>
                <w:szCs w:val="21"/>
              </w:rPr>
            </w:pPr>
            <w:r>
              <w:rPr>
                <w:rFonts w:eastAsia="仿宋"/>
                <w:kern w:val="0"/>
                <w:sz w:val="22"/>
                <w:szCs w:val="21"/>
              </w:rPr>
              <w:t>9</w:t>
            </w:r>
          </w:p>
        </w:tc>
        <w:tc>
          <w:tcPr>
            <w:tcW w:w="1400" w:type="dxa"/>
            <w:vAlign w:val="center"/>
          </w:tcPr>
          <w:p w14:paraId="5F2AE8AF">
            <w:pPr>
              <w:widowControl/>
              <w:spacing w:line="240" w:lineRule="auto"/>
              <w:jc w:val="center"/>
              <w:rPr>
                <w:rFonts w:eastAsia="仿宋"/>
                <w:kern w:val="0"/>
                <w:sz w:val="22"/>
                <w:szCs w:val="21"/>
              </w:rPr>
            </w:pPr>
            <w:r>
              <w:rPr>
                <w:rFonts w:eastAsia="仿宋"/>
                <w:kern w:val="0"/>
                <w:sz w:val="22"/>
                <w:szCs w:val="21"/>
              </w:rPr>
              <w:t>矿物油类</w:t>
            </w:r>
          </w:p>
        </w:tc>
        <w:tc>
          <w:tcPr>
            <w:tcW w:w="3411" w:type="dxa"/>
            <w:vAlign w:val="center"/>
          </w:tcPr>
          <w:p w14:paraId="1939899E">
            <w:pPr>
              <w:widowControl/>
              <w:spacing w:line="240" w:lineRule="auto"/>
              <w:rPr>
                <w:rFonts w:eastAsia="仿宋"/>
                <w:kern w:val="0"/>
                <w:sz w:val="22"/>
                <w:szCs w:val="21"/>
              </w:rPr>
            </w:pPr>
            <w:r>
              <w:rPr>
                <w:rFonts w:eastAsia="仿宋"/>
                <w:kern w:val="0"/>
                <w:sz w:val="22"/>
                <w:szCs w:val="21"/>
              </w:rPr>
              <w:t>代表物质汽油、煤油、柴油、机油、煤焦油、原油等。一般为油状液体，不溶或微溶于水。煤焦油呈膏状，有特殊臭味，密度大于水。该类物质易燃烧，扩散速度快，易在水面形成污染带，隔绝水气界面，造成水体缺氧。煤焦油沉在水底极慢溶解，对水体造成长久危害，并具有腐蚀性。</w:t>
            </w:r>
          </w:p>
        </w:tc>
        <w:tc>
          <w:tcPr>
            <w:tcW w:w="3282" w:type="dxa"/>
            <w:vAlign w:val="center"/>
          </w:tcPr>
          <w:p w14:paraId="7DE0B742">
            <w:pPr>
              <w:widowControl/>
              <w:spacing w:line="240" w:lineRule="auto"/>
              <w:rPr>
                <w:rFonts w:eastAsia="仿宋"/>
                <w:kern w:val="0"/>
                <w:sz w:val="22"/>
                <w:szCs w:val="21"/>
              </w:rPr>
            </w:pPr>
            <w:r>
              <w:rPr>
                <w:rFonts w:eastAsia="仿宋"/>
                <w:kern w:val="0"/>
                <w:sz w:val="22"/>
                <w:szCs w:val="21"/>
              </w:rPr>
              <w:t>应急处置时可用简易坝、围油栏等围隔污染区，用吸油棉等高吸油材料现场吸附，并转移到安全地方焚烧处理。必要时可点燃表层油燃烧处理，污染水体最后用活性炭吸附处理。煤焦油由于其中含有大量的酚类物质，其处置过程可参考酚类。</w:t>
            </w:r>
          </w:p>
        </w:tc>
      </w:tr>
      <w:tr w14:paraId="368A8AB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758" w:type="dxa"/>
            <w:vMerge w:val="restart"/>
            <w:vAlign w:val="center"/>
          </w:tcPr>
          <w:p w14:paraId="2FBE3E60">
            <w:pPr>
              <w:widowControl/>
              <w:spacing w:line="240" w:lineRule="auto"/>
              <w:jc w:val="center"/>
              <w:rPr>
                <w:rFonts w:eastAsia="仿宋"/>
                <w:kern w:val="0"/>
                <w:sz w:val="22"/>
                <w:szCs w:val="21"/>
              </w:rPr>
            </w:pPr>
            <w:r>
              <w:rPr>
                <w:rFonts w:eastAsia="仿宋"/>
                <w:kern w:val="0"/>
                <w:sz w:val="22"/>
                <w:szCs w:val="21"/>
              </w:rPr>
              <w:t>10</w:t>
            </w:r>
          </w:p>
        </w:tc>
        <w:tc>
          <w:tcPr>
            <w:tcW w:w="1400" w:type="dxa"/>
            <w:vMerge w:val="restart"/>
            <w:vAlign w:val="center"/>
          </w:tcPr>
          <w:p w14:paraId="0EEEEB05">
            <w:pPr>
              <w:widowControl/>
              <w:spacing w:line="240" w:lineRule="auto"/>
              <w:jc w:val="center"/>
              <w:rPr>
                <w:rFonts w:eastAsia="仿宋"/>
                <w:kern w:val="0"/>
                <w:sz w:val="22"/>
                <w:szCs w:val="21"/>
              </w:rPr>
            </w:pPr>
            <w:r>
              <w:rPr>
                <w:rFonts w:eastAsia="仿宋"/>
                <w:kern w:val="0"/>
                <w:sz w:val="22"/>
                <w:szCs w:val="21"/>
              </w:rPr>
              <w:t>腐蚀性物质包括酸性物质、碱性质、和强化性物质）</w:t>
            </w:r>
          </w:p>
        </w:tc>
        <w:tc>
          <w:tcPr>
            <w:tcW w:w="3411" w:type="dxa"/>
            <w:vAlign w:val="center"/>
          </w:tcPr>
          <w:p w14:paraId="3AC950AB">
            <w:pPr>
              <w:widowControl/>
              <w:spacing w:line="240" w:lineRule="auto"/>
              <w:rPr>
                <w:rFonts w:eastAsia="仿宋"/>
                <w:kern w:val="0"/>
                <w:sz w:val="22"/>
                <w:szCs w:val="21"/>
              </w:rPr>
            </w:pPr>
            <w:r>
              <w:rPr>
                <w:rFonts w:eastAsia="仿宋"/>
                <w:kern w:val="0"/>
                <w:sz w:val="22"/>
                <w:szCs w:val="21"/>
              </w:rPr>
              <w:t>酸性物质有盐酸、硫酸、硝酸、磷酸等。浓盐酸和硝酸有酸性烟雾挥发出来，浓硫酸密度大于水，溶于水时产生大量热量。该类物质表现为强酸性和强腐蚀性，进入水体后将引起水体酸度急剧上升，严重腐蚀水工建筑物，破坏水生态系统，但在基质中碳酸钙的作用下，其酸性和腐蚀能力会逐渐降低。</w:t>
            </w:r>
          </w:p>
        </w:tc>
        <w:tc>
          <w:tcPr>
            <w:tcW w:w="3282" w:type="dxa"/>
            <w:vAlign w:val="center"/>
          </w:tcPr>
          <w:p w14:paraId="19FE1C63">
            <w:pPr>
              <w:widowControl/>
              <w:spacing w:line="240" w:lineRule="auto"/>
              <w:rPr>
                <w:rFonts w:eastAsia="仿宋"/>
                <w:kern w:val="0"/>
                <w:sz w:val="22"/>
                <w:szCs w:val="21"/>
              </w:rPr>
            </w:pPr>
            <w:r>
              <w:rPr>
                <w:rFonts w:eastAsia="仿宋"/>
                <w:kern w:val="0"/>
                <w:sz w:val="22"/>
                <w:szCs w:val="21"/>
              </w:rPr>
              <w:t>应急人员戴防护手套，处置挥发性酸时戴防毒面具，污染区投加碱性物质如生石灰、碳酸钠等中和。</w:t>
            </w:r>
          </w:p>
        </w:tc>
      </w:tr>
      <w:tr w14:paraId="36D0F1F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758" w:type="dxa"/>
            <w:vMerge w:val="continue"/>
            <w:vAlign w:val="center"/>
          </w:tcPr>
          <w:p w14:paraId="66A9D6C9">
            <w:pPr>
              <w:widowControl/>
              <w:spacing w:line="240" w:lineRule="auto"/>
              <w:jc w:val="center"/>
              <w:rPr>
                <w:rFonts w:eastAsia="仿宋"/>
                <w:kern w:val="0"/>
                <w:sz w:val="22"/>
                <w:szCs w:val="21"/>
              </w:rPr>
            </w:pPr>
          </w:p>
        </w:tc>
        <w:tc>
          <w:tcPr>
            <w:tcW w:w="1400" w:type="dxa"/>
            <w:vMerge w:val="continue"/>
            <w:vAlign w:val="center"/>
          </w:tcPr>
          <w:p w14:paraId="295BDEEF">
            <w:pPr>
              <w:widowControl/>
              <w:spacing w:line="240" w:lineRule="auto"/>
              <w:jc w:val="center"/>
              <w:rPr>
                <w:rFonts w:eastAsia="仿宋"/>
                <w:kern w:val="0"/>
                <w:sz w:val="22"/>
                <w:szCs w:val="21"/>
              </w:rPr>
            </w:pPr>
          </w:p>
        </w:tc>
        <w:tc>
          <w:tcPr>
            <w:tcW w:w="3411" w:type="dxa"/>
            <w:vAlign w:val="center"/>
          </w:tcPr>
          <w:p w14:paraId="1F65A0D0">
            <w:pPr>
              <w:widowControl/>
              <w:spacing w:line="240" w:lineRule="auto"/>
              <w:rPr>
                <w:rFonts w:eastAsia="仿宋"/>
                <w:kern w:val="0"/>
                <w:sz w:val="22"/>
                <w:szCs w:val="21"/>
              </w:rPr>
            </w:pPr>
            <w:r>
              <w:rPr>
                <w:rFonts w:eastAsia="仿宋"/>
                <w:kern w:val="0"/>
                <w:sz w:val="22"/>
                <w:szCs w:val="21"/>
              </w:rPr>
              <w:t>碱性物质有氢氧化钠、氢氧化钾、电石等。氢氧化钠和氢氧化钾为白色颗粒，易潮解，易溶于水，多以溶液状态罐车运输。</w:t>
            </w:r>
          </w:p>
        </w:tc>
        <w:tc>
          <w:tcPr>
            <w:tcW w:w="3282" w:type="dxa"/>
            <w:vAlign w:val="center"/>
          </w:tcPr>
          <w:p w14:paraId="131D904F">
            <w:pPr>
              <w:widowControl/>
              <w:spacing w:line="240" w:lineRule="auto"/>
              <w:rPr>
                <w:rFonts w:eastAsia="仿宋"/>
                <w:kern w:val="0"/>
                <w:sz w:val="22"/>
                <w:szCs w:val="21"/>
              </w:rPr>
            </w:pPr>
            <w:r>
              <w:rPr>
                <w:rFonts w:eastAsia="仿宋"/>
                <w:kern w:val="0"/>
                <w:sz w:val="22"/>
                <w:szCs w:val="21"/>
              </w:rPr>
              <w:t>应急人员应带防护手套，在污染区投加酸性物质（如稀盐酸、稀硫酸等）中和处理。</w:t>
            </w:r>
          </w:p>
        </w:tc>
      </w:tr>
      <w:tr w14:paraId="7C6CF0A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758" w:type="dxa"/>
            <w:vMerge w:val="continue"/>
            <w:vAlign w:val="center"/>
          </w:tcPr>
          <w:p w14:paraId="09995F2A">
            <w:pPr>
              <w:widowControl/>
              <w:spacing w:line="240" w:lineRule="auto"/>
              <w:jc w:val="center"/>
              <w:rPr>
                <w:rFonts w:eastAsia="仿宋"/>
                <w:kern w:val="0"/>
                <w:sz w:val="22"/>
                <w:szCs w:val="21"/>
              </w:rPr>
            </w:pPr>
          </w:p>
        </w:tc>
        <w:tc>
          <w:tcPr>
            <w:tcW w:w="1400" w:type="dxa"/>
            <w:vMerge w:val="continue"/>
            <w:vAlign w:val="center"/>
          </w:tcPr>
          <w:p w14:paraId="529A5248">
            <w:pPr>
              <w:widowControl/>
              <w:spacing w:line="240" w:lineRule="auto"/>
              <w:jc w:val="center"/>
              <w:rPr>
                <w:rFonts w:eastAsia="仿宋"/>
                <w:kern w:val="0"/>
                <w:sz w:val="22"/>
                <w:szCs w:val="21"/>
              </w:rPr>
            </w:pPr>
          </w:p>
        </w:tc>
        <w:tc>
          <w:tcPr>
            <w:tcW w:w="3411" w:type="dxa"/>
            <w:vAlign w:val="center"/>
          </w:tcPr>
          <w:p w14:paraId="31F98CAA">
            <w:pPr>
              <w:widowControl/>
              <w:spacing w:line="240" w:lineRule="auto"/>
              <w:rPr>
                <w:rFonts w:eastAsia="仿宋"/>
                <w:kern w:val="0"/>
                <w:sz w:val="22"/>
                <w:szCs w:val="21"/>
              </w:rPr>
            </w:pPr>
            <w:r>
              <w:rPr>
                <w:rFonts w:eastAsia="仿宋"/>
                <w:kern w:val="0"/>
                <w:sz w:val="22"/>
                <w:szCs w:val="21"/>
              </w:rPr>
              <w:t>强氧化性物资有次氯酸钠、硝酸钾、重铬酸钾和高锰酸钾等。高锰酸钾为紫色晶体，重铬酸钾为鲜红色晶体，其余为白色晶体。该类物质一般易溶于水，具有强氧化性，腐蚀水工建筑物中的金属构件，重铬酸钾还能引起环境中铬类污染物的富集。</w:t>
            </w:r>
          </w:p>
        </w:tc>
        <w:tc>
          <w:tcPr>
            <w:tcW w:w="3282" w:type="dxa"/>
            <w:vAlign w:val="center"/>
          </w:tcPr>
          <w:p w14:paraId="355EA9DB">
            <w:pPr>
              <w:widowControl/>
              <w:spacing w:line="240" w:lineRule="auto"/>
              <w:rPr>
                <w:rFonts w:eastAsia="仿宋"/>
                <w:kern w:val="0"/>
                <w:sz w:val="22"/>
                <w:szCs w:val="21"/>
              </w:rPr>
            </w:pPr>
            <w:r>
              <w:rPr>
                <w:rFonts w:eastAsia="仿宋"/>
                <w:kern w:val="0"/>
                <w:sz w:val="22"/>
                <w:szCs w:val="21"/>
              </w:rPr>
              <w:t>应急人员应戴防护手套，干态污染物应避免和有机物、金属粉末、易燃物等接触，以免发生爆炸。进入水体后可投加草酸钠还原。</w:t>
            </w:r>
          </w:p>
        </w:tc>
      </w:tr>
      <w:tr w14:paraId="2DA522C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758" w:type="dxa"/>
            <w:vAlign w:val="center"/>
          </w:tcPr>
          <w:p w14:paraId="06A99CD6">
            <w:pPr>
              <w:widowControl/>
              <w:spacing w:line="240" w:lineRule="auto"/>
              <w:jc w:val="center"/>
              <w:rPr>
                <w:rFonts w:eastAsia="仿宋"/>
                <w:kern w:val="0"/>
                <w:sz w:val="22"/>
                <w:szCs w:val="21"/>
              </w:rPr>
            </w:pPr>
            <w:r>
              <w:rPr>
                <w:rFonts w:eastAsia="仿宋"/>
                <w:kern w:val="0"/>
                <w:sz w:val="22"/>
                <w:szCs w:val="21"/>
              </w:rPr>
              <w:t>11</w:t>
            </w:r>
          </w:p>
        </w:tc>
        <w:tc>
          <w:tcPr>
            <w:tcW w:w="8093" w:type="dxa"/>
            <w:gridSpan w:val="3"/>
            <w:vAlign w:val="center"/>
          </w:tcPr>
          <w:p w14:paraId="4633063E">
            <w:pPr>
              <w:widowControl/>
              <w:spacing w:line="240" w:lineRule="auto"/>
              <w:rPr>
                <w:rFonts w:eastAsia="仿宋"/>
                <w:kern w:val="0"/>
                <w:sz w:val="22"/>
                <w:szCs w:val="21"/>
              </w:rPr>
            </w:pPr>
            <w:r>
              <w:rPr>
                <w:rFonts w:eastAsia="仿宋"/>
                <w:kern w:val="0"/>
                <w:sz w:val="22"/>
                <w:szCs w:val="21"/>
              </w:rPr>
              <w:t>除上述常见的石油类化学品外，各类病毒、细菌造成的水体污染可投加漂白粉、生石灰等消毒处置。</w:t>
            </w:r>
          </w:p>
        </w:tc>
      </w:tr>
    </w:tbl>
    <w:p w14:paraId="65BC4AAA">
      <w:pPr>
        <w:widowControl/>
        <w:spacing w:line="240" w:lineRule="auto"/>
        <w:rPr>
          <w:rFonts w:eastAsia="仿宋"/>
          <w:b/>
          <w:sz w:val="21"/>
          <w:szCs w:val="21"/>
        </w:rPr>
      </w:pPr>
      <w:bookmarkStart w:id="134" w:name="_Toc43847164"/>
      <w:r>
        <w:rPr>
          <w:rFonts w:eastAsia="仿宋"/>
          <w:b/>
          <w:sz w:val="21"/>
          <w:szCs w:val="21"/>
        </w:rPr>
        <w:br w:type="page"/>
      </w:r>
    </w:p>
    <w:p w14:paraId="5E97C6CB">
      <w:pPr>
        <w:widowControl/>
        <w:spacing w:line="240" w:lineRule="auto"/>
        <w:rPr>
          <w:rFonts w:eastAsia="仿宋"/>
          <w:b/>
        </w:rPr>
      </w:pPr>
      <w:r>
        <w:rPr>
          <w:rFonts w:eastAsia="仿宋"/>
          <w:b/>
        </w:rPr>
        <w:t>附表7  突发环境事件格式文件</w:t>
      </w:r>
      <w:bookmarkEnd w:id="134"/>
    </w:p>
    <w:p w14:paraId="02D9D6DC">
      <w:pPr>
        <w:spacing w:line="240" w:lineRule="auto"/>
        <w:jc w:val="center"/>
        <w:rPr>
          <w:rFonts w:eastAsia="仿宋"/>
          <w:sz w:val="28"/>
          <w:szCs w:val="21"/>
        </w:rPr>
      </w:pPr>
      <w:r>
        <w:rPr>
          <w:rFonts w:eastAsia="仿宋"/>
          <w:sz w:val="28"/>
          <w:szCs w:val="21"/>
        </w:rPr>
        <w:t>应急预案变更申请表</w:t>
      </w:r>
    </w:p>
    <w:tbl>
      <w:tblPr>
        <w:tblStyle w:val="14"/>
        <w:tblW w:w="91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89"/>
        <w:gridCol w:w="4623"/>
        <w:gridCol w:w="3056"/>
      </w:tblGrid>
      <w:tr w14:paraId="21583A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trPr>
        <w:tc>
          <w:tcPr>
            <w:tcW w:w="1489" w:type="dxa"/>
            <w:vAlign w:val="center"/>
          </w:tcPr>
          <w:p w14:paraId="38B35C01">
            <w:pPr>
              <w:spacing w:line="240" w:lineRule="auto"/>
              <w:jc w:val="center"/>
              <w:rPr>
                <w:rFonts w:eastAsia="仿宋"/>
                <w:sz w:val="21"/>
                <w:szCs w:val="21"/>
              </w:rPr>
            </w:pPr>
            <w:r>
              <w:rPr>
                <w:rFonts w:eastAsia="仿宋"/>
                <w:sz w:val="21"/>
                <w:szCs w:val="21"/>
              </w:rPr>
              <w:t>单位名称</w:t>
            </w:r>
          </w:p>
        </w:tc>
        <w:tc>
          <w:tcPr>
            <w:tcW w:w="7679" w:type="dxa"/>
            <w:gridSpan w:val="2"/>
            <w:vAlign w:val="center"/>
          </w:tcPr>
          <w:p w14:paraId="1FEABF6F">
            <w:pPr>
              <w:spacing w:line="240" w:lineRule="auto"/>
              <w:jc w:val="center"/>
              <w:rPr>
                <w:rFonts w:eastAsia="仿宋"/>
                <w:sz w:val="21"/>
                <w:szCs w:val="21"/>
              </w:rPr>
            </w:pPr>
          </w:p>
        </w:tc>
      </w:tr>
      <w:tr w14:paraId="3AF025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1489" w:type="dxa"/>
            <w:vAlign w:val="center"/>
          </w:tcPr>
          <w:p w14:paraId="458AB5C6">
            <w:pPr>
              <w:spacing w:line="240" w:lineRule="auto"/>
              <w:jc w:val="center"/>
              <w:rPr>
                <w:rFonts w:eastAsia="仿宋"/>
                <w:sz w:val="21"/>
                <w:szCs w:val="21"/>
              </w:rPr>
            </w:pPr>
            <w:r>
              <w:rPr>
                <w:rFonts w:eastAsia="仿宋"/>
                <w:sz w:val="21"/>
                <w:szCs w:val="21"/>
              </w:rPr>
              <w:t>单位地址</w:t>
            </w:r>
          </w:p>
        </w:tc>
        <w:tc>
          <w:tcPr>
            <w:tcW w:w="7679" w:type="dxa"/>
            <w:gridSpan w:val="2"/>
            <w:vAlign w:val="center"/>
          </w:tcPr>
          <w:p w14:paraId="37B07C51">
            <w:pPr>
              <w:spacing w:line="240" w:lineRule="auto"/>
              <w:jc w:val="center"/>
              <w:rPr>
                <w:rFonts w:eastAsia="仿宋"/>
                <w:sz w:val="21"/>
                <w:szCs w:val="21"/>
              </w:rPr>
            </w:pPr>
          </w:p>
        </w:tc>
      </w:tr>
      <w:tr w14:paraId="25A6B4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1489" w:type="dxa"/>
            <w:vAlign w:val="center"/>
          </w:tcPr>
          <w:p w14:paraId="23D039F3">
            <w:pPr>
              <w:spacing w:line="240" w:lineRule="auto"/>
              <w:jc w:val="center"/>
              <w:rPr>
                <w:rFonts w:eastAsia="仿宋"/>
                <w:sz w:val="21"/>
                <w:szCs w:val="21"/>
              </w:rPr>
            </w:pPr>
            <w:r>
              <w:rPr>
                <w:rFonts w:eastAsia="仿宋"/>
                <w:sz w:val="21"/>
                <w:szCs w:val="21"/>
              </w:rPr>
              <w:t>联系人</w:t>
            </w:r>
          </w:p>
        </w:tc>
        <w:tc>
          <w:tcPr>
            <w:tcW w:w="7679" w:type="dxa"/>
            <w:gridSpan w:val="2"/>
            <w:vAlign w:val="center"/>
          </w:tcPr>
          <w:p w14:paraId="2A107C7E">
            <w:pPr>
              <w:spacing w:line="240" w:lineRule="auto"/>
              <w:jc w:val="center"/>
              <w:rPr>
                <w:rFonts w:eastAsia="仿宋"/>
                <w:sz w:val="21"/>
                <w:szCs w:val="21"/>
              </w:rPr>
            </w:pPr>
          </w:p>
        </w:tc>
      </w:tr>
      <w:tr w14:paraId="5AB3E2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1489" w:type="dxa"/>
            <w:vAlign w:val="center"/>
          </w:tcPr>
          <w:p w14:paraId="6B834644">
            <w:pPr>
              <w:spacing w:line="240" w:lineRule="auto"/>
              <w:jc w:val="center"/>
              <w:rPr>
                <w:rFonts w:eastAsia="仿宋"/>
                <w:sz w:val="21"/>
                <w:szCs w:val="21"/>
              </w:rPr>
            </w:pPr>
            <w:r>
              <w:rPr>
                <w:rFonts w:eastAsia="仿宋"/>
                <w:sz w:val="21"/>
                <w:szCs w:val="21"/>
              </w:rPr>
              <w:t>联系电话</w:t>
            </w:r>
          </w:p>
        </w:tc>
        <w:tc>
          <w:tcPr>
            <w:tcW w:w="7679" w:type="dxa"/>
            <w:gridSpan w:val="2"/>
            <w:vAlign w:val="center"/>
          </w:tcPr>
          <w:p w14:paraId="31D8B3F5">
            <w:pPr>
              <w:spacing w:line="240" w:lineRule="auto"/>
              <w:jc w:val="center"/>
              <w:rPr>
                <w:rFonts w:eastAsia="仿宋"/>
                <w:sz w:val="21"/>
                <w:szCs w:val="21"/>
              </w:rPr>
            </w:pPr>
          </w:p>
        </w:tc>
      </w:tr>
      <w:tr w14:paraId="12AE7F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1489" w:type="dxa"/>
            <w:vAlign w:val="center"/>
          </w:tcPr>
          <w:p w14:paraId="4430E64F">
            <w:pPr>
              <w:spacing w:line="240" w:lineRule="auto"/>
              <w:jc w:val="center"/>
              <w:rPr>
                <w:rFonts w:eastAsia="仿宋"/>
                <w:sz w:val="21"/>
                <w:szCs w:val="21"/>
              </w:rPr>
            </w:pPr>
            <w:r>
              <w:rPr>
                <w:rFonts w:eastAsia="仿宋"/>
                <w:sz w:val="21"/>
                <w:szCs w:val="21"/>
              </w:rPr>
              <w:t>备案编号</w:t>
            </w:r>
          </w:p>
        </w:tc>
        <w:tc>
          <w:tcPr>
            <w:tcW w:w="7679" w:type="dxa"/>
            <w:gridSpan w:val="2"/>
            <w:vAlign w:val="center"/>
          </w:tcPr>
          <w:p w14:paraId="60BDCF4C">
            <w:pPr>
              <w:spacing w:line="240" w:lineRule="auto"/>
              <w:jc w:val="center"/>
              <w:rPr>
                <w:rFonts w:eastAsia="仿宋"/>
                <w:sz w:val="21"/>
                <w:szCs w:val="21"/>
              </w:rPr>
            </w:pPr>
          </w:p>
        </w:tc>
      </w:tr>
      <w:tr w14:paraId="1B324A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0" w:hRule="atLeast"/>
        </w:trPr>
        <w:tc>
          <w:tcPr>
            <w:tcW w:w="1489" w:type="dxa"/>
            <w:vMerge w:val="restart"/>
            <w:textDirection w:val="tbRlV"/>
            <w:vAlign w:val="center"/>
          </w:tcPr>
          <w:p w14:paraId="335EE6C7">
            <w:pPr>
              <w:spacing w:line="240" w:lineRule="auto"/>
              <w:jc w:val="center"/>
              <w:rPr>
                <w:rFonts w:eastAsia="仿宋"/>
                <w:sz w:val="21"/>
                <w:szCs w:val="21"/>
              </w:rPr>
            </w:pPr>
            <w:r>
              <w:rPr>
                <w:rFonts w:eastAsia="仿宋"/>
                <w:sz w:val="21"/>
                <w:szCs w:val="21"/>
              </w:rPr>
              <w:t>变更内容</w:t>
            </w:r>
          </w:p>
        </w:tc>
        <w:tc>
          <w:tcPr>
            <w:tcW w:w="4623" w:type="dxa"/>
            <w:vAlign w:val="center"/>
          </w:tcPr>
          <w:p w14:paraId="4623461B">
            <w:pPr>
              <w:spacing w:line="240" w:lineRule="auto"/>
              <w:jc w:val="center"/>
              <w:rPr>
                <w:rFonts w:eastAsia="仿宋"/>
                <w:sz w:val="21"/>
                <w:szCs w:val="21"/>
              </w:rPr>
            </w:pPr>
            <w:r>
              <w:rPr>
                <w:rFonts w:eastAsia="仿宋"/>
                <w:sz w:val="21"/>
                <w:szCs w:val="21"/>
              </w:rPr>
              <w:t>变更前</w:t>
            </w:r>
          </w:p>
        </w:tc>
        <w:tc>
          <w:tcPr>
            <w:tcW w:w="3056" w:type="dxa"/>
            <w:vAlign w:val="center"/>
          </w:tcPr>
          <w:p w14:paraId="5685F78D">
            <w:pPr>
              <w:spacing w:line="240" w:lineRule="auto"/>
              <w:jc w:val="center"/>
              <w:rPr>
                <w:rFonts w:eastAsia="仿宋"/>
                <w:sz w:val="21"/>
                <w:szCs w:val="21"/>
              </w:rPr>
            </w:pPr>
            <w:r>
              <w:rPr>
                <w:rFonts w:eastAsia="仿宋"/>
                <w:sz w:val="21"/>
                <w:szCs w:val="21"/>
              </w:rPr>
              <w:t>变更后</w:t>
            </w:r>
          </w:p>
        </w:tc>
      </w:tr>
      <w:tr w14:paraId="125B1A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atLeast"/>
        </w:trPr>
        <w:tc>
          <w:tcPr>
            <w:tcW w:w="1489" w:type="dxa"/>
            <w:vMerge w:val="continue"/>
            <w:vAlign w:val="center"/>
          </w:tcPr>
          <w:p w14:paraId="7B5B47B4">
            <w:pPr>
              <w:spacing w:line="240" w:lineRule="auto"/>
              <w:jc w:val="center"/>
              <w:rPr>
                <w:rFonts w:eastAsia="仿宋"/>
                <w:sz w:val="21"/>
                <w:szCs w:val="21"/>
              </w:rPr>
            </w:pPr>
          </w:p>
        </w:tc>
        <w:tc>
          <w:tcPr>
            <w:tcW w:w="4623" w:type="dxa"/>
            <w:vAlign w:val="center"/>
          </w:tcPr>
          <w:p w14:paraId="67DD3C1B">
            <w:pPr>
              <w:spacing w:line="240" w:lineRule="auto"/>
              <w:jc w:val="center"/>
              <w:rPr>
                <w:rFonts w:eastAsia="仿宋"/>
                <w:sz w:val="21"/>
                <w:szCs w:val="21"/>
              </w:rPr>
            </w:pPr>
          </w:p>
        </w:tc>
        <w:tc>
          <w:tcPr>
            <w:tcW w:w="3056" w:type="dxa"/>
            <w:vAlign w:val="center"/>
          </w:tcPr>
          <w:p w14:paraId="7DA54CFF">
            <w:pPr>
              <w:spacing w:line="240" w:lineRule="auto"/>
              <w:jc w:val="center"/>
              <w:rPr>
                <w:rFonts w:eastAsia="仿宋"/>
                <w:sz w:val="21"/>
                <w:szCs w:val="21"/>
              </w:rPr>
            </w:pPr>
          </w:p>
        </w:tc>
      </w:tr>
      <w:tr w14:paraId="579400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0" w:hRule="atLeast"/>
        </w:trPr>
        <w:tc>
          <w:tcPr>
            <w:tcW w:w="1489" w:type="dxa"/>
            <w:vMerge w:val="continue"/>
            <w:vAlign w:val="center"/>
          </w:tcPr>
          <w:p w14:paraId="7C78E81C">
            <w:pPr>
              <w:spacing w:line="240" w:lineRule="auto"/>
              <w:jc w:val="center"/>
              <w:rPr>
                <w:rFonts w:eastAsia="仿宋"/>
                <w:sz w:val="21"/>
                <w:szCs w:val="21"/>
              </w:rPr>
            </w:pPr>
          </w:p>
        </w:tc>
        <w:tc>
          <w:tcPr>
            <w:tcW w:w="4623" w:type="dxa"/>
            <w:vAlign w:val="center"/>
          </w:tcPr>
          <w:p w14:paraId="52AE7C42">
            <w:pPr>
              <w:spacing w:line="240" w:lineRule="auto"/>
              <w:jc w:val="center"/>
              <w:rPr>
                <w:rFonts w:eastAsia="仿宋"/>
                <w:sz w:val="21"/>
                <w:szCs w:val="21"/>
              </w:rPr>
            </w:pPr>
          </w:p>
        </w:tc>
        <w:tc>
          <w:tcPr>
            <w:tcW w:w="3056" w:type="dxa"/>
            <w:vAlign w:val="center"/>
          </w:tcPr>
          <w:p w14:paraId="2B1A2E29">
            <w:pPr>
              <w:spacing w:line="240" w:lineRule="auto"/>
              <w:jc w:val="center"/>
              <w:rPr>
                <w:rFonts w:eastAsia="仿宋"/>
                <w:sz w:val="21"/>
                <w:szCs w:val="21"/>
              </w:rPr>
            </w:pPr>
          </w:p>
        </w:tc>
      </w:tr>
      <w:tr w14:paraId="474DCD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5" w:hRule="atLeast"/>
        </w:trPr>
        <w:tc>
          <w:tcPr>
            <w:tcW w:w="1489" w:type="dxa"/>
            <w:vMerge w:val="continue"/>
            <w:vAlign w:val="center"/>
          </w:tcPr>
          <w:p w14:paraId="3823E428">
            <w:pPr>
              <w:spacing w:line="240" w:lineRule="auto"/>
              <w:jc w:val="center"/>
              <w:rPr>
                <w:rFonts w:eastAsia="仿宋"/>
                <w:sz w:val="21"/>
                <w:szCs w:val="21"/>
              </w:rPr>
            </w:pPr>
          </w:p>
        </w:tc>
        <w:tc>
          <w:tcPr>
            <w:tcW w:w="4623" w:type="dxa"/>
            <w:vAlign w:val="center"/>
          </w:tcPr>
          <w:p w14:paraId="68996DDA">
            <w:pPr>
              <w:spacing w:line="240" w:lineRule="auto"/>
              <w:jc w:val="center"/>
              <w:rPr>
                <w:rFonts w:eastAsia="仿宋"/>
                <w:sz w:val="21"/>
                <w:szCs w:val="21"/>
              </w:rPr>
            </w:pPr>
          </w:p>
        </w:tc>
        <w:tc>
          <w:tcPr>
            <w:tcW w:w="3056" w:type="dxa"/>
            <w:vAlign w:val="center"/>
          </w:tcPr>
          <w:p w14:paraId="36CDD36B">
            <w:pPr>
              <w:spacing w:line="240" w:lineRule="auto"/>
              <w:jc w:val="center"/>
              <w:rPr>
                <w:rFonts w:eastAsia="仿宋"/>
                <w:sz w:val="21"/>
                <w:szCs w:val="21"/>
              </w:rPr>
            </w:pPr>
          </w:p>
        </w:tc>
      </w:tr>
      <w:tr w14:paraId="3BF148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80" w:hRule="atLeast"/>
        </w:trPr>
        <w:tc>
          <w:tcPr>
            <w:tcW w:w="1489" w:type="dxa"/>
            <w:textDirection w:val="tbRlV"/>
            <w:vAlign w:val="center"/>
          </w:tcPr>
          <w:p w14:paraId="00208F83">
            <w:pPr>
              <w:spacing w:line="240" w:lineRule="auto"/>
              <w:jc w:val="center"/>
              <w:rPr>
                <w:rFonts w:eastAsia="仿宋"/>
                <w:sz w:val="21"/>
                <w:szCs w:val="21"/>
              </w:rPr>
            </w:pPr>
            <w:r>
              <w:rPr>
                <w:rFonts w:eastAsia="仿宋"/>
                <w:sz w:val="21"/>
                <w:szCs w:val="21"/>
              </w:rPr>
              <w:t>申请变更理由</w:t>
            </w:r>
          </w:p>
        </w:tc>
        <w:tc>
          <w:tcPr>
            <w:tcW w:w="7679" w:type="dxa"/>
            <w:gridSpan w:val="2"/>
            <w:vAlign w:val="center"/>
          </w:tcPr>
          <w:p w14:paraId="0F4AB9CD">
            <w:pPr>
              <w:spacing w:line="240" w:lineRule="auto"/>
              <w:jc w:val="center"/>
              <w:rPr>
                <w:rFonts w:eastAsia="仿宋"/>
                <w:sz w:val="21"/>
                <w:szCs w:val="21"/>
              </w:rPr>
            </w:pPr>
          </w:p>
          <w:p w14:paraId="57C4C841">
            <w:pPr>
              <w:spacing w:line="240" w:lineRule="auto"/>
              <w:jc w:val="center"/>
              <w:rPr>
                <w:rFonts w:eastAsia="仿宋"/>
                <w:sz w:val="21"/>
                <w:szCs w:val="21"/>
              </w:rPr>
            </w:pPr>
          </w:p>
          <w:p w14:paraId="501E42CE">
            <w:pPr>
              <w:spacing w:line="240" w:lineRule="auto"/>
              <w:jc w:val="center"/>
              <w:rPr>
                <w:rFonts w:eastAsia="仿宋"/>
                <w:sz w:val="21"/>
                <w:szCs w:val="21"/>
              </w:rPr>
            </w:pPr>
          </w:p>
          <w:p w14:paraId="284D8D6F">
            <w:pPr>
              <w:spacing w:line="240" w:lineRule="auto"/>
              <w:jc w:val="center"/>
              <w:rPr>
                <w:rFonts w:eastAsia="仿宋"/>
                <w:sz w:val="21"/>
                <w:szCs w:val="21"/>
              </w:rPr>
            </w:pPr>
          </w:p>
          <w:p w14:paraId="23A92786">
            <w:pPr>
              <w:spacing w:line="240" w:lineRule="auto"/>
              <w:jc w:val="center"/>
              <w:rPr>
                <w:rFonts w:eastAsia="仿宋"/>
                <w:sz w:val="21"/>
                <w:szCs w:val="21"/>
              </w:rPr>
            </w:pPr>
          </w:p>
          <w:p w14:paraId="2BA55A9F">
            <w:pPr>
              <w:spacing w:line="240" w:lineRule="auto"/>
              <w:jc w:val="center"/>
              <w:rPr>
                <w:rFonts w:eastAsia="仿宋"/>
                <w:sz w:val="21"/>
                <w:szCs w:val="21"/>
              </w:rPr>
            </w:pPr>
          </w:p>
          <w:p w14:paraId="56054CCE">
            <w:pPr>
              <w:spacing w:line="240" w:lineRule="auto"/>
              <w:jc w:val="center"/>
              <w:rPr>
                <w:rFonts w:eastAsia="仿宋"/>
                <w:sz w:val="21"/>
                <w:szCs w:val="21"/>
              </w:rPr>
            </w:pPr>
          </w:p>
          <w:p w14:paraId="20FB860C">
            <w:pPr>
              <w:wordWrap w:val="0"/>
              <w:spacing w:line="240" w:lineRule="auto"/>
              <w:jc w:val="right"/>
              <w:rPr>
                <w:rFonts w:eastAsia="仿宋"/>
                <w:sz w:val="21"/>
                <w:szCs w:val="21"/>
              </w:rPr>
            </w:pPr>
            <w:r>
              <w:rPr>
                <w:rFonts w:eastAsia="仿宋"/>
                <w:sz w:val="21"/>
                <w:szCs w:val="21"/>
              </w:rPr>
              <w:t xml:space="preserve">（单位公章）   </w:t>
            </w:r>
          </w:p>
          <w:p w14:paraId="11039D60">
            <w:pPr>
              <w:wordWrap w:val="0"/>
              <w:spacing w:line="240" w:lineRule="auto"/>
              <w:jc w:val="right"/>
              <w:rPr>
                <w:rFonts w:eastAsia="仿宋"/>
                <w:sz w:val="21"/>
                <w:szCs w:val="21"/>
                <w:u w:val="single"/>
              </w:rPr>
            </w:pPr>
            <w:r>
              <w:rPr>
                <w:rFonts w:eastAsia="仿宋"/>
                <w:sz w:val="21"/>
                <w:szCs w:val="21"/>
              </w:rPr>
              <w:t>年</w:t>
            </w:r>
            <w:r>
              <w:rPr>
                <w:rFonts w:eastAsia="仿宋"/>
                <w:sz w:val="21"/>
                <w:szCs w:val="21"/>
                <w:u w:val="single"/>
              </w:rPr>
              <w:t xml:space="preserve">     </w:t>
            </w:r>
            <w:r>
              <w:rPr>
                <w:rFonts w:eastAsia="仿宋"/>
                <w:sz w:val="21"/>
                <w:szCs w:val="21"/>
              </w:rPr>
              <w:t>月</w:t>
            </w:r>
            <w:r>
              <w:rPr>
                <w:rFonts w:eastAsia="仿宋"/>
                <w:sz w:val="21"/>
                <w:szCs w:val="21"/>
                <w:u w:val="single"/>
              </w:rPr>
              <w:t xml:space="preserve">     </w:t>
            </w:r>
            <w:r>
              <w:rPr>
                <w:rFonts w:eastAsia="仿宋"/>
                <w:sz w:val="21"/>
                <w:szCs w:val="21"/>
              </w:rPr>
              <w:t xml:space="preserve">日   </w:t>
            </w:r>
          </w:p>
        </w:tc>
      </w:tr>
    </w:tbl>
    <w:p w14:paraId="77CDDEF4">
      <w:pPr>
        <w:spacing w:line="240" w:lineRule="auto"/>
        <w:jc w:val="center"/>
        <w:rPr>
          <w:rFonts w:eastAsia="仿宋"/>
          <w:sz w:val="21"/>
          <w:szCs w:val="21"/>
        </w:rPr>
      </w:pPr>
      <w:r>
        <w:rPr>
          <w:rFonts w:eastAsia="仿宋"/>
          <w:sz w:val="21"/>
          <w:szCs w:val="21"/>
        </w:rPr>
        <w:t>注：此表由企业填写。按规定的要求，将原备案登记表与变更申请表一并上报。</w:t>
      </w:r>
    </w:p>
    <w:p w14:paraId="36C0F19D">
      <w:pPr>
        <w:spacing w:line="240" w:lineRule="auto"/>
        <w:jc w:val="center"/>
        <w:rPr>
          <w:rFonts w:eastAsia="仿宋"/>
          <w:sz w:val="21"/>
          <w:szCs w:val="21"/>
        </w:rPr>
      </w:pPr>
    </w:p>
    <w:p w14:paraId="13622D7A">
      <w:pPr>
        <w:spacing w:line="240" w:lineRule="auto"/>
        <w:jc w:val="center"/>
        <w:rPr>
          <w:rFonts w:eastAsia="仿宋"/>
          <w:sz w:val="21"/>
          <w:szCs w:val="21"/>
        </w:rPr>
      </w:pPr>
    </w:p>
    <w:p w14:paraId="3B3877E9">
      <w:pPr>
        <w:spacing w:line="240" w:lineRule="auto"/>
        <w:jc w:val="center"/>
        <w:rPr>
          <w:rFonts w:eastAsia="仿宋"/>
          <w:sz w:val="21"/>
          <w:szCs w:val="21"/>
        </w:rPr>
      </w:pPr>
    </w:p>
    <w:p w14:paraId="42F71E5E">
      <w:pPr>
        <w:spacing w:line="240" w:lineRule="auto"/>
        <w:jc w:val="center"/>
        <w:rPr>
          <w:rFonts w:eastAsia="仿宋"/>
          <w:sz w:val="21"/>
          <w:szCs w:val="21"/>
        </w:rPr>
      </w:pPr>
    </w:p>
    <w:p w14:paraId="3A0D19ED">
      <w:pPr>
        <w:spacing w:line="240" w:lineRule="auto"/>
        <w:jc w:val="center"/>
        <w:rPr>
          <w:rFonts w:eastAsia="仿宋"/>
          <w:sz w:val="21"/>
          <w:szCs w:val="21"/>
        </w:rPr>
      </w:pPr>
    </w:p>
    <w:p w14:paraId="6BCC76FD">
      <w:pPr>
        <w:spacing w:line="240" w:lineRule="auto"/>
        <w:jc w:val="center"/>
        <w:rPr>
          <w:rFonts w:eastAsia="仿宋"/>
          <w:sz w:val="21"/>
          <w:szCs w:val="21"/>
        </w:rPr>
      </w:pPr>
    </w:p>
    <w:p w14:paraId="764C454C">
      <w:pPr>
        <w:spacing w:line="240" w:lineRule="auto"/>
        <w:jc w:val="center"/>
        <w:rPr>
          <w:rFonts w:eastAsia="仿宋"/>
          <w:sz w:val="21"/>
          <w:szCs w:val="21"/>
        </w:rPr>
      </w:pPr>
    </w:p>
    <w:p w14:paraId="0BA3C40D">
      <w:pPr>
        <w:spacing w:line="240" w:lineRule="auto"/>
        <w:jc w:val="center"/>
        <w:rPr>
          <w:rFonts w:eastAsia="仿宋"/>
          <w:sz w:val="21"/>
          <w:szCs w:val="21"/>
        </w:rPr>
      </w:pPr>
    </w:p>
    <w:p w14:paraId="7222FC00">
      <w:pPr>
        <w:spacing w:line="240" w:lineRule="auto"/>
        <w:jc w:val="center"/>
        <w:rPr>
          <w:rFonts w:eastAsia="仿宋"/>
          <w:sz w:val="21"/>
          <w:szCs w:val="21"/>
        </w:rPr>
      </w:pPr>
    </w:p>
    <w:p w14:paraId="0FFF5D2C">
      <w:pPr>
        <w:spacing w:line="240" w:lineRule="auto"/>
        <w:jc w:val="center"/>
        <w:rPr>
          <w:rFonts w:eastAsia="仿宋"/>
          <w:sz w:val="21"/>
          <w:szCs w:val="21"/>
        </w:rPr>
      </w:pPr>
    </w:p>
    <w:p w14:paraId="7608BC0A">
      <w:pPr>
        <w:spacing w:line="240" w:lineRule="auto"/>
        <w:jc w:val="center"/>
        <w:rPr>
          <w:rFonts w:eastAsia="仿宋"/>
          <w:sz w:val="21"/>
          <w:szCs w:val="21"/>
        </w:rPr>
      </w:pPr>
    </w:p>
    <w:p w14:paraId="19FB2D01">
      <w:pPr>
        <w:spacing w:line="240" w:lineRule="auto"/>
        <w:jc w:val="center"/>
        <w:rPr>
          <w:rFonts w:eastAsia="仿宋"/>
          <w:sz w:val="28"/>
          <w:szCs w:val="21"/>
        </w:rPr>
      </w:pPr>
      <w:r>
        <w:rPr>
          <w:rFonts w:eastAsia="仿宋"/>
          <w:sz w:val="28"/>
          <w:szCs w:val="21"/>
        </w:rPr>
        <w:t>应急预案状态解除令</w:t>
      </w:r>
    </w:p>
    <w:tbl>
      <w:tblPr>
        <w:tblStyle w:val="14"/>
        <w:tblW w:w="8583" w:type="dxa"/>
        <w:tblInd w:w="103" w:type="dxa"/>
        <w:tblLayout w:type="fixed"/>
        <w:tblCellMar>
          <w:top w:w="0" w:type="dxa"/>
          <w:left w:w="108" w:type="dxa"/>
          <w:bottom w:w="0" w:type="dxa"/>
          <w:right w:w="108" w:type="dxa"/>
        </w:tblCellMar>
      </w:tblPr>
      <w:tblGrid>
        <w:gridCol w:w="1538"/>
        <w:gridCol w:w="2797"/>
        <w:gridCol w:w="1763"/>
        <w:gridCol w:w="2485"/>
      </w:tblGrid>
      <w:tr w14:paraId="7AD603E7">
        <w:tblPrEx>
          <w:tblCellMar>
            <w:top w:w="0" w:type="dxa"/>
            <w:left w:w="108" w:type="dxa"/>
            <w:bottom w:w="0" w:type="dxa"/>
            <w:right w:w="108" w:type="dxa"/>
          </w:tblCellMar>
        </w:tblPrEx>
        <w:trPr>
          <w:trHeight w:val="684" w:hRule="atLeast"/>
        </w:trPr>
        <w:tc>
          <w:tcPr>
            <w:tcW w:w="1538"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68E8E66">
            <w:pPr>
              <w:spacing w:line="240" w:lineRule="auto"/>
              <w:jc w:val="center"/>
              <w:rPr>
                <w:rFonts w:eastAsia="仿宋"/>
                <w:sz w:val="21"/>
                <w:szCs w:val="21"/>
              </w:rPr>
            </w:pPr>
            <w:r>
              <w:rPr>
                <w:rFonts w:eastAsia="仿宋"/>
                <w:sz w:val="21"/>
                <w:szCs w:val="21"/>
              </w:rPr>
              <w:t>应急级别</w:t>
            </w:r>
          </w:p>
        </w:tc>
        <w:tc>
          <w:tcPr>
            <w:tcW w:w="7045" w:type="dxa"/>
            <w:gridSpan w:val="3"/>
            <w:tcBorders>
              <w:top w:val="single" w:color="auto" w:sz="4" w:space="0"/>
              <w:left w:val="nil"/>
              <w:bottom w:val="single" w:color="auto" w:sz="4" w:space="0"/>
              <w:right w:val="single" w:color="000000" w:sz="4" w:space="0"/>
            </w:tcBorders>
            <w:shd w:val="clear" w:color="auto" w:fill="auto"/>
            <w:noWrap/>
            <w:vAlign w:val="center"/>
          </w:tcPr>
          <w:p w14:paraId="36BF4574">
            <w:pPr>
              <w:spacing w:line="240" w:lineRule="auto"/>
              <w:jc w:val="center"/>
              <w:rPr>
                <w:rFonts w:eastAsia="仿宋"/>
                <w:sz w:val="21"/>
                <w:szCs w:val="21"/>
              </w:rPr>
            </w:pPr>
            <w:r>
              <w:rPr>
                <w:rFonts w:eastAsia="仿宋"/>
                <w:sz w:val="21"/>
                <w:szCs w:val="21"/>
              </w:rPr>
              <w:t>一级，特大二级，重大三级，较大四级，一般</w:t>
            </w:r>
          </w:p>
        </w:tc>
      </w:tr>
      <w:tr w14:paraId="7F7549CC">
        <w:tblPrEx>
          <w:tblCellMar>
            <w:top w:w="0" w:type="dxa"/>
            <w:left w:w="108" w:type="dxa"/>
            <w:bottom w:w="0" w:type="dxa"/>
            <w:right w:w="108" w:type="dxa"/>
          </w:tblCellMar>
        </w:tblPrEx>
        <w:trPr>
          <w:trHeight w:val="684" w:hRule="atLeast"/>
        </w:trPr>
        <w:tc>
          <w:tcPr>
            <w:tcW w:w="1538" w:type="dxa"/>
            <w:tcBorders>
              <w:top w:val="nil"/>
              <w:left w:val="single" w:color="auto" w:sz="4" w:space="0"/>
              <w:bottom w:val="single" w:color="auto" w:sz="4" w:space="0"/>
              <w:right w:val="single" w:color="auto" w:sz="4" w:space="0"/>
            </w:tcBorders>
            <w:shd w:val="clear" w:color="auto" w:fill="auto"/>
            <w:noWrap/>
            <w:vAlign w:val="center"/>
          </w:tcPr>
          <w:p w14:paraId="4EF123BE">
            <w:pPr>
              <w:spacing w:line="240" w:lineRule="auto"/>
              <w:jc w:val="center"/>
              <w:rPr>
                <w:rFonts w:eastAsia="仿宋"/>
                <w:sz w:val="21"/>
                <w:szCs w:val="21"/>
              </w:rPr>
            </w:pPr>
            <w:r>
              <w:rPr>
                <w:rFonts w:eastAsia="仿宋"/>
                <w:sz w:val="21"/>
                <w:szCs w:val="21"/>
              </w:rPr>
              <w:t>事件类型</w:t>
            </w:r>
          </w:p>
        </w:tc>
        <w:tc>
          <w:tcPr>
            <w:tcW w:w="7045" w:type="dxa"/>
            <w:gridSpan w:val="3"/>
            <w:tcBorders>
              <w:top w:val="single" w:color="auto" w:sz="4" w:space="0"/>
              <w:left w:val="nil"/>
              <w:bottom w:val="single" w:color="auto" w:sz="4" w:space="0"/>
              <w:right w:val="single" w:color="000000" w:sz="4" w:space="0"/>
            </w:tcBorders>
            <w:shd w:val="clear" w:color="auto" w:fill="auto"/>
            <w:noWrap/>
            <w:vAlign w:val="center"/>
          </w:tcPr>
          <w:p w14:paraId="5DB77B88">
            <w:pPr>
              <w:spacing w:line="240" w:lineRule="auto"/>
              <w:jc w:val="center"/>
              <w:rPr>
                <w:rFonts w:eastAsia="仿宋"/>
                <w:sz w:val="21"/>
                <w:szCs w:val="21"/>
              </w:rPr>
            </w:pPr>
            <w:r>
              <w:rPr>
                <w:rFonts w:eastAsia="仿宋"/>
                <w:sz w:val="21"/>
                <w:szCs w:val="21"/>
              </w:rPr>
              <w:t>自然灾害事故灾害公共卫生社会安全</w:t>
            </w:r>
          </w:p>
        </w:tc>
      </w:tr>
      <w:tr w14:paraId="0951D268">
        <w:tblPrEx>
          <w:tblCellMar>
            <w:top w:w="0" w:type="dxa"/>
            <w:left w:w="108" w:type="dxa"/>
            <w:bottom w:w="0" w:type="dxa"/>
            <w:right w:w="108" w:type="dxa"/>
          </w:tblCellMar>
        </w:tblPrEx>
        <w:trPr>
          <w:trHeight w:val="684" w:hRule="atLeast"/>
        </w:trPr>
        <w:tc>
          <w:tcPr>
            <w:tcW w:w="1538" w:type="dxa"/>
            <w:tcBorders>
              <w:top w:val="nil"/>
              <w:left w:val="single" w:color="auto" w:sz="4" w:space="0"/>
              <w:bottom w:val="single" w:color="auto" w:sz="4" w:space="0"/>
              <w:right w:val="single" w:color="auto" w:sz="4" w:space="0"/>
            </w:tcBorders>
            <w:shd w:val="clear" w:color="auto" w:fill="auto"/>
            <w:noWrap/>
            <w:vAlign w:val="center"/>
          </w:tcPr>
          <w:p w14:paraId="61D0D138">
            <w:pPr>
              <w:spacing w:line="240" w:lineRule="auto"/>
              <w:jc w:val="center"/>
              <w:rPr>
                <w:rFonts w:eastAsia="仿宋"/>
                <w:sz w:val="21"/>
                <w:szCs w:val="21"/>
              </w:rPr>
            </w:pPr>
            <w:r>
              <w:rPr>
                <w:rFonts w:eastAsia="仿宋"/>
                <w:sz w:val="21"/>
                <w:szCs w:val="21"/>
              </w:rPr>
              <w:t>签发人</w:t>
            </w:r>
          </w:p>
        </w:tc>
        <w:tc>
          <w:tcPr>
            <w:tcW w:w="2797" w:type="dxa"/>
            <w:tcBorders>
              <w:top w:val="nil"/>
              <w:left w:val="nil"/>
              <w:bottom w:val="single" w:color="auto" w:sz="4" w:space="0"/>
              <w:right w:val="single" w:color="auto" w:sz="4" w:space="0"/>
            </w:tcBorders>
            <w:shd w:val="clear" w:color="auto" w:fill="auto"/>
            <w:noWrap/>
            <w:vAlign w:val="center"/>
          </w:tcPr>
          <w:p w14:paraId="7DDB5862">
            <w:pPr>
              <w:spacing w:line="240" w:lineRule="auto"/>
              <w:jc w:val="center"/>
              <w:rPr>
                <w:rFonts w:eastAsia="仿宋"/>
                <w:sz w:val="21"/>
                <w:szCs w:val="21"/>
              </w:rPr>
            </w:pPr>
          </w:p>
        </w:tc>
        <w:tc>
          <w:tcPr>
            <w:tcW w:w="1763" w:type="dxa"/>
            <w:tcBorders>
              <w:top w:val="nil"/>
              <w:left w:val="nil"/>
              <w:bottom w:val="single" w:color="auto" w:sz="4" w:space="0"/>
              <w:right w:val="single" w:color="auto" w:sz="4" w:space="0"/>
            </w:tcBorders>
            <w:shd w:val="clear" w:color="auto" w:fill="auto"/>
            <w:noWrap/>
            <w:vAlign w:val="center"/>
          </w:tcPr>
          <w:p w14:paraId="47B1C8DF">
            <w:pPr>
              <w:spacing w:line="240" w:lineRule="auto"/>
              <w:jc w:val="center"/>
              <w:rPr>
                <w:rFonts w:eastAsia="仿宋"/>
                <w:sz w:val="21"/>
                <w:szCs w:val="21"/>
              </w:rPr>
            </w:pPr>
            <w:r>
              <w:rPr>
                <w:rFonts w:eastAsia="仿宋"/>
                <w:sz w:val="21"/>
                <w:szCs w:val="21"/>
              </w:rPr>
              <w:t>签发时间</w:t>
            </w:r>
          </w:p>
        </w:tc>
        <w:tc>
          <w:tcPr>
            <w:tcW w:w="2485" w:type="dxa"/>
            <w:tcBorders>
              <w:top w:val="nil"/>
              <w:left w:val="nil"/>
              <w:bottom w:val="single" w:color="auto" w:sz="4" w:space="0"/>
              <w:right w:val="single" w:color="auto" w:sz="4" w:space="0"/>
            </w:tcBorders>
            <w:shd w:val="clear" w:color="auto" w:fill="auto"/>
            <w:noWrap/>
            <w:vAlign w:val="center"/>
          </w:tcPr>
          <w:p w14:paraId="18143E75">
            <w:pPr>
              <w:spacing w:line="240" w:lineRule="auto"/>
              <w:jc w:val="center"/>
              <w:rPr>
                <w:rFonts w:eastAsia="仿宋"/>
                <w:sz w:val="21"/>
                <w:szCs w:val="21"/>
              </w:rPr>
            </w:pPr>
            <w:r>
              <w:rPr>
                <w:rFonts w:eastAsia="仿宋"/>
                <w:sz w:val="21"/>
                <w:szCs w:val="21"/>
              </w:rPr>
              <w:t>年 月  日  时  分</w:t>
            </w:r>
          </w:p>
        </w:tc>
      </w:tr>
      <w:tr w14:paraId="1B553791">
        <w:tblPrEx>
          <w:tblCellMar>
            <w:top w:w="0" w:type="dxa"/>
            <w:left w:w="108" w:type="dxa"/>
            <w:bottom w:w="0" w:type="dxa"/>
            <w:right w:w="108" w:type="dxa"/>
          </w:tblCellMar>
        </w:tblPrEx>
        <w:trPr>
          <w:trHeight w:val="684" w:hRule="atLeast"/>
        </w:trPr>
        <w:tc>
          <w:tcPr>
            <w:tcW w:w="1538" w:type="dxa"/>
            <w:tcBorders>
              <w:top w:val="nil"/>
              <w:left w:val="single" w:color="auto" w:sz="4" w:space="0"/>
              <w:bottom w:val="single" w:color="auto" w:sz="4" w:space="0"/>
              <w:right w:val="single" w:color="auto" w:sz="4" w:space="0"/>
            </w:tcBorders>
            <w:shd w:val="clear" w:color="auto" w:fill="auto"/>
            <w:noWrap/>
            <w:vAlign w:val="center"/>
          </w:tcPr>
          <w:p w14:paraId="17F0EA7F">
            <w:pPr>
              <w:spacing w:line="240" w:lineRule="auto"/>
              <w:jc w:val="center"/>
              <w:rPr>
                <w:rFonts w:eastAsia="仿宋"/>
                <w:sz w:val="21"/>
                <w:szCs w:val="21"/>
              </w:rPr>
            </w:pPr>
            <w:r>
              <w:rPr>
                <w:rFonts w:eastAsia="仿宋"/>
                <w:sz w:val="21"/>
                <w:szCs w:val="21"/>
              </w:rPr>
              <w:t>传令人</w:t>
            </w:r>
          </w:p>
        </w:tc>
        <w:tc>
          <w:tcPr>
            <w:tcW w:w="2797" w:type="dxa"/>
            <w:tcBorders>
              <w:top w:val="nil"/>
              <w:left w:val="nil"/>
              <w:bottom w:val="single" w:color="auto" w:sz="4" w:space="0"/>
              <w:right w:val="single" w:color="auto" w:sz="4" w:space="0"/>
            </w:tcBorders>
            <w:shd w:val="clear" w:color="auto" w:fill="auto"/>
            <w:noWrap/>
            <w:vAlign w:val="center"/>
          </w:tcPr>
          <w:p w14:paraId="20C0E743">
            <w:pPr>
              <w:spacing w:line="240" w:lineRule="auto"/>
              <w:jc w:val="center"/>
              <w:rPr>
                <w:rFonts w:eastAsia="仿宋"/>
                <w:sz w:val="21"/>
                <w:szCs w:val="21"/>
              </w:rPr>
            </w:pPr>
          </w:p>
        </w:tc>
        <w:tc>
          <w:tcPr>
            <w:tcW w:w="1763" w:type="dxa"/>
            <w:tcBorders>
              <w:top w:val="nil"/>
              <w:left w:val="nil"/>
              <w:bottom w:val="single" w:color="auto" w:sz="4" w:space="0"/>
              <w:right w:val="single" w:color="auto" w:sz="4" w:space="0"/>
            </w:tcBorders>
            <w:shd w:val="clear" w:color="auto" w:fill="auto"/>
            <w:noWrap/>
            <w:vAlign w:val="center"/>
          </w:tcPr>
          <w:p w14:paraId="0924A550">
            <w:pPr>
              <w:spacing w:line="240" w:lineRule="auto"/>
              <w:jc w:val="center"/>
              <w:rPr>
                <w:rFonts w:eastAsia="仿宋"/>
                <w:sz w:val="21"/>
                <w:szCs w:val="21"/>
              </w:rPr>
            </w:pPr>
            <w:r>
              <w:rPr>
                <w:rFonts w:eastAsia="仿宋"/>
                <w:sz w:val="21"/>
                <w:szCs w:val="21"/>
              </w:rPr>
              <w:t>传令时间</w:t>
            </w:r>
          </w:p>
        </w:tc>
        <w:tc>
          <w:tcPr>
            <w:tcW w:w="2485" w:type="dxa"/>
            <w:tcBorders>
              <w:top w:val="nil"/>
              <w:left w:val="nil"/>
              <w:bottom w:val="single" w:color="auto" w:sz="4" w:space="0"/>
              <w:right w:val="single" w:color="auto" w:sz="4" w:space="0"/>
            </w:tcBorders>
            <w:shd w:val="clear" w:color="auto" w:fill="auto"/>
            <w:noWrap/>
            <w:vAlign w:val="center"/>
          </w:tcPr>
          <w:p w14:paraId="3B8FE90E">
            <w:pPr>
              <w:spacing w:line="240" w:lineRule="auto"/>
              <w:jc w:val="center"/>
              <w:rPr>
                <w:rFonts w:eastAsia="仿宋"/>
                <w:sz w:val="21"/>
                <w:szCs w:val="21"/>
              </w:rPr>
            </w:pPr>
            <w:r>
              <w:rPr>
                <w:rFonts w:eastAsia="仿宋"/>
                <w:sz w:val="21"/>
                <w:szCs w:val="21"/>
              </w:rPr>
              <w:t>年 月  日  时  分</w:t>
            </w:r>
          </w:p>
        </w:tc>
      </w:tr>
      <w:tr w14:paraId="6BABF147">
        <w:tblPrEx>
          <w:tblCellMar>
            <w:top w:w="0" w:type="dxa"/>
            <w:left w:w="108" w:type="dxa"/>
            <w:bottom w:w="0" w:type="dxa"/>
            <w:right w:w="108" w:type="dxa"/>
          </w:tblCellMar>
        </w:tblPrEx>
        <w:trPr>
          <w:trHeight w:val="684" w:hRule="atLeast"/>
        </w:trPr>
        <w:tc>
          <w:tcPr>
            <w:tcW w:w="1538" w:type="dxa"/>
            <w:tcBorders>
              <w:top w:val="nil"/>
              <w:left w:val="single" w:color="auto" w:sz="4" w:space="0"/>
              <w:bottom w:val="single" w:color="auto" w:sz="4" w:space="0"/>
              <w:right w:val="single" w:color="auto" w:sz="4" w:space="0"/>
            </w:tcBorders>
            <w:shd w:val="clear" w:color="auto" w:fill="auto"/>
            <w:noWrap/>
            <w:vAlign w:val="center"/>
          </w:tcPr>
          <w:p w14:paraId="2D2F7E7F">
            <w:pPr>
              <w:spacing w:line="240" w:lineRule="auto"/>
              <w:jc w:val="center"/>
              <w:rPr>
                <w:rFonts w:eastAsia="仿宋"/>
                <w:sz w:val="21"/>
                <w:szCs w:val="21"/>
              </w:rPr>
            </w:pPr>
            <w:r>
              <w:rPr>
                <w:rFonts w:eastAsia="仿宋"/>
                <w:sz w:val="21"/>
                <w:szCs w:val="21"/>
              </w:rPr>
              <w:t>紧急情况</w:t>
            </w:r>
          </w:p>
        </w:tc>
        <w:tc>
          <w:tcPr>
            <w:tcW w:w="7045" w:type="dxa"/>
            <w:gridSpan w:val="3"/>
            <w:tcBorders>
              <w:top w:val="single" w:color="auto" w:sz="4" w:space="0"/>
              <w:left w:val="nil"/>
              <w:bottom w:val="single" w:color="auto" w:sz="4" w:space="0"/>
              <w:right w:val="single" w:color="000000" w:sz="4" w:space="0"/>
            </w:tcBorders>
            <w:shd w:val="clear" w:color="auto" w:fill="auto"/>
            <w:noWrap/>
            <w:vAlign w:val="center"/>
          </w:tcPr>
          <w:p w14:paraId="2B4056D2">
            <w:pPr>
              <w:spacing w:line="240" w:lineRule="auto"/>
              <w:jc w:val="center"/>
              <w:rPr>
                <w:rFonts w:eastAsia="仿宋"/>
                <w:sz w:val="21"/>
                <w:szCs w:val="21"/>
              </w:rPr>
            </w:pPr>
            <w:r>
              <w:rPr>
                <w:rFonts w:eastAsia="仿宋"/>
                <w:sz w:val="21"/>
                <w:szCs w:val="21"/>
              </w:rPr>
              <w:t>特级紧急急一般</w:t>
            </w:r>
          </w:p>
        </w:tc>
      </w:tr>
      <w:tr w14:paraId="3103257E">
        <w:tblPrEx>
          <w:tblCellMar>
            <w:top w:w="0" w:type="dxa"/>
            <w:left w:w="108" w:type="dxa"/>
            <w:bottom w:w="0" w:type="dxa"/>
            <w:right w:w="108" w:type="dxa"/>
          </w:tblCellMar>
        </w:tblPrEx>
        <w:trPr>
          <w:trHeight w:val="1993" w:hRule="atLeast"/>
        </w:trPr>
        <w:tc>
          <w:tcPr>
            <w:tcW w:w="1538" w:type="dxa"/>
            <w:tcBorders>
              <w:top w:val="nil"/>
              <w:left w:val="single" w:color="auto" w:sz="4" w:space="0"/>
              <w:bottom w:val="single" w:color="auto" w:sz="4" w:space="0"/>
              <w:right w:val="single" w:color="auto" w:sz="4" w:space="0"/>
            </w:tcBorders>
            <w:shd w:val="clear" w:color="auto" w:fill="auto"/>
            <w:noWrap/>
            <w:vAlign w:val="center"/>
          </w:tcPr>
          <w:p w14:paraId="5C1A7B14">
            <w:pPr>
              <w:spacing w:line="240" w:lineRule="auto"/>
              <w:jc w:val="center"/>
              <w:rPr>
                <w:rFonts w:eastAsia="仿宋"/>
                <w:sz w:val="21"/>
                <w:szCs w:val="21"/>
              </w:rPr>
            </w:pPr>
            <w:r>
              <w:rPr>
                <w:rFonts w:eastAsia="仿宋"/>
                <w:sz w:val="21"/>
                <w:szCs w:val="21"/>
              </w:rPr>
              <w:t>命令内容</w:t>
            </w:r>
          </w:p>
        </w:tc>
        <w:tc>
          <w:tcPr>
            <w:tcW w:w="7045" w:type="dxa"/>
            <w:gridSpan w:val="3"/>
            <w:tcBorders>
              <w:top w:val="single" w:color="auto" w:sz="4" w:space="0"/>
              <w:left w:val="nil"/>
              <w:bottom w:val="single" w:color="auto" w:sz="4" w:space="0"/>
              <w:right w:val="single" w:color="000000" w:sz="4" w:space="0"/>
            </w:tcBorders>
            <w:shd w:val="clear" w:color="auto" w:fill="auto"/>
            <w:noWrap/>
            <w:vAlign w:val="center"/>
          </w:tcPr>
          <w:p w14:paraId="4077A494">
            <w:pPr>
              <w:spacing w:line="240" w:lineRule="auto"/>
              <w:jc w:val="left"/>
              <w:rPr>
                <w:rFonts w:eastAsia="仿宋"/>
                <w:sz w:val="21"/>
                <w:szCs w:val="21"/>
              </w:rPr>
            </w:pPr>
            <w:r>
              <w:rPr>
                <w:rFonts w:eastAsia="仿宋"/>
                <w:sz w:val="21"/>
                <w:szCs w:val="21"/>
              </w:rPr>
              <w:t>命令：</w:t>
            </w:r>
          </w:p>
        </w:tc>
      </w:tr>
      <w:tr w14:paraId="22689501">
        <w:tblPrEx>
          <w:tblCellMar>
            <w:top w:w="0" w:type="dxa"/>
            <w:left w:w="108" w:type="dxa"/>
            <w:bottom w:w="0" w:type="dxa"/>
            <w:right w:w="108" w:type="dxa"/>
          </w:tblCellMar>
        </w:tblPrEx>
        <w:trPr>
          <w:trHeight w:val="2547" w:hRule="atLeast"/>
        </w:trPr>
        <w:tc>
          <w:tcPr>
            <w:tcW w:w="1538" w:type="dxa"/>
            <w:tcBorders>
              <w:top w:val="nil"/>
              <w:left w:val="single" w:color="auto" w:sz="4" w:space="0"/>
              <w:bottom w:val="single" w:color="auto" w:sz="4" w:space="0"/>
              <w:right w:val="single" w:color="auto" w:sz="4" w:space="0"/>
            </w:tcBorders>
            <w:shd w:val="clear" w:color="auto" w:fill="auto"/>
            <w:vAlign w:val="center"/>
          </w:tcPr>
          <w:p w14:paraId="6DCFDCBB">
            <w:pPr>
              <w:spacing w:line="240" w:lineRule="auto"/>
              <w:jc w:val="center"/>
              <w:rPr>
                <w:rFonts w:eastAsia="仿宋"/>
                <w:sz w:val="21"/>
                <w:szCs w:val="21"/>
              </w:rPr>
            </w:pPr>
            <w:r>
              <w:rPr>
                <w:rFonts w:eastAsia="仿宋"/>
                <w:sz w:val="21"/>
                <w:szCs w:val="21"/>
              </w:rPr>
              <w:t>受令者</w:t>
            </w:r>
          </w:p>
        </w:tc>
        <w:tc>
          <w:tcPr>
            <w:tcW w:w="7045" w:type="dxa"/>
            <w:gridSpan w:val="3"/>
            <w:tcBorders>
              <w:top w:val="single" w:color="auto" w:sz="4" w:space="0"/>
              <w:left w:val="nil"/>
              <w:bottom w:val="single" w:color="auto" w:sz="4" w:space="0"/>
              <w:right w:val="single" w:color="000000" w:sz="4" w:space="0"/>
            </w:tcBorders>
            <w:shd w:val="clear" w:color="auto" w:fill="auto"/>
            <w:vAlign w:val="center"/>
          </w:tcPr>
          <w:p w14:paraId="3079D6A0">
            <w:pPr>
              <w:spacing w:line="240" w:lineRule="auto"/>
              <w:jc w:val="left"/>
              <w:rPr>
                <w:rFonts w:eastAsia="仿宋"/>
                <w:sz w:val="21"/>
                <w:szCs w:val="21"/>
              </w:rPr>
            </w:pPr>
            <w:r>
              <w:rPr>
                <w:rFonts w:eastAsia="仿宋"/>
                <w:sz w:val="21"/>
                <w:szCs w:val="21"/>
              </w:rPr>
              <w:t>受令单位：</w:t>
            </w:r>
          </w:p>
          <w:p w14:paraId="3AC4402E">
            <w:pPr>
              <w:spacing w:line="240" w:lineRule="auto"/>
              <w:jc w:val="left"/>
              <w:rPr>
                <w:rFonts w:eastAsia="仿宋"/>
                <w:sz w:val="21"/>
                <w:szCs w:val="21"/>
              </w:rPr>
            </w:pPr>
          </w:p>
          <w:p w14:paraId="4CD770B7">
            <w:pPr>
              <w:spacing w:line="240" w:lineRule="auto"/>
              <w:jc w:val="left"/>
              <w:rPr>
                <w:rFonts w:eastAsia="仿宋"/>
                <w:sz w:val="21"/>
                <w:szCs w:val="21"/>
              </w:rPr>
            </w:pPr>
            <w:r>
              <w:rPr>
                <w:rFonts w:eastAsia="仿宋"/>
                <w:sz w:val="21"/>
                <w:szCs w:val="21"/>
              </w:rPr>
              <w:t>受令人：</w:t>
            </w:r>
          </w:p>
          <w:p w14:paraId="19237D01">
            <w:pPr>
              <w:spacing w:line="240" w:lineRule="auto"/>
              <w:jc w:val="left"/>
              <w:rPr>
                <w:rFonts w:eastAsia="仿宋"/>
                <w:sz w:val="21"/>
                <w:szCs w:val="21"/>
              </w:rPr>
            </w:pPr>
          </w:p>
          <w:p w14:paraId="4BFEABF3">
            <w:pPr>
              <w:spacing w:line="240" w:lineRule="auto"/>
              <w:jc w:val="left"/>
              <w:rPr>
                <w:rFonts w:eastAsia="仿宋"/>
                <w:sz w:val="21"/>
                <w:szCs w:val="21"/>
              </w:rPr>
            </w:pPr>
            <w:r>
              <w:rPr>
                <w:rFonts w:eastAsia="仿宋"/>
                <w:sz w:val="21"/>
                <w:szCs w:val="21"/>
              </w:rPr>
              <w:t>受令时间：</w:t>
            </w:r>
          </w:p>
        </w:tc>
      </w:tr>
      <w:tr w14:paraId="6199F4BA">
        <w:tblPrEx>
          <w:tblCellMar>
            <w:top w:w="0" w:type="dxa"/>
            <w:left w:w="108" w:type="dxa"/>
            <w:bottom w:w="0" w:type="dxa"/>
            <w:right w:w="108" w:type="dxa"/>
          </w:tblCellMar>
        </w:tblPrEx>
        <w:trPr>
          <w:trHeight w:val="1471" w:hRule="atLeast"/>
        </w:trPr>
        <w:tc>
          <w:tcPr>
            <w:tcW w:w="1538" w:type="dxa"/>
            <w:tcBorders>
              <w:top w:val="nil"/>
              <w:left w:val="single" w:color="auto" w:sz="4" w:space="0"/>
              <w:bottom w:val="single" w:color="auto" w:sz="4" w:space="0"/>
              <w:right w:val="single" w:color="auto" w:sz="4" w:space="0"/>
            </w:tcBorders>
            <w:shd w:val="clear" w:color="auto" w:fill="auto"/>
            <w:noWrap/>
            <w:vAlign w:val="center"/>
          </w:tcPr>
          <w:p w14:paraId="1F1A9634">
            <w:pPr>
              <w:spacing w:line="240" w:lineRule="auto"/>
              <w:jc w:val="center"/>
              <w:rPr>
                <w:rFonts w:eastAsia="仿宋"/>
                <w:sz w:val="21"/>
                <w:szCs w:val="21"/>
              </w:rPr>
            </w:pPr>
            <w:r>
              <w:rPr>
                <w:rFonts w:eastAsia="仿宋"/>
                <w:sz w:val="21"/>
                <w:szCs w:val="21"/>
              </w:rPr>
              <w:t>备  注</w:t>
            </w:r>
          </w:p>
        </w:tc>
        <w:tc>
          <w:tcPr>
            <w:tcW w:w="7045" w:type="dxa"/>
            <w:gridSpan w:val="3"/>
            <w:tcBorders>
              <w:top w:val="single" w:color="auto" w:sz="4" w:space="0"/>
              <w:left w:val="nil"/>
              <w:bottom w:val="single" w:color="auto" w:sz="4" w:space="0"/>
              <w:right w:val="single" w:color="000000" w:sz="4" w:space="0"/>
            </w:tcBorders>
            <w:shd w:val="clear" w:color="auto" w:fill="auto"/>
            <w:noWrap/>
            <w:vAlign w:val="center"/>
          </w:tcPr>
          <w:p w14:paraId="3817D89B">
            <w:pPr>
              <w:spacing w:line="240" w:lineRule="auto"/>
              <w:jc w:val="center"/>
              <w:rPr>
                <w:rFonts w:eastAsia="仿宋"/>
                <w:sz w:val="21"/>
                <w:szCs w:val="21"/>
              </w:rPr>
            </w:pPr>
          </w:p>
        </w:tc>
      </w:tr>
    </w:tbl>
    <w:p w14:paraId="157C2AE1">
      <w:pPr>
        <w:spacing w:line="240" w:lineRule="auto"/>
        <w:jc w:val="center"/>
        <w:rPr>
          <w:rFonts w:eastAsia="仿宋"/>
          <w:sz w:val="21"/>
          <w:szCs w:val="21"/>
        </w:rPr>
      </w:pPr>
    </w:p>
    <w:p w14:paraId="1F40C4EA">
      <w:pPr>
        <w:spacing w:line="240" w:lineRule="auto"/>
        <w:jc w:val="center"/>
        <w:rPr>
          <w:rFonts w:eastAsia="仿宋"/>
          <w:sz w:val="21"/>
          <w:szCs w:val="21"/>
        </w:rPr>
      </w:pPr>
    </w:p>
    <w:p w14:paraId="2D22FFFF">
      <w:pPr>
        <w:spacing w:line="240" w:lineRule="auto"/>
        <w:jc w:val="center"/>
        <w:rPr>
          <w:rFonts w:eastAsia="仿宋"/>
          <w:sz w:val="21"/>
          <w:szCs w:val="21"/>
        </w:rPr>
      </w:pPr>
    </w:p>
    <w:p w14:paraId="43DFF8B5">
      <w:pPr>
        <w:spacing w:line="240" w:lineRule="auto"/>
        <w:jc w:val="center"/>
        <w:rPr>
          <w:rFonts w:eastAsia="仿宋"/>
          <w:sz w:val="21"/>
          <w:szCs w:val="21"/>
        </w:rPr>
      </w:pPr>
    </w:p>
    <w:p w14:paraId="08614581">
      <w:pPr>
        <w:spacing w:line="240" w:lineRule="auto"/>
        <w:jc w:val="center"/>
        <w:rPr>
          <w:rFonts w:eastAsia="仿宋"/>
          <w:sz w:val="21"/>
          <w:szCs w:val="21"/>
        </w:rPr>
      </w:pPr>
    </w:p>
    <w:p w14:paraId="0BCEFF87">
      <w:pPr>
        <w:spacing w:line="240" w:lineRule="auto"/>
        <w:jc w:val="center"/>
        <w:rPr>
          <w:rFonts w:eastAsia="仿宋"/>
          <w:sz w:val="21"/>
          <w:szCs w:val="21"/>
        </w:rPr>
      </w:pPr>
    </w:p>
    <w:p w14:paraId="34A02502">
      <w:pPr>
        <w:spacing w:line="240" w:lineRule="auto"/>
        <w:jc w:val="center"/>
        <w:rPr>
          <w:rFonts w:eastAsia="仿宋"/>
          <w:sz w:val="21"/>
          <w:szCs w:val="21"/>
        </w:rPr>
      </w:pPr>
    </w:p>
    <w:p w14:paraId="5EF34CFC">
      <w:pPr>
        <w:spacing w:line="240" w:lineRule="auto"/>
        <w:jc w:val="center"/>
        <w:rPr>
          <w:rFonts w:eastAsia="仿宋"/>
          <w:sz w:val="21"/>
          <w:szCs w:val="21"/>
        </w:rPr>
      </w:pPr>
    </w:p>
    <w:p w14:paraId="184F8DE4">
      <w:pPr>
        <w:spacing w:line="240" w:lineRule="auto"/>
        <w:jc w:val="center"/>
        <w:rPr>
          <w:rFonts w:eastAsia="仿宋"/>
          <w:sz w:val="21"/>
          <w:szCs w:val="21"/>
        </w:rPr>
      </w:pPr>
    </w:p>
    <w:p w14:paraId="08EF9AA8">
      <w:pPr>
        <w:spacing w:line="240" w:lineRule="auto"/>
        <w:jc w:val="center"/>
        <w:rPr>
          <w:rFonts w:eastAsia="仿宋"/>
          <w:sz w:val="21"/>
          <w:szCs w:val="21"/>
        </w:rPr>
      </w:pPr>
    </w:p>
    <w:p w14:paraId="4C88DEB0">
      <w:pPr>
        <w:spacing w:line="240" w:lineRule="auto"/>
        <w:jc w:val="center"/>
        <w:rPr>
          <w:rFonts w:eastAsia="仿宋"/>
          <w:sz w:val="21"/>
          <w:szCs w:val="21"/>
        </w:rPr>
      </w:pPr>
    </w:p>
    <w:p w14:paraId="34262EED">
      <w:pPr>
        <w:spacing w:line="240" w:lineRule="auto"/>
        <w:jc w:val="center"/>
        <w:rPr>
          <w:rFonts w:eastAsia="仿宋"/>
          <w:sz w:val="28"/>
          <w:szCs w:val="21"/>
        </w:rPr>
      </w:pPr>
      <w:r>
        <w:rPr>
          <w:rFonts w:eastAsia="仿宋"/>
          <w:sz w:val="28"/>
          <w:szCs w:val="21"/>
        </w:rPr>
        <w:t>应急预案启动令</w:t>
      </w:r>
    </w:p>
    <w:tbl>
      <w:tblPr>
        <w:tblStyle w:val="14"/>
        <w:tblW w:w="8583" w:type="dxa"/>
        <w:jc w:val="center"/>
        <w:tblLayout w:type="fixed"/>
        <w:tblCellMar>
          <w:top w:w="0" w:type="dxa"/>
          <w:left w:w="108" w:type="dxa"/>
          <w:bottom w:w="0" w:type="dxa"/>
          <w:right w:w="108" w:type="dxa"/>
        </w:tblCellMar>
      </w:tblPr>
      <w:tblGrid>
        <w:gridCol w:w="1538"/>
        <w:gridCol w:w="2797"/>
        <w:gridCol w:w="1763"/>
        <w:gridCol w:w="2485"/>
      </w:tblGrid>
      <w:tr w14:paraId="4DC83121">
        <w:tblPrEx>
          <w:tblCellMar>
            <w:top w:w="0" w:type="dxa"/>
            <w:left w:w="108" w:type="dxa"/>
            <w:bottom w:w="0" w:type="dxa"/>
            <w:right w:w="108" w:type="dxa"/>
          </w:tblCellMar>
        </w:tblPrEx>
        <w:trPr>
          <w:trHeight w:val="684" w:hRule="atLeast"/>
          <w:jc w:val="center"/>
        </w:trPr>
        <w:tc>
          <w:tcPr>
            <w:tcW w:w="1538"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F7CC1C5">
            <w:pPr>
              <w:spacing w:line="240" w:lineRule="auto"/>
              <w:jc w:val="center"/>
              <w:rPr>
                <w:rFonts w:eastAsia="仿宋"/>
                <w:sz w:val="21"/>
                <w:szCs w:val="21"/>
              </w:rPr>
            </w:pPr>
            <w:r>
              <w:rPr>
                <w:rFonts w:eastAsia="仿宋"/>
                <w:sz w:val="21"/>
                <w:szCs w:val="21"/>
              </w:rPr>
              <w:t>应急级别</w:t>
            </w:r>
          </w:p>
        </w:tc>
        <w:tc>
          <w:tcPr>
            <w:tcW w:w="7045" w:type="dxa"/>
            <w:gridSpan w:val="3"/>
            <w:tcBorders>
              <w:top w:val="single" w:color="auto" w:sz="4" w:space="0"/>
              <w:left w:val="nil"/>
              <w:bottom w:val="single" w:color="auto" w:sz="4" w:space="0"/>
              <w:right w:val="single" w:color="000000" w:sz="4" w:space="0"/>
            </w:tcBorders>
            <w:shd w:val="clear" w:color="auto" w:fill="auto"/>
            <w:noWrap/>
            <w:vAlign w:val="center"/>
          </w:tcPr>
          <w:p w14:paraId="7A597636">
            <w:pPr>
              <w:spacing w:line="240" w:lineRule="auto"/>
              <w:jc w:val="center"/>
              <w:rPr>
                <w:rFonts w:eastAsia="仿宋"/>
                <w:sz w:val="21"/>
                <w:szCs w:val="21"/>
              </w:rPr>
            </w:pPr>
            <w:r>
              <w:rPr>
                <w:rFonts w:eastAsia="仿宋"/>
                <w:sz w:val="21"/>
                <w:szCs w:val="21"/>
              </w:rPr>
              <w:t>一级，特大 二级，重大 三级，较大四级，一般</w:t>
            </w:r>
          </w:p>
        </w:tc>
      </w:tr>
      <w:tr w14:paraId="040D09B4">
        <w:tblPrEx>
          <w:tblCellMar>
            <w:top w:w="0" w:type="dxa"/>
            <w:left w:w="108" w:type="dxa"/>
            <w:bottom w:w="0" w:type="dxa"/>
            <w:right w:w="108" w:type="dxa"/>
          </w:tblCellMar>
        </w:tblPrEx>
        <w:trPr>
          <w:trHeight w:val="684" w:hRule="atLeast"/>
          <w:jc w:val="center"/>
        </w:trPr>
        <w:tc>
          <w:tcPr>
            <w:tcW w:w="1538" w:type="dxa"/>
            <w:tcBorders>
              <w:top w:val="nil"/>
              <w:left w:val="single" w:color="auto" w:sz="4" w:space="0"/>
              <w:bottom w:val="single" w:color="auto" w:sz="4" w:space="0"/>
              <w:right w:val="single" w:color="auto" w:sz="4" w:space="0"/>
            </w:tcBorders>
            <w:shd w:val="clear" w:color="auto" w:fill="auto"/>
            <w:noWrap/>
            <w:vAlign w:val="center"/>
          </w:tcPr>
          <w:p w14:paraId="466C3518">
            <w:pPr>
              <w:spacing w:line="240" w:lineRule="auto"/>
              <w:jc w:val="center"/>
              <w:rPr>
                <w:rFonts w:eastAsia="仿宋"/>
                <w:sz w:val="21"/>
                <w:szCs w:val="21"/>
              </w:rPr>
            </w:pPr>
            <w:r>
              <w:rPr>
                <w:rFonts w:eastAsia="仿宋"/>
                <w:sz w:val="21"/>
                <w:szCs w:val="21"/>
              </w:rPr>
              <w:t>事件类型</w:t>
            </w:r>
          </w:p>
        </w:tc>
        <w:tc>
          <w:tcPr>
            <w:tcW w:w="7045" w:type="dxa"/>
            <w:gridSpan w:val="3"/>
            <w:tcBorders>
              <w:top w:val="single" w:color="auto" w:sz="4" w:space="0"/>
              <w:left w:val="nil"/>
              <w:bottom w:val="single" w:color="auto" w:sz="4" w:space="0"/>
              <w:right w:val="single" w:color="000000" w:sz="4" w:space="0"/>
            </w:tcBorders>
            <w:shd w:val="clear" w:color="auto" w:fill="auto"/>
            <w:noWrap/>
            <w:vAlign w:val="center"/>
          </w:tcPr>
          <w:p w14:paraId="28996D88">
            <w:pPr>
              <w:spacing w:line="240" w:lineRule="auto"/>
              <w:jc w:val="center"/>
              <w:rPr>
                <w:rFonts w:eastAsia="仿宋"/>
                <w:sz w:val="21"/>
                <w:szCs w:val="21"/>
              </w:rPr>
            </w:pPr>
            <w:r>
              <w:rPr>
                <w:rFonts w:eastAsia="仿宋"/>
                <w:sz w:val="21"/>
                <w:szCs w:val="21"/>
              </w:rPr>
              <w:t>自然灾害事故灾害公共卫生社会安全</w:t>
            </w:r>
          </w:p>
        </w:tc>
      </w:tr>
      <w:tr w14:paraId="2471CF40">
        <w:tblPrEx>
          <w:tblCellMar>
            <w:top w:w="0" w:type="dxa"/>
            <w:left w:w="108" w:type="dxa"/>
            <w:bottom w:w="0" w:type="dxa"/>
            <w:right w:w="108" w:type="dxa"/>
          </w:tblCellMar>
        </w:tblPrEx>
        <w:trPr>
          <w:trHeight w:val="684" w:hRule="atLeast"/>
          <w:jc w:val="center"/>
        </w:trPr>
        <w:tc>
          <w:tcPr>
            <w:tcW w:w="1538" w:type="dxa"/>
            <w:tcBorders>
              <w:top w:val="nil"/>
              <w:left w:val="single" w:color="auto" w:sz="4" w:space="0"/>
              <w:bottom w:val="single" w:color="auto" w:sz="4" w:space="0"/>
              <w:right w:val="single" w:color="auto" w:sz="4" w:space="0"/>
            </w:tcBorders>
            <w:shd w:val="clear" w:color="auto" w:fill="auto"/>
            <w:noWrap/>
            <w:vAlign w:val="center"/>
          </w:tcPr>
          <w:p w14:paraId="13E02C4B">
            <w:pPr>
              <w:spacing w:line="240" w:lineRule="auto"/>
              <w:jc w:val="center"/>
              <w:rPr>
                <w:rFonts w:eastAsia="仿宋"/>
                <w:sz w:val="21"/>
                <w:szCs w:val="21"/>
              </w:rPr>
            </w:pPr>
            <w:r>
              <w:rPr>
                <w:rFonts w:eastAsia="仿宋"/>
                <w:sz w:val="21"/>
                <w:szCs w:val="21"/>
              </w:rPr>
              <w:t>签发人</w:t>
            </w:r>
          </w:p>
        </w:tc>
        <w:tc>
          <w:tcPr>
            <w:tcW w:w="2797" w:type="dxa"/>
            <w:tcBorders>
              <w:top w:val="nil"/>
              <w:left w:val="nil"/>
              <w:bottom w:val="single" w:color="auto" w:sz="4" w:space="0"/>
              <w:right w:val="single" w:color="auto" w:sz="4" w:space="0"/>
            </w:tcBorders>
            <w:shd w:val="clear" w:color="auto" w:fill="auto"/>
            <w:noWrap/>
            <w:vAlign w:val="center"/>
          </w:tcPr>
          <w:p w14:paraId="4D9CC5E5">
            <w:pPr>
              <w:spacing w:line="240" w:lineRule="auto"/>
              <w:jc w:val="center"/>
              <w:rPr>
                <w:rFonts w:eastAsia="仿宋"/>
                <w:sz w:val="21"/>
                <w:szCs w:val="21"/>
              </w:rPr>
            </w:pPr>
          </w:p>
        </w:tc>
        <w:tc>
          <w:tcPr>
            <w:tcW w:w="1763" w:type="dxa"/>
            <w:tcBorders>
              <w:top w:val="nil"/>
              <w:left w:val="nil"/>
              <w:bottom w:val="single" w:color="auto" w:sz="4" w:space="0"/>
              <w:right w:val="single" w:color="auto" w:sz="4" w:space="0"/>
            </w:tcBorders>
            <w:shd w:val="clear" w:color="auto" w:fill="auto"/>
            <w:noWrap/>
            <w:vAlign w:val="center"/>
          </w:tcPr>
          <w:p w14:paraId="13BAFD0B">
            <w:pPr>
              <w:spacing w:line="240" w:lineRule="auto"/>
              <w:jc w:val="center"/>
              <w:rPr>
                <w:rFonts w:eastAsia="仿宋"/>
                <w:sz w:val="21"/>
                <w:szCs w:val="21"/>
              </w:rPr>
            </w:pPr>
            <w:r>
              <w:rPr>
                <w:rFonts w:eastAsia="仿宋"/>
                <w:sz w:val="21"/>
                <w:szCs w:val="21"/>
              </w:rPr>
              <w:t>签发时间</w:t>
            </w:r>
          </w:p>
        </w:tc>
        <w:tc>
          <w:tcPr>
            <w:tcW w:w="2485" w:type="dxa"/>
            <w:tcBorders>
              <w:top w:val="nil"/>
              <w:left w:val="nil"/>
              <w:bottom w:val="single" w:color="auto" w:sz="4" w:space="0"/>
              <w:right w:val="single" w:color="auto" w:sz="4" w:space="0"/>
            </w:tcBorders>
            <w:shd w:val="clear" w:color="auto" w:fill="auto"/>
            <w:noWrap/>
            <w:vAlign w:val="center"/>
          </w:tcPr>
          <w:p w14:paraId="0E833586">
            <w:pPr>
              <w:spacing w:line="240" w:lineRule="auto"/>
              <w:jc w:val="center"/>
              <w:rPr>
                <w:rFonts w:eastAsia="仿宋"/>
                <w:sz w:val="21"/>
                <w:szCs w:val="21"/>
              </w:rPr>
            </w:pPr>
            <w:r>
              <w:rPr>
                <w:rFonts w:eastAsia="仿宋"/>
                <w:sz w:val="21"/>
                <w:szCs w:val="21"/>
              </w:rPr>
              <w:t>年 月  日  时  分</w:t>
            </w:r>
          </w:p>
        </w:tc>
      </w:tr>
      <w:tr w14:paraId="2F6DAD66">
        <w:tblPrEx>
          <w:tblCellMar>
            <w:top w:w="0" w:type="dxa"/>
            <w:left w:w="108" w:type="dxa"/>
            <w:bottom w:w="0" w:type="dxa"/>
            <w:right w:w="108" w:type="dxa"/>
          </w:tblCellMar>
        </w:tblPrEx>
        <w:trPr>
          <w:trHeight w:val="684" w:hRule="atLeast"/>
          <w:jc w:val="center"/>
        </w:trPr>
        <w:tc>
          <w:tcPr>
            <w:tcW w:w="1538" w:type="dxa"/>
            <w:tcBorders>
              <w:top w:val="nil"/>
              <w:left w:val="single" w:color="auto" w:sz="4" w:space="0"/>
              <w:bottom w:val="single" w:color="auto" w:sz="4" w:space="0"/>
              <w:right w:val="single" w:color="auto" w:sz="4" w:space="0"/>
            </w:tcBorders>
            <w:shd w:val="clear" w:color="auto" w:fill="auto"/>
            <w:noWrap/>
            <w:vAlign w:val="center"/>
          </w:tcPr>
          <w:p w14:paraId="1290F191">
            <w:pPr>
              <w:spacing w:line="240" w:lineRule="auto"/>
              <w:jc w:val="center"/>
              <w:rPr>
                <w:rFonts w:eastAsia="仿宋"/>
                <w:sz w:val="21"/>
                <w:szCs w:val="21"/>
              </w:rPr>
            </w:pPr>
            <w:r>
              <w:rPr>
                <w:rFonts w:eastAsia="仿宋"/>
                <w:sz w:val="21"/>
                <w:szCs w:val="21"/>
              </w:rPr>
              <w:t>传令人</w:t>
            </w:r>
          </w:p>
        </w:tc>
        <w:tc>
          <w:tcPr>
            <w:tcW w:w="2797" w:type="dxa"/>
            <w:tcBorders>
              <w:top w:val="nil"/>
              <w:left w:val="nil"/>
              <w:bottom w:val="single" w:color="auto" w:sz="4" w:space="0"/>
              <w:right w:val="single" w:color="auto" w:sz="4" w:space="0"/>
            </w:tcBorders>
            <w:shd w:val="clear" w:color="auto" w:fill="auto"/>
            <w:noWrap/>
            <w:vAlign w:val="center"/>
          </w:tcPr>
          <w:p w14:paraId="59C0A189">
            <w:pPr>
              <w:spacing w:line="240" w:lineRule="auto"/>
              <w:jc w:val="center"/>
              <w:rPr>
                <w:rFonts w:eastAsia="仿宋"/>
                <w:sz w:val="21"/>
                <w:szCs w:val="21"/>
              </w:rPr>
            </w:pPr>
          </w:p>
        </w:tc>
        <w:tc>
          <w:tcPr>
            <w:tcW w:w="1763" w:type="dxa"/>
            <w:tcBorders>
              <w:top w:val="nil"/>
              <w:left w:val="nil"/>
              <w:bottom w:val="single" w:color="auto" w:sz="4" w:space="0"/>
              <w:right w:val="single" w:color="auto" w:sz="4" w:space="0"/>
            </w:tcBorders>
            <w:shd w:val="clear" w:color="auto" w:fill="auto"/>
            <w:noWrap/>
            <w:vAlign w:val="center"/>
          </w:tcPr>
          <w:p w14:paraId="5EBA71A7">
            <w:pPr>
              <w:spacing w:line="240" w:lineRule="auto"/>
              <w:jc w:val="center"/>
              <w:rPr>
                <w:rFonts w:eastAsia="仿宋"/>
                <w:sz w:val="21"/>
                <w:szCs w:val="21"/>
              </w:rPr>
            </w:pPr>
            <w:r>
              <w:rPr>
                <w:rFonts w:eastAsia="仿宋"/>
                <w:sz w:val="21"/>
                <w:szCs w:val="21"/>
              </w:rPr>
              <w:t>传令时间</w:t>
            </w:r>
          </w:p>
        </w:tc>
        <w:tc>
          <w:tcPr>
            <w:tcW w:w="2485" w:type="dxa"/>
            <w:tcBorders>
              <w:top w:val="nil"/>
              <w:left w:val="nil"/>
              <w:bottom w:val="single" w:color="auto" w:sz="4" w:space="0"/>
              <w:right w:val="single" w:color="auto" w:sz="4" w:space="0"/>
            </w:tcBorders>
            <w:shd w:val="clear" w:color="auto" w:fill="auto"/>
            <w:noWrap/>
            <w:vAlign w:val="center"/>
          </w:tcPr>
          <w:p w14:paraId="7947E9E6">
            <w:pPr>
              <w:spacing w:line="240" w:lineRule="auto"/>
              <w:jc w:val="center"/>
              <w:rPr>
                <w:rFonts w:eastAsia="仿宋"/>
                <w:sz w:val="21"/>
                <w:szCs w:val="21"/>
              </w:rPr>
            </w:pPr>
            <w:r>
              <w:rPr>
                <w:rFonts w:eastAsia="仿宋"/>
                <w:sz w:val="21"/>
                <w:szCs w:val="21"/>
              </w:rPr>
              <w:t>年 月  日  时  分</w:t>
            </w:r>
          </w:p>
        </w:tc>
      </w:tr>
      <w:tr w14:paraId="39B0B505">
        <w:tblPrEx>
          <w:tblCellMar>
            <w:top w:w="0" w:type="dxa"/>
            <w:left w:w="108" w:type="dxa"/>
            <w:bottom w:w="0" w:type="dxa"/>
            <w:right w:w="108" w:type="dxa"/>
          </w:tblCellMar>
        </w:tblPrEx>
        <w:trPr>
          <w:trHeight w:val="684" w:hRule="atLeast"/>
          <w:jc w:val="center"/>
        </w:trPr>
        <w:tc>
          <w:tcPr>
            <w:tcW w:w="1538" w:type="dxa"/>
            <w:tcBorders>
              <w:top w:val="nil"/>
              <w:left w:val="single" w:color="auto" w:sz="4" w:space="0"/>
              <w:bottom w:val="single" w:color="auto" w:sz="4" w:space="0"/>
              <w:right w:val="single" w:color="auto" w:sz="4" w:space="0"/>
            </w:tcBorders>
            <w:shd w:val="clear" w:color="auto" w:fill="auto"/>
            <w:noWrap/>
            <w:vAlign w:val="center"/>
          </w:tcPr>
          <w:p w14:paraId="767BAF2B">
            <w:pPr>
              <w:spacing w:line="240" w:lineRule="auto"/>
              <w:jc w:val="center"/>
              <w:rPr>
                <w:rFonts w:eastAsia="仿宋"/>
                <w:sz w:val="21"/>
                <w:szCs w:val="21"/>
              </w:rPr>
            </w:pPr>
            <w:r>
              <w:rPr>
                <w:rFonts w:eastAsia="仿宋"/>
                <w:sz w:val="21"/>
                <w:szCs w:val="21"/>
              </w:rPr>
              <w:t>紧急情况</w:t>
            </w:r>
          </w:p>
        </w:tc>
        <w:tc>
          <w:tcPr>
            <w:tcW w:w="7045" w:type="dxa"/>
            <w:gridSpan w:val="3"/>
            <w:tcBorders>
              <w:top w:val="single" w:color="auto" w:sz="4" w:space="0"/>
              <w:left w:val="nil"/>
              <w:bottom w:val="single" w:color="auto" w:sz="4" w:space="0"/>
              <w:right w:val="single" w:color="000000" w:sz="4" w:space="0"/>
            </w:tcBorders>
            <w:shd w:val="clear" w:color="auto" w:fill="auto"/>
            <w:noWrap/>
            <w:vAlign w:val="center"/>
          </w:tcPr>
          <w:p w14:paraId="64836BA2">
            <w:pPr>
              <w:spacing w:line="240" w:lineRule="auto"/>
              <w:jc w:val="center"/>
              <w:rPr>
                <w:rFonts w:eastAsia="仿宋"/>
                <w:sz w:val="21"/>
                <w:szCs w:val="21"/>
              </w:rPr>
            </w:pPr>
            <w:r>
              <w:rPr>
                <w:rFonts w:eastAsia="仿宋"/>
                <w:sz w:val="21"/>
                <w:szCs w:val="21"/>
              </w:rPr>
              <w:t>特级紧急急一般</w:t>
            </w:r>
          </w:p>
        </w:tc>
      </w:tr>
      <w:tr w14:paraId="60D832D2">
        <w:tblPrEx>
          <w:tblCellMar>
            <w:top w:w="0" w:type="dxa"/>
            <w:left w:w="108" w:type="dxa"/>
            <w:bottom w:w="0" w:type="dxa"/>
            <w:right w:w="108" w:type="dxa"/>
          </w:tblCellMar>
        </w:tblPrEx>
        <w:trPr>
          <w:trHeight w:val="1699" w:hRule="atLeast"/>
          <w:jc w:val="center"/>
        </w:trPr>
        <w:tc>
          <w:tcPr>
            <w:tcW w:w="1538" w:type="dxa"/>
            <w:tcBorders>
              <w:top w:val="nil"/>
              <w:left w:val="single" w:color="auto" w:sz="4" w:space="0"/>
              <w:bottom w:val="single" w:color="auto" w:sz="4" w:space="0"/>
              <w:right w:val="single" w:color="auto" w:sz="4" w:space="0"/>
            </w:tcBorders>
            <w:shd w:val="clear" w:color="auto" w:fill="auto"/>
            <w:noWrap/>
            <w:vAlign w:val="center"/>
          </w:tcPr>
          <w:p w14:paraId="3AAE3C8D">
            <w:pPr>
              <w:spacing w:line="240" w:lineRule="auto"/>
              <w:jc w:val="center"/>
              <w:rPr>
                <w:rFonts w:eastAsia="仿宋"/>
                <w:sz w:val="21"/>
                <w:szCs w:val="21"/>
              </w:rPr>
            </w:pPr>
            <w:r>
              <w:rPr>
                <w:rFonts w:eastAsia="仿宋"/>
                <w:sz w:val="21"/>
                <w:szCs w:val="21"/>
              </w:rPr>
              <w:t>命令内容</w:t>
            </w:r>
          </w:p>
        </w:tc>
        <w:tc>
          <w:tcPr>
            <w:tcW w:w="7045" w:type="dxa"/>
            <w:gridSpan w:val="3"/>
            <w:tcBorders>
              <w:top w:val="single" w:color="auto" w:sz="4" w:space="0"/>
              <w:left w:val="nil"/>
              <w:bottom w:val="single" w:color="auto" w:sz="4" w:space="0"/>
              <w:right w:val="single" w:color="000000" w:sz="4" w:space="0"/>
            </w:tcBorders>
            <w:shd w:val="clear" w:color="auto" w:fill="auto"/>
            <w:noWrap/>
            <w:vAlign w:val="center"/>
          </w:tcPr>
          <w:p w14:paraId="197357AF">
            <w:pPr>
              <w:spacing w:line="240" w:lineRule="auto"/>
              <w:jc w:val="left"/>
              <w:rPr>
                <w:rFonts w:eastAsia="仿宋"/>
                <w:sz w:val="21"/>
                <w:szCs w:val="21"/>
              </w:rPr>
            </w:pPr>
            <w:r>
              <w:rPr>
                <w:rFonts w:eastAsia="仿宋"/>
                <w:sz w:val="21"/>
                <w:szCs w:val="21"/>
              </w:rPr>
              <w:t>命令：</w:t>
            </w:r>
          </w:p>
        </w:tc>
      </w:tr>
      <w:tr w14:paraId="379AF165">
        <w:tblPrEx>
          <w:tblCellMar>
            <w:top w:w="0" w:type="dxa"/>
            <w:left w:w="108" w:type="dxa"/>
            <w:bottom w:w="0" w:type="dxa"/>
            <w:right w:w="108" w:type="dxa"/>
          </w:tblCellMar>
        </w:tblPrEx>
        <w:trPr>
          <w:trHeight w:val="2176" w:hRule="atLeast"/>
          <w:jc w:val="center"/>
        </w:trPr>
        <w:tc>
          <w:tcPr>
            <w:tcW w:w="1538" w:type="dxa"/>
            <w:tcBorders>
              <w:top w:val="nil"/>
              <w:left w:val="single" w:color="auto" w:sz="4" w:space="0"/>
              <w:bottom w:val="single" w:color="auto" w:sz="4" w:space="0"/>
              <w:right w:val="single" w:color="auto" w:sz="4" w:space="0"/>
            </w:tcBorders>
            <w:shd w:val="clear" w:color="auto" w:fill="auto"/>
            <w:vAlign w:val="center"/>
          </w:tcPr>
          <w:p w14:paraId="32107696">
            <w:pPr>
              <w:spacing w:line="240" w:lineRule="auto"/>
              <w:jc w:val="center"/>
              <w:rPr>
                <w:rFonts w:eastAsia="仿宋"/>
                <w:sz w:val="21"/>
                <w:szCs w:val="21"/>
              </w:rPr>
            </w:pPr>
            <w:r>
              <w:rPr>
                <w:rFonts w:eastAsia="仿宋"/>
                <w:sz w:val="21"/>
                <w:szCs w:val="21"/>
              </w:rPr>
              <w:t>受令者</w:t>
            </w:r>
          </w:p>
        </w:tc>
        <w:tc>
          <w:tcPr>
            <w:tcW w:w="7045" w:type="dxa"/>
            <w:gridSpan w:val="3"/>
            <w:tcBorders>
              <w:top w:val="single" w:color="auto" w:sz="4" w:space="0"/>
              <w:left w:val="nil"/>
              <w:bottom w:val="single" w:color="auto" w:sz="4" w:space="0"/>
              <w:right w:val="single" w:color="000000" w:sz="4" w:space="0"/>
            </w:tcBorders>
            <w:shd w:val="clear" w:color="auto" w:fill="auto"/>
            <w:vAlign w:val="center"/>
          </w:tcPr>
          <w:p w14:paraId="2057F256">
            <w:pPr>
              <w:spacing w:line="240" w:lineRule="auto"/>
              <w:jc w:val="left"/>
              <w:rPr>
                <w:rFonts w:eastAsia="仿宋"/>
                <w:sz w:val="21"/>
                <w:szCs w:val="21"/>
              </w:rPr>
            </w:pPr>
            <w:r>
              <w:rPr>
                <w:rFonts w:eastAsia="仿宋"/>
                <w:sz w:val="21"/>
                <w:szCs w:val="21"/>
              </w:rPr>
              <w:t>受令单位：</w:t>
            </w:r>
          </w:p>
          <w:p w14:paraId="3CFD2603">
            <w:pPr>
              <w:spacing w:line="240" w:lineRule="auto"/>
              <w:jc w:val="left"/>
              <w:rPr>
                <w:rFonts w:eastAsia="仿宋"/>
                <w:sz w:val="21"/>
                <w:szCs w:val="21"/>
              </w:rPr>
            </w:pPr>
          </w:p>
          <w:p w14:paraId="26E338CE">
            <w:pPr>
              <w:spacing w:line="240" w:lineRule="auto"/>
              <w:jc w:val="left"/>
              <w:rPr>
                <w:rFonts w:eastAsia="仿宋"/>
                <w:sz w:val="21"/>
                <w:szCs w:val="21"/>
              </w:rPr>
            </w:pPr>
            <w:r>
              <w:rPr>
                <w:rFonts w:eastAsia="仿宋"/>
                <w:sz w:val="21"/>
                <w:szCs w:val="21"/>
              </w:rPr>
              <w:t>受令人：</w:t>
            </w:r>
          </w:p>
          <w:p w14:paraId="1F1EB865">
            <w:pPr>
              <w:spacing w:line="240" w:lineRule="auto"/>
              <w:jc w:val="left"/>
              <w:rPr>
                <w:rFonts w:eastAsia="仿宋"/>
                <w:sz w:val="21"/>
                <w:szCs w:val="21"/>
              </w:rPr>
            </w:pPr>
          </w:p>
          <w:p w14:paraId="6A1FAABD">
            <w:pPr>
              <w:spacing w:line="240" w:lineRule="auto"/>
              <w:jc w:val="left"/>
              <w:rPr>
                <w:rFonts w:eastAsia="仿宋"/>
                <w:sz w:val="21"/>
                <w:szCs w:val="21"/>
              </w:rPr>
            </w:pPr>
            <w:r>
              <w:rPr>
                <w:rFonts w:eastAsia="仿宋"/>
                <w:sz w:val="21"/>
                <w:szCs w:val="21"/>
              </w:rPr>
              <w:t>受令时间：</w:t>
            </w:r>
          </w:p>
        </w:tc>
      </w:tr>
      <w:tr w14:paraId="1B7FBF96">
        <w:tblPrEx>
          <w:tblCellMar>
            <w:top w:w="0" w:type="dxa"/>
            <w:left w:w="108" w:type="dxa"/>
            <w:bottom w:w="0" w:type="dxa"/>
            <w:right w:w="108" w:type="dxa"/>
          </w:tblCellMar>
        </w:tblPrEx>
        <w:trPr>
          <w:trHeight w:val="1471" w:hRule="atLeast"/>
          <w:jc w:val="center"/>
        </w:trPr>
        <w:tc>
          <w:tcPr>
            <w:tcW w:w="1538" w:type="dxa"/>
            <w:tcBorders>
              <w:top w:val="nil"/>
              <w:left w:val="single" w:color="auto" w:sz="4" w:space="0"/>
              <w:bottom w:val="single" w:color="auto" w:sz="4" w:space="0"/>
              <w:right w:val="single" w:color="auto" w:sz="4" w:space="0"/>
            </w:tcBorders>
            <w:shd w:val="clear" w:color="auto" w:fill="auto"/>
            <w:noWrap/>
            <w:vAlign w:val="center"/>
          </w:tcPr>
          <w:p w14:paraId="3F3EF377">
            <w:pPr>
              <w:spacing w:line="240" w:lineRule="auto"/>
              <w:jc w:val="center"/>
              <w:rPr>
                <w:rFonts w:eastAsia="仿宋"/>
                <w:sz w:val="21"/>
                <w:szCs w:val="21"/>
              </w:rPr>
            </w:pPr>
            <w:r>
              <w:rPr>
                <w:rFonts w:eastAsia="仿宋"/>
                <w:sz w:val="21"/>
                <w:szCs w:val="21"/>
              </w:rPr>
              <w:t>备  注</w:t>
            </w:r>
          </w:p>
        </w:tc>
        <w:tc>
          <w:tcPr>
            <w:tcW w:w="7045" w:type="dxa"/>
            <w:gridSpan w:val="3"/>
            <w:tcBorders>
              <w:top w:val="single" w:color="auto" w:sz="4" w:space="0"/>
              <w:left w:val="nil"/>
              <w:bottom w:val="single" w:color="auto" w:sz="4" w:space="0"/>
              <w:right w:val="single" w:color="000000" w:sz="4" w:space="0"/>
            </w:tcBorders>
            <w:shd w:val="clear" w:color="auto" w:fill="auto"/>
            <w:noWrap/>
            <w:vAlign w:val="center"/>
          </w:tcPr>
          <w:p w14:paraId="07BEC11C">
            <w:pPr>
              <w:spacing w:line="240" w:lineRule="auto"/>
              <w:jc w:val="center"/>
              <w:rPr>
                <w:rFonts w:eastAsia="仿宋"/>
                <w:sz w:val="21"/>
                <w:szCs w:val="21"/>
              </w:rPr>
            </w:pPr>
          </w:p>
        </w:tc>
      </w:tr>
    </w:tbl>
    <w:p w14:paraId="3E2368D3">
      <w:pPr>
        <w:spacing w:line="240" w:lineRule="auto"/>
        <w:jc w:val="center"/>
        <w:rPr>
          <w:rFonts w:eastAsia="仿宋"/>
          <w:sz w:val="21"/>
          <w:szCs w:val="21"/>
        </w:rPr>
      </w:pPr>
    </w:p>
    <w:p w14:paraId="6EC6C192">
      <w:pPr>
        <w:spacing w:line="240" w:lineRule="auto"/>
        <w:jc w:val="center"/>
        <w:rPr>
          <w:rFonts w:eastAsia="仿宋"/>
          <w:sz w:val="21"/>
          <w:szCs w:val="21"/>
        </w:rPr>
      </w:pPr>
    </w:p>
    <w:p w14:paraId="4D3144F2">
      <w:pPr>
        <w:spacing w:line="240" w:lineRule="auto"/>
        <w:jc w:val="center"/>
        <w:rPr>
          <w:rFonts w:eastAsia="仿宋"/>
          <w:sz w:val="21"/>
          <w:szCs w:val="21"/>
        </w:rPr>
      </w:pPr>
    </w:p>
    <w:p w14:paraId="256B63E0">
      <w:pPr>
        <w:spacing w:line="240" w:lineRule="auto"/>
        <w:jc w:val="center"/>
        <w:rPr>
          <w:rFonts w:eastAsia="仿宋"/>
          <w:sz w:val="21"/>
          <w:szCs w:val="21"/>
        </w:rPr>
      </w:pPr>
    </w:p>
    <w:p w14:paraId="00668EB1">
      <w:pPr>
        <w:spacing w:line="240" w:lineRule="auto"/>
        <w:jc w:val="center"/>
        <w:rPr>
          <w:rFonts w:eastAsia="仿宋"/>
          <w:sz w:val="21"/>
          <w:szCs w:val="21"/>
        </w:rPr>
      </w:pPr>
    </w:p>
    <w:p w14:paraId="431E9089">
      <w:pPr>
        <w:spacing w:line="240" w:lineRule="auto"/>
        <w:jc w:val="center"/>
        <w:rPr>
          <w:rFonts w:eastAsia="仿宋"/>
          <w:sz w:val="21"/>
          <w:szCs w:val="21"/>
        </w:rPr>
      </w:pPr>
    </w:p>
    <w:p w14:paraId="5984832A">
      <w:pPr>
        <w:spacing w:line="240" w:lineRule="auto"/>
        <w:jc w:val="center"/>
        <w:rPr>
          <w:rFonts w:eastAsia="仿宋"/>
          <w:sz w:val="21"/>
          <w:szCs w:val="21"/>
        </w:rPr>
      </w:pPr>
    </w:p>
    <w:p w14:paraId="6135FE34">
      <w:pPr>
        <w:spacing w:line="240" w:lineRule="auto"/>
        <w:jc w:val="center"/>
        <w:rPr>
          <w:rFonts w:eastAsia="仿宋"/>
          <w:sz w:val="21"/>
          <w:szCs w:val="21"/>
        </w:rPr>
      </w:pPr>
    </w:p>
    <w:p w14:paraId="65BFB2D5">
      <w:pPr>
        <w:spacing w:line="240" w:lineRule="auto"/>
        <w:jc w:val="center"/>
        <w:rPr>
          <w:rFonts w:eastAsia="仿宋"/>
          <w:sz w:val="21"/>
          <w:szCs w:val="21"/>
        </w:rPr>
      </w:pPr>
    </w:p>
    <w:p w14:paraId="53BCDDAD">
      <w:pPr>
        <w:spacing w:line="240" w:lineRule="auto"/>
        <w:jc w:val="center"/>
        <w:rPr>
          <w:rFonts w:eastAsia="仿宋"/>
          <w:sz w:val="21"/>
          <w:szCs w:val="21"/>
        </w:rPr>
      </w:pPr>
    </w:p>
    <w:p w14:paraId="09683B2A">
      <w:pPr>
        <w:spacing w:line="240" w:lineRule="auto"/>
        <w:jc w:val="center"/>
        <w:rPr>
          <w:rFonts w:eastAsia="仿宋"/>
          <w:sz w:val="21"/>
          <w:szCs w:val="21"/>
        </w:rPr>
      </w:pPr>
    </w:p>
    <w:p w14:paraId="340A8046">
      <w:pPr>
        <w:spacing w:line="240" w:lineRule="auto"/>
        <w:jc w:val="center"/>
        <w:rPr>
          <w:rFonts w:eastAsia="仿宋"/>
          <w:sz w:val="21"/>
          <w:szCs w:val="21"/>
        </w:rPr>
      </w:pPr>
    </w:p>
    <w:p w14:paraId="7D242929">
      <w:pPr>
        <w:spacing w:line="240" w:lineRule="auto"/>
        <w:jc w:val="center"/>
        <w:rPr>
          <w:rFonts w:eastAsia="仿宋"/>
          <w:sz w:val="21"/>
          <w:szCs w:val="21"/>
        </w:rPr>
      </w:pPr>
    </w:p>
    <w:p w14:paraId="1C53F8E8">
      <w:pPr>
        <w:spacing w:line="240" w:lineRule="auto"/>
        <w:jc w:val="center"/>
        <w:rPr>
          <w:rFonts w:eastAsia="仿宋"/>
          <w:sz w:val="28"/>
          <w:szCs w:val="21"/>
        </w:rPr>
      </w:pPr>
      <w:r>
        <w:rPr>
          <w:rFonts w:eastAsia="仿宋"/>
          <w:sz w:val="28"/>
          <w:szCs w:val="21"/>
        </w:rPr>
        <w:t>突发环境事件信息报告表</w:t>
      </w:r>
    </w:p>
    <w:tbl>
      <w:tblPr>
        <w:tblStyle w:val="14"/>
        <w:tblW w:w="933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66"/>
        <w:gridCol w:w="1866"/>
        <w:gridCol w:w="1866"/>
        <w:gridCol w:w="1867"/>
        <w:gridCol w:w="1867"/>
      </w:tblGrid>
      <w:tr w14:paraId="4EEBFA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1866" w:type="dxa"/>
            <w:vMerge w:val="restart"/>
            <w:vAlign w:val="center"/>
          </w:tcPr>
          <w:p w14:paraId="30EBB795">
            <w:pPr>
              <w:spacing w:line="240" w:lineRule="auto"/>
              <w:jc w:val="center"/>
              <w:rPr>
                <w:rFonts w:eastAsia="仿宋"/>
                <w:sz w:val="21"/>
                <w:szCs w:val="21"/>
              </w:rPr>
            </w:pPr>
            <w:r>
              <w:rPr>
                <w:rFonts w:eastAsia="仿宋"/>
                <w:sz w:val="21"/>
                <w:szCs w:val="21"/>
              </w:rPr>
              <w:t>突发环境事件基本情况</w:t>
            </w:r>
          </w:p>
        </w:tc>
        <w:tc>
          <w:tcPr>
            <w:tcW w:w="1866" w:type="dxa"/>
            <w:vAlign w:val="center"/>
          </w:tcPr>
          <w:p w14:paraId="208162EF">
            <w:pPr>
              <w:spacing w:line="240" w:lineRule="auto"/>
              <w:jc w:val="center"/>
              <w:rPr>
                <w:rFonts w:eastAsia="仿宋"/>
                <w:sz w:val="21"/>
                <w:szCs w:val="21"/>
              </w:rPr>
            </w:pPr>
            <w:r>
              <w:rPr>
                <w:rFonts w:eastAsia="仿宋"/>
                <w:sz w:val="21"/>
                <w:szCs w:val="21"/>
              </w:rPr>
              <w:t>发生时间</w:t>
            </w:r>
          </w:p>
        </w:tc>
        <w:tc>
          <w:tcPr>
            <w:tcW w:w="1866" w:type="dxa"/>
            <w:vAlign w:val="center"/>
          </w:tcPr>
          <w:p w14:paraId="7B4BAE02">
            <w:pPr>
              <w:spacing w:line="240" w:lineRule="auto"/>
              <w:jc w:val="center"/>
              <w:rPr>
                <w:rFonts w:eastAsia="仿宋"/>
                <w:sz w:val="21"/>
                <w:szCs w:val="21"/>
              </w:rPr>
            </w:pPr>
          </w:p>
        </w:tc>
        <w:tc>
          <w:tcPr>
            <w:tcW w:w="1867" w:type="dxa"/>
            <w:vAlign w:val="center"/>
          </w:tcPr>
          <w:p w14:paraId="4F0DF937">
            <w:pPr>
              <w:spacing w:line="240" w:lineRule="auto"/>
              <w:jc w:val="center"/>
              <w:rPr>
                <w:rFonts w:eastAsia="仿宋"/>
                <w:sz w:val="21"/>
                <w:szCs w:val="21"/>
              </w:rPr>
            </w:pPr>
            <w:r>
              <w:rPr>
                <w:rFonts w:eastAsia="仿宋"/>
                <w:sz w:val="21"/>
                <w:szCs w:val="21"/>
              </w:rPr>
              <w:t>责任单位</w:t>
            </w:r>
          </w:p>
        </w:tc>
        <w:tc>
          <w:tcPr>
            <w:tcW w:w="1867" w:type="dxa"/>
            <w:vAlign w:val="center"/>
          </w:tcPr>
          <w:p w14:paraId="63746597">
            <w:pPr>
              <w:spacing w:line="240" w:lineRule="auto"/>
              <w:jc w:val="center"/>
              <w:rPr>
                <w:rFonts w:eastAsia="仿宋"/>
                <w:sz w:val="21"/>
                <w:szCs w:val="21"/>
              </w:rPr>
            </w:pPr>
          </w:p>
        </w:tc>
      </w:tr>
      <w:tr w14:paraId="1F6832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1866" w:type="dxa"/>
            <w:vMerge w:val="continue"/>
            <w:vAlign w:val="center"/>
          </w:tcPr>
          <w:p w14:paraId="58A46012">
            <w:pPr>
              <w:spacing w:line="240" w:lineRule="auto"/>
              <w:jc w:val="center"/>
              <w:rPr>
                <w:rFonts w:eastAsia="仿宋"/>
                <w:sz w:val="21"/>
                <w:szCs w:val="21"/>
              </w:rPr>
            </w:pPr>
          </w:p>
        </w:tc>
        <w:tc>
          <w:tcPr>
            <w:tcW w:w="1866" w:type="dxa"/>
            <w:vAlign w:val="center"/>
          </w:tcPr>
          <w:p w14:paraId="649156D6">
            <w:pPr>
              <w:spacing w:line="240" w:lineRule="auto"/>
              <w:jc w:val="center"/>
              <w:rPr>
                <w:rFonts w:eastAsia="仿宋"/>
                <w:sz w:val="21"/>
                <w:szCs w:val="21"/>
              </w:rPr>
            </w:pPr>
            <w:r>
              <w:rPr>
                <w:rFonts w:eastAsia="仿宋"/>
                <w:sz w:val="21"/>
                <w:szCs w:val="21"/>
              </w:rPr>
              <w:t>发生地点</w:t>
            </w:r>
          </w:p>
        </w:tc>
        <w:tc>
          <w:tcPr>
            <w:tcW w:w="1866" w:type="dxa"/>
            <w:vAlign w:val="center"/>
          </w:tcPr>
          <w:p w14:paraId="66583433">
            <w:pPr>
              <w:spacing w:line="240" w:lineRule="auto"/>
              <w:jc w:val="center"/>
              <w:rPr>
                <w:rFonts w:eastAsia="仿宋"/>
                <w:sz w:val="21"/>
                <w:szCs w:val="21"/>
              </w:rPr>
            </w:pPr>
          </w:p>
        </w:tc>
        <w:tc>
          <w:tcPr>
            <w:tcW w:w="1867" w:type="dxa"/>
            <w:vAlign w:val="center"/>
          </w:tcPr>
          <w:p w14:paraId="13832676">
            <w:pPr>
              <w:spacing w:line="240" w:lineRule="auto"/>
              <w:jc w:val="center"/>
              <w:rPr>
                <w:rFonts w:eastAsia="仿宋"/>
                <w:sz w:val="21"/>
                <w:szCs w:val="21"/>
              </w:rPr>
            </w:pPr>
            <w:r>
              <w:rPr>
                <w:rFonts w:eastAsia="仿宋"/>
                <w:sz w:val="21"/>
                <w:szCs w:val="21"/>
              </w:rPr>
              <w:t>事件起因</w:t>
            </w:r>
          </w:p>
        </w:tc>
        <w:tc>
          <w:tcPr>
            <w:tcW w:w="1867" w:type="dxa"/>
            <w:vAlign w:val="center"/>
          </w:tcPr>
          <w:p w14:paraId="3112FE66">
            <w:pPr>
              <w:spacing w:line="240" w:lineRule="auto"/>
              <w:jc w:val="center"/>
              <w:rPr>
                <w:rFonts w:eastAsia="仿宋"/>
                <w:sz w:val="21"/>
                <w:szCs w:val="21"/>
              </w:rPr>
            </w:pPr>
          </w:p>
        </w:tc>
      </w:tr>
      <w:tr w14:paraId="712015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1866" w:type="dxa"/>
            <w:vMerge w:val="continue"/>
            <w:vAlign w:val="center"/>
          </w:tcPr>
          <w:p w14:paraId="7FC2DE10">
            <w:pPr>
              <w:spacing w:line="240" w:lineRule="auto"/>
              <w:jc w:val="center"/>
              <w:rPr>
                <w:rFonts w:eastAsia="仿宋"/>
                <w:sz w:val="21"/>
                <w:szCs w:val="21"/>
              </w:rPr>
            </w:pPr>
          </w:p>
        </w:tc>
        <w:tc>
          <w:tcPr>
            <w:tcW w:w="1866" w:type="dxa"/>
            <w:vAlign w:val="center"/>
          </w:tcPr>
          <w:p w14:paraId="2B4EF2FD">
            <w:pPr>
              <w:spacing w:line="240" w:lineRule="auto"/>
              <w:jc w:val="center"/>
              <w:rPr>
                <w:rFonts w:eastAsia="仿宋"/>
                <w:sz w:val="21"/>
                <w:szCs w:val="21"/>
              </w:rPr>
            </w:pPr>
            <w:r>
              <w:rPr>
                <w:rFonts w:eastAsia="仿宋"/>
                <w:sz w:val="21"/>
                <w:szCs w:val="21"/>
              </w:rPr>
              <w:t>接报时间</w:t>
            </w:r>
          </w:p>
        </w:tc>
        <w:tc>
          <w:tcPr>
            <w:tcW w:w="1866" w:type="dxa"/>
            <w:vAlign w:val="center"/>
          </w:tcPr>
          <w:p w14:paraId="5AB76C7E">
            <w:pPr>
              <w:spacing w:line="240" w:lineRule="auto"/>
              <w:jc w:val="center"/>
              <w:rPr>
                <w:rFonts w:eastAsia="仿宋"/>
                <w:sz w:val="21"/>
                <w:szCs w:val="21"/>
              </w:rPr>
            </w:pPr>
          </w:p>
        </w:tc>
        <w:tc>
          <w:tcPr>
            <w:tcW w:w="1867" w:type="dxa"/>
            <w:vAlign w:val="center"/>
          </w:tcPr>
          <w:p w14:paraId="085974FE">
            <w:pPr>
              <w:spacing w:line="240" w:lineRule="auto"/>
              <w:jc w:val="center"/>
              <w:rPr>
                <w:rFonts w:eastAsia="仿宋"/>
                <w:sz w:val="21"/>
                <w:szCs w:val="21"/>
              </w:rPr>
            </w:pPr>
            <w:r>
              <w:rPr>
                <w:rFonts w:eastAsia="仿宋"/>
                <w:sz w:val="21"/>
                <w:szCs w:val="21"/>
              </w:rPr>
              <w:t>主要污染物及数量</w:t>
            </w:r>
          </w:p>
        </w:tc>
        <w:tc>
          <w:tcPr>
            <w:tcW w:w="1867" w:type="dxa"/>
            <w:vAlign w:val="center"/>
          </w:tcPr>
          <w:p w14:paraId="718A22AC">
            <w:pPr>
              <w:spacing w:line="240" w:lineRule="auto"/>
              <w:jc w:val="center"/>
              <w:rPr>
                <w:rFonts w:eastAsia="仿宋"/>
                <w:sz w:val="21"/>
                <w:szCs w:val="21"/>
              </w:rPr>
            </w:pPr>
          </w:p>
        </w:tc>
      </w:tr>
      <w:tr w14:paraId="2B215F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1866" w:type="dxa"/>
            <w:vMerge w:val="continue"/>
            <w:vAlign w:val="center"/>
          </w:tcPr>
          <w:p w14:paraId="119BBEB0">
            <w:pPr>
              <w:spacing w:line="240" w:lineRule="auto"/>
              <w:jc w:val="center"/>
              <w:rPr>
                <w:rFonts w:eastAsia="仿宋"/>
                <w:sz w:val="21"/>
                <w:szCs w:val="21"/>
              </w:rPr>
            </w:pPr>
          </w:p>
        </w:tc>
        <w:tc>
          <w:tcPr>
            <w:tcW w:w="1866" w:type="dxa"/>
            <w:vAlign w:val="center"/>
          </w:tcPr>
          <w:p w14:paraId="73F4A26D">
            <w:pPr>
              <w:spacing w:line="240" w:lineRule="auto"/>
              <w:jc w:val="center"/>
              <w:rPr>
                <w:rFonts w:eastAsia="仿宋"/>
                <w:sz w:val="21"/>
                <w:szCs w:val="21"/>
              </w:rPr>
            </w:pPr>
            <w:r>
              <w:rPr>
                <w:rFonts w:eastAsia="仿宋"/>
                <w:sz w:val="21"/>
                <w:szCs w:val="21"/>
              </w:rPr>
              <w:t>接报途径</w:t>
            </w:r>
          </w:p>
        </w:tc>
        <w:tc>
          <w:tcPr>
            <w:tcW w:w="1866" w:type="dxa"/>
            <w:vAlign w:val="center"/>
          </w:tcPr>
          <w:p w14:paraId="2BE35D81">
            <w:pPr>
              <w:spacing w:line="240" w:lineRule="auto"/>
              <w:jc w:val="center"/>
              <w:rPr>
                <w:rFonts w:eastAsia="仿宋"/>
                <w:sz w:val="21"/>
                <w:szCs w:val="21"/>
              </w:rPr>
            </w:pPr>
          </w:p>
        </w:tc>
        <w:tc>
          <w:tcPr>
            <w:tcW w:w="1867" w:type="dxa"/>
            <w:vMerge w:val="restart"/>
            <w:vAlign w:val="center"/>
          </w:tcPr>
          <w:p w14:paraId="62798684">
            <w:pPr>
              <w:spacing w:line="240" w:lineRule="auto"/>
              <w:jc w:val="center"/>
              <w:rPr>
                <w:rFonts w:eastAsia="仿宋"/>
                <w:sz w:val="21"/>
                <w:szCs w:val="21"/>
              </w:rPr>
            </w:pPr>
            <w:r>
              <w:rPr>
                <w:rFonts w:eastAsia="仿宋"/>
                <w:sz w:val="21"/>
                <w:szCs w:val="21"/>
              </w:rPr>
              <w:t>已造成后果</w:t>
            </w:r>
          </w:p>
        </w:tc>
        <w:tc>
          <w:tcPr>
            <w:tcW w:w="1867" w:type="dxa"/>
            <w:vMerge w:val="restart"/>
            <w:vAlign w:val="center"/>
          </w:tcPr>
          <w:p w14:paraId="40236296">
            <w:pPr>
              <w:spacing w:line="240" w:lineRule="auto"/>
              <w:jc w:val="center"/>
              <w:rPr>
                <w:rFonts w:eastAsia="仿宋"/>
                <w:sz w:val="21"/>
                <w:szCs w:val="21"/>
              </w:rPr>
            </w:pPr>
          </w:p>
        </w:tc>
      </w:tr>
      <w:tr w14:paraId="496F9D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1866" w:type="dxa"/>
            <w:vMerge w:val="continue"/>
            <w:vAlign w:val="center"/>
          </w:tcPr>
          <w:p w14:paraId="3F86745F">
            <w:pPr>
              <w:spacing w:line="240" w:lineRule="auto"/>
              <w:jc w:val="center"/>
              <w:rPr>
                <w:rFonts w:eastAsia="仿宋"/>
                <w:sz w:val="21"/>
                <w:szCs w:val="21"/>
              </w:rPr>
            </w:pPr>
          </w:p>
        </w:tc>
        <w:tc>
          <w:tcPr>
            <w:tcW w:w="1866" w:type="dxa"/>
            <w:vAlign w:val="center"/>
          </w:tcPr>
          <w:p w14:paraId="61FCAB16">
            <w:pPr>
              <w:spacing w:line="240" w:lineRule="auto"/>
              <w:jc w:val="center"/>
              <w:rPr>
                <w:rFonts w:eastAsia="仿宋"/>
                <w:sz w:val="21"/>
                <w:szCs w:val="21"/>
              </w:rPr>
            </w:pPr>
            <w:r>
              <w:rPr>
                <w:rFonts w:eastAsia="仿宋"/>
                <w:sz w:val="21"/>
                <w:szCs w:val="21"/>
              </w:rPr>
              <w:t>举报人姓名及电话</w:t>
            </w:r>
          </w:p>
        </w:tc>
        <w:tc>
          <w:tcPr>
            <w:tcW w:w="1866" w:type="dxa"/>
            <w:vAlign w:val="center"/>
          </w:tcPr>
          <w:p w14:paraId="1A790B06">
            <w:pPr>
              <w:spacing w:line="240" w:lineRule="auto"/>
              <w:jc w:val="center"/>
              <w:rPr>
                <w:rFonts w:eastAsia="仿宋"/>
                <w:sz w:val="21"/>
                <w:szCs w:val="21"/>
              </w:rPr>
            </w:pPr>
          </w:p>
        </w:tc>
        <w:tc>
          <w:tcPr>
            <w:tcW w:w="1867" w:type="dxa"/>
            <w:vMerge w:val="continue"/>
            <w:vAlign w:val="center"/>
          </w:tcPr>
          <w:p w14:paraId="31410EA1">
            <w:pPr>
              <w:spacing w:line="240" w:lineRule="auto"/>
              <w:jc w:val="center"/>
              <w:rPr>
                <w:rFonts w:eastAsia="仿宋"/>
                <w:sz w:val="21"/>
                <w:szCs w:val="21"/>
              </w:rPr>
            </w:pPr>
          </w:p>
        </w:tc>
        <w:tc>
          <w:tcPr>
            <w:tcW w:w="1867" w:type="dxa"/>
            <w:vMerge w:val="continue"/>
            <w:vAlign w:val="center"/>
          </w:tcPr>
          <w:p w14:paraId="7CB8A39F">
            <w:pPr>
              <w:spacing w:line="240" w:lineRule="auto"/>
              <w:jc w:val="center"/>
              <w:rPr>
                <w:rFonts w:eastAsia="仿宋"/>
                <w:sz w:val="21"/>
                <w:szCs w:val="21"/>
              </w:rPr>
            </w:pPr>
          </w:p>
        </w:tc>
      </w:tr>
      <w:tr w14:paraId="661BC4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1866" w:type="dxa"/>
            <w:vMerge w:val="restart"/>
            <w:vAlign w:val="center"/>
          </w:tcPr>
          <w:p w14:paraId="5B569969">
            <w:pPr>
              <w:spacing w:line="240" w:lineRule="auto"/>
              <w:jc w:val="center"/>
              <w:rPr>
                <w:rFonts w:eastAsia="仿宋"/>
                <w:sz w:val="21"/>
                <w:szCs w:val="21"/>
              </w:rPr>
            </w:pPr>
            <w:r>
              <w:rPr>
                <w:rFonts w:eastAsia="仿宋"/>
                <w:sz w:val="21"/>
                <w:szCs w:val="21"/>
              </w:rPr>
              <w:t>周边敏感点情况</w:t>
            </w:r>
          </w:p>
        </w:tc>
        <w:tc>
          <w:tcPr>
            <w:tcW w:w="1866" w:type="dxa"/>
            <w:vAlign w:val="center"/>
          </w:tcPr>
          <w:p w14:paraId="4B9A616B">
            <w:pPr>
              <w:spacing w:line="240" w:lineRule="auto"/>
              <w:jc w:val="center"/>
              <w:rPr>
                <w:rFonts w:eastAsia="仿宋"/>
                <w:sz w:val="21"/>
                <w:szCs w:val="21"/>
              </w:rPr>
            </w:pPr>
            <w:r>
              <w:rPr>
                <w:rFonts w:eastAsia="仿宋"/>
                <w:sz w:val="21"/>
                <w:szCs w:val="21"/>
              </w:rPr>
              <w:t>名称</w:t>
            </w:r>
          </w:p>
        </w:tc>
        <w:tc>
          <w:tcPr>
            <w:tcW w:w="1866" w:type="dxa"/>
            <w:vAlign w:val="center"/>
          </w:tcPr>
          <w:p w14:paraId="38501AEE">
            <w:pPr>
              <w:spacing w:line="240" w:lineRule="auto"/>
              <w:jc w:val="center"/>
              <w:rPr>
                <w:rFonts w:eastAsia="仿宋"/>
                <w:sz w:val="21"/>
                <w:szCs w:val="21"/>
              </w:rPr>
            </w:pPr>
          </w:p>
        </w:tc>
        <w:tc>
          <w:tcPr>
            <w:tcW w:w="1867" w:type="dxa"/>
            <w:vMerge w:val="restart"/>
            <w:vAlign w:val="center"/>
          </w:tcPr>
          <w:p w14:paraId="599037D4">
            <w:pPr>
              <w:spacing w:line="240" w:lineRule="auto"/>
              <w:jc w:val="center"/>
              <w:rPr>
                <w:rFonts w:eastAsia="仿宋"/>
                <w:sz w:val="21"/>
                <w:szCs w:val="21"/>
              </w:rPr>
            </w:pPr>
            <w:r>
              <w:rPr>
                <w:rFonts w:eastAsia="仿宋"/>
                <w:sz w:val="21"/>
                <w:szCs w:val="21"/>
              </w:rPr>
              <w:t>受影响或可能受影响情况</w:t>
            </w:r>
          </w:p>
        </w:tc>
        <w:tc>
          <w:tcPr>
            <w:tcW w:w="1867" w:type="dxa"/>
            <w:vMerge w:val="restart"/>
            <w:vAlign w:val="center"/>
          </w:tcPr>
          <w:p w14:paraId="30567904">
            <w:pPr>
              <w:spacing w:line="240" w:lineRule="auto"/>
              <w:jc w:val="center"/>
              <w:rPr>
                <w:rFonts w:eastAsia="仿宋"/>
                <w:sz w:val="21"/>
                <w:szCs w:val="21"/>
              </w:rPr>
            </w:pPr>
          </w:p>
        </w:tc>
      </w:tr>
      <w:tr w14:paraId="17B665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1866" w:type="dxa"/>
            <w:vMerge w:val="continue"/>
            <w:vAlign w:val="center"/>
          </w:tcPr>
          <w:p w14:paraId="0AEE8DA9">
            <w:pPr>
              <w:spacing w:line="240" w:lineRule="auto"/>
              <w:jc w:val="center"/>
              <w:rPr>
                <w:rFonts w:eastAsia="仿宋"/>
                <w:sz w:val="21"/>
                <w:szCs w:val="21"/>
              </w:rPr>
            </w:pPr>
          </w:p>
        </w:tc>
        <w:tc>
          <w:tcPr>
            <w:tcW w:w="1866" w:type="dxa"/>
            <w:vAlign w:val="center"/>
          </w:tcPr>
          <w:p w14:paraId="5072E117">
            <w:pPr>
              <w:spacing w:line="240" w:lineRule="auto"/>
              <w:jc w:val="center"/>
              <w:rPr>
                <w:rFonts w:eastAsia="仿宋"/>
                <w:sz w:val="21"/>
                <w:szCs w:val="21"/>
              </w:rPr>
            </w:pPr>
            <w:r>
              <w:rPr>
                <w:rFonts w:eastAsia="仿宋"/>
                <w:sz w:val="21"/>
                <w:szCs w:val="21"/>
              </w:rPr>
              <w:t>方位</w:t>
            </w:r>
          </w:p>
        </w:tc>
        <w:tc>
          <w:tcPr>
            <w:tcW w:w="1866" w:type="dxa"/>
            <w:vAlign w:val="center"/>
          </w:tcPr>
          <w:p w14:paraId="7CB32077">
            <w:pPr>
              <w:spacing w:line="240" w:lineRule="auto"/>
              <w:jc w:val="center"/>
              <w:rPr>
                <w:rFonts w:eastAsia="仿宋"/>
                <w:sz w:val="21"/>
                <w:szCs w:val="21"/>
              </w:rPr>
            </w:pPr>
          </w:p>
        </w:tc>
        <w:tc>
          <w:tcPr>
            <w:tcW w:w="1867" w:type="dxa"/>
            <w:vMerge w:val="continue"/>
            <w:vAlign w:val="center"/>
          </w:tcPr>
          <w:p w14:paraId="45FCE7B3">
            <w:pPr>
              <w:spacing w:line="240" w:lineRule="auto"/>
              <w:jc w:val="center"/>
              <w:rPr>
                <w:rFonts w:eastAsia="仿宋"/>
                <w:sz w:val="21"/>
                <w:szCs w:val="21"/>
              </w:rPr>
            </w:pPr>
          </w:p>
        </w:tc>
        <w:tc>
          <w:tcPr>
            <w:tcW w:w="1867" w:type="dxa"/>
            <w:vMerge w:val="continue"/>
            <w:vAlign w:val="center"/>
          </w:tcPr>
          <w:p w14:paraId="5443B7F6">
            <w:pPr>
              <w:spacing w:line="240" w:lineRule="auto"/>
              <w:jc w:val="center"/>
              <w:rPr>
                <w:rFonts w:eastAsia="仿宋"/>
                <w:sz w:val="21"/>
                <w:szCs w:val="21"/>
              </w:rPr>
            </w:pPr>
          </w:p>
        </w:tc>
      </w:tr>
      <w:tr w14:paraId="2C8A18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1866" w:type="dxa"/>
            <w:vMerge w:val="continue"/>
            <w:vAlign w:val="center"/>
          </w:tcPr>
          <w:p w14:paraId="43D73C02">
            <w:pPr>
              <w:spacing w:line="240" w:lineRule="auto"/>
              <w:jc w:val="center"/>
              <w:rPr>
                <w:rFonts w:eastAsia="仿宋"/>
                <w:sz w:val="21"/>
                <w:szCs w:val="21"/>
              </w:rPr>
            </w:pPr>
          </w:p>
        </w:tc>
        <w:tc>
          <w:tcPr>
            <w:tcW w:w="1866" w:type="dxa"/>
            <w:vAlign w:val="center"/>
          </w:tcPr>
          <w:p w14:paraId="5FF338B6">
            <w:pPr>
              <w:spacing w:line="240" w:lineRule="auto"/>
              <w:jc w:val="center"/>
              <w:rPr>
                <w:rFonts w:eastAsia="仿宋"/>
                <w:sz w:val="21"/>
                <w:szCs w:val="21"/>
              </w:rPr>
            </w:pPr>
            <w:r>
              <w:rPr>
                <w:rFonts w:eastAsia="仿宋"/>
                <w:sz w:val="21"/>
                <w:szCs w:val="21"/>
              </w:rPr>
              <w:t>事发点距离</w:t>
            </w:r>
          </w:p>
        </w:tc>
        <w:tc>
          <w:tcPr>
            <w:tcW w:w="1866" w:type="dxa"/>
            <w:vAlign w:val="center"/>
          </w:tcPr>
          <w:p w14:paraId="6E0E8D36">
            <w:pPr>
              <w:spacing w:line="240" w:lineRule="auto"/>
              <w:jc w:val="center"/>
              <w:rPr>
                <w:rFonts w:eastAsia="仿宋"/>
                <w:sz w:val="21"/>
                <w:szCs w:val="21"/>
              </w:rPr>
            </w:pPr>
          </w:p>
        </w:tc>
        <w:tc>
          <w:tcPr>
            <w:tcW w:w="1867" w:type="dxa"/>
            <w:vMerge w:val="continue"/>
            <w:vAlign w:val="center"/>
          </w:tcPr>
          <w:p w14:paraId="597A5DB1">
            <w:pPr>
              <w:spacing w:line="240" w:lineRule="auto"/>
              <w:jc w:val="center"/>
              <w:rPr>
                <w:rFonts w:eastAsia="仿宋"/>
                <w:sz w:val="21"/>
                <w:szCs w:val="21"/>
              </w:rPr>
            </w:pPr>
          </w:p>
        </w:tc>
        <w:tc>
          <w:tcPr>
            <w:tcW w:w="1867" w:type="dxa"/>
            <w:vMerge w:val="continue"/>
            <w:vAlign w:val="center"/>
          </w:tcPr>
          <w:p w14:paraId="7D01B8F3">
            <w:pPr>
              <w:spacing w:line="240" w:lineRule="auto"/>
              <w:jc w:val="center"/>
              <w:rPr>
                <w:rFonts w:eastAsia="仿宋"/>
                <w:sz w:val="21"/>
                <w:szCs w:val="21"/>
              </w:rPr>
            </w:pPr>
          </w:p>
        </w:tc>
      </w:tr>
      <w:tr w14:paraId="11C9C8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1866" w:type="dxa"/>
            <w:vMerge w:val="continue"/>
            <w:vAlign w:val="center"/>
          </w:tcPr>
          <w:p w14:paraId="0CFA3A9B">
            <w:pPr>
              <w:spacing w:line="240" w:lineRule="auto"/>
              <w:jc w:val="center"/>
              <w:rPr>
                <w:rFonts w:eastAsia="仿宋"/>
                <w:sz w:val="21"/>
                <w:szCs w:val="21"/>
              </w:rPr>
            </w:pPr>
          </w:p>
        </w:tc>
        <w:tc>
          <w:tcPr>
            <w:tcW w:w="1866" w:type="dxa"/>
            <w:vAlign w:val="center"/>
          </w:tcPr>
          <w:p w14:paraId="1104F649">
            <w:pPr>
              <w:spacing w:line="240" w:lineRule="auto"/>
              <w:jc w:val="center"/>
              <w:rPr>
                <w:rFonts w:eastAsia="仿宋"/>
                <w:sz w:val="21"/>
                <w:szCs w:val="21"/>
              </w:rPr>
            </w:pPr>
            <w:r>
              <w:rPr>
                <w:rFonts w:eastAsia="仿宋"/>
                <w:sz w:val="21"/>
                <w:szCs w:val="21"/>
              </w:rPr>
              <w:t>规模</w:t>
            </w:r>
          </w:p>
        </w:tc>
        <w:tc>
          <w:tcPr>
            <w:tcW w:w="1866" w:type="dxa"/>
            <w:vAlign w:val="center"/>
          </w:tcPr>
          <w:p w14:paraId="422B3A8A">
            <w:pPr>
              <w:spacing w:line="240" w:lineRule="auto"/>
              <w:jc w:val="center"/>
              <w:rPr>
                <w:rFonts w:eastAsia="仿宋"/>
                <w:sz w:val="21"/>
                <w:szCs w:val="21"/>
              </w:rPr>
            </w:pPr>
          </w:p>
        </w:tc>
        <w:tc>
          <w:tcPr>
            <w:tcW w:w="1867" w:type="dxa"/>
            <w:vMerge w:val="continue"/>
            <w:vAlign w:val="center"/>
          </w:tcPr>
          <w:p w14:paraId="25BDC5F6">
            <w:pPr>
              <w:spacing w:line="240" w:lineRule="auto"/>
              <w:jc w:val="center"/>
              <w:rPr>
                <w:rFonts w:eastAsia="仿宋"/>
                <w:sz w:val="21"/>
                <w:szCs w:val="21"/>
              </w:rPr>
            </w:pPr>
          </w:p>
        </w:tc>
        <w:tc>
          <w:tcPr>
            <w:tcW w:w="1867" w:type="dxa"/>
            <w:vMerge w:val="continue"/>
            <w:vAlign w:val="center"/>
          </w:tcPr>
          <w:p w14:paraId="0D4138EA">
            <w:pPr>
              <w:spacing w:line="240" w:lineRule="auto"/>
              <w:jc w:val="center"/>
              <w:rPr>
                <w:rFonts w:eastAsia="仿宋"/>
                <w:sz w:val="21"/>
                <w:szCs w:val="21"/>
              </w:rPr>
            </w:pPr>
          </w:p>
        </w:tc>
      </w:tr>
      <w:tr w14:paraId="613D6B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2" w:hRule="atLeast"/>
          <w:jc w:val="center"/>
        </w:trPr>
        <w:tc>
          <w:tcPr>
            <w:tcW w:w="1866" w:type="dxa"/>
            <w:vAlign w:val="center"/>
          </w:tcPr>
          <w:p w14:paraId="6D9EB7DD">
            <w:pPr>
              <w:spacing w:line="240" w:lineRule="auto"/>
              <w:jc w:val="center"/>
              <w:rPr>
                <w:rFonts w:eastAsia="仿宋"/>
                <w:sz w:val="21"/>
                <w:szCs w:val="21"/>
              </w:rPr>
            </w:pPr>
            <w:r>
              <w:rPr>
                <w:rFonts w:eastAsia="仿宋"/>
                <w:sz w:val="21"/>
                <w:szCs w:val="21"/>
              </w:rPr>
              <w:t>初步研判等级</w:t>
            </w:r>
          </w:p>
        </w:tc>
        <w:tc>
          <w:tcPr>
            <w:tcW w:w="1866" w:type="dxa"/>
            <w:vAlign w:val="center"/>
          </w:tcPr>
          <w:p w14:paraId="0C7CB178">
            <w:pPr>
              <w:spacing w:line="240" w:lineRule="auto"/>
              <w:jc w:val="center"/>
              <w:rPr>
                <w:rFonts w:eastAsia="仿宋"/>
                <w:sz w:val="21"/>
                <w:szCs w:val="21"/>
              </w:rPr>
            </w:pPr>
          </w:p>
        </w:tc>
        <w:tc>
          <w:tcPr>
            <w:tcW w:w="1866" w:type="dxa"/>
            <w:vAlign w:val="center"/>
          </w:tcPr>
          <w:p w14:paraId="717E1CB1">
            <w:pPr>
              <w:spacing w:line="240" w:lineRule="auto"/>
              <w:jc w:val="center"/>
              <w:rPr>
                <w:rFonts w:eastAsia="仿宋"/>
                <w:sz w:val="21"/>
                <w:szCs w:val="21"/>
              </w:rPr>
            </w:pPr>
          </w:p>
        </w:tc>
        <w:tc>
          <w:tcPr>
            <w:tcW w:w="1867" w:type="dxa"/>
            <w:vAlign w:val="center"/>
          </w:tcPr>
          <w:p w14:paraId="4BCD7E26">
            <w:pPr>
              <w:spacing w:line="240" w:lineRule="auto"/>
              <w:jc w:val="center"/>
              <w:rPr>
                <w:rFonts w:eastAsia="仿宋"/>
                <w:sz w:val="21"/>
                <w:szCs w:val="21"/>
              </w:rPr>
            </w:pPr>
          </w:p>
        </w:tc>
        <w:tc>
          <w:tcPr>
            <w:tcW w:w="1867" w:type="dxa"/>
            <w:vAlign w:val="center"/>
          </w:tcPr>
          <w:p w14:paraId="43869DCC">
            <w:pPr>
              <w:spacing w:line="240" w:lineRule="auto"/>
              <w:jc w:val="center"/>
              <w:rPr>
                <w:rFonts w:eastAsia="仿宋"/>
                <w:sz w:val="21"/>
                <w:szCs w:val="21"/>
              </w:rPr>
            </w:pPr>
          </w:p>
        </w:tc>
      </w:tr>
      <w:tr w14:paraId="4C49D6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1866" w:type="dxa"/>
            <w:vAlign w:val="center"/>
          </w:tcPr>
          <w:p w14:paraId="1124DB90">
            <w:pPr>
              <w:spacing w:line="240" w:lineRule="auto"/>
              <w:jc w:val="center"/>
              <w:rPr>
                <w:rFonts w:eastAsia="仿宋"/>
                <w:sz w:val="21"/>
                <w:szCs w:val="21"/>
              </w:rPr>
            </w:pPr>
            <w:r>
              <w:rPr>
                <w:rFonts w:eastAsia="仿宋"/>
                <w:sz w:val="21"/>
                <w:szCs w:val="21"/>
              </w:rPr>
              <w:t>现场气象情况</w:t>
            </w:r>
          </w:p>
        </w:tc>
        <w:tc>
          <w:tcPr>
            <w:tcW w:w="1866" w:type="dxa"/>
            <w:vAlign w:val="center"/>
          </w:tcPr>
          <w:p w14:paraId="29C0ECFD">
            <w:pPr>
              <w:spacing w:line="240" w:lineRule="auto"/>
              <w:jc w:val="center"/>
              <w:rPr>
                <w:rFonts w:eastAsia="仿宋"/>
                <w:sz w:val="21"/>
                <w:szCs w:val="21"/>
              </w:rPr>
            </w:pPr>
          </w:p>
        </w:tc>
        <w:tc>
          <w:tcPr>
            <w:tcW w:w="1866" w:type="dxa"/>
            <w:vAlign w:val="center"/>
          </w:tcPr>
          <w:p w14:paraId="579B2814">
            <w:pPr>
              <w:spacing w:line="240" w:lineRule="auto"/>
              <w:jc w:val="center"/>
              <w:rPr>
                <w:rFonts w:eastAsia="仿宋"/>
                <w:sz w:val="21"/>
                <w:szCs w:val="21"/>
              </w:rPr>
            </w:pPr>
          </w:p>
        </w:tc>
        <w:tc>
          <w:tcPr>
            <w:tcW w:w="1867" w:type="dxa"/>
            <w:vAlign w:val="center"/>
          </w:tcPr>
          <w:p w14:paraId="5DFD0B48">
            <w:pPr>
              <w:spacing w:line="240" w:lineRule="auto"/>
              <w:jc w:val="center"/>
              <w:rPr>
                <w:rFonts w:eastAsia="仿宋"/>
                <w:sz w:val="21"/>
                <w:szCs w:val="21"/>
              </w:rPr>
            </w:pPr>
          </w:p>
        </w:tc>
        <w:tc>
          <w:tcPr>
            <w:tcW w:w="1867" w:type="dxa"/>
            <w:vAlign w:val="center"/>
          </w:tcPr>
          <w:p w14:paraId="6D7A536E">
            <w:pPr>
              <w:spacing w:line="240" w:lineRule="auto"/>
              <w:jc w:val="center"/>
              <w:rPr>
                <w:rFonts w:eastAsia="仿宋"/>
                <w:sz w:val="21"/>
                <w:szCs w:val="21"/>
              </w:rPr>
            </w:pPr>
          </w:p>
        </w:tc>
      </w:tr>
      <w:tr w14:paraId="40DBC1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5" w:hRule="atLeast"/>
          <w:jc w:val="center"/>
        </w:trPr>
        <w:tc>
          <w:tcPr>
            <w:tcW w:w="1866" w:type="dxa"/>
            <w:vAlign w:val="center"/>
          </w:tcPr>
          <w:p w14:paraId="56D184B1">
            <w:pPr>
              <w:spacing w:line="240" w:lineRule="auto"/>
              <w:jc w:val="center"/>
              <w:rPr>
                <w:rFonts w:eastAsia="仿宋"/>
                <w:sz w:val="21"/>
                <w:szCs w:val="21"/>
              </w:rPr>
            </w:pPr>
            <w:r>
              <w:rPr>
                <w:rFonts w:eastAsia="仿宋"/>
                <w:sz w:val="21"/>
                <w:szCs w:val="21"/>
              </w:rPr>
              <w:t>监测情况（含监测点位示意）</w:t>
            </w:r>
          </w:p>
        </w:tc>
        <w:tc>
          <w:tcPr>
            <w:tcW w:w="1866" w:type="dxa"/>
            <w:vAlign w:val="center"/>
          </w:tcPr>
          <w:p w14:paraId="1C945BAA">
            <w:pPr>
              <w:spacing w:line="240" w:lineRule="auto"/>
              <w:jc w:val="center"/>
              <w:rPr>
                <w:rFonts w:eastAsia="仿宋"/>
                <w:sz w:val="21"/>
                <w:szCs w:val="21"/>
              </w:rPr>
            </w:pPr>
          </w:p>
        </w:tc>
        <w:tc>
          <w:tcPr>
            <w:tcW w:w="1866" w:type="dxa"/>
            <w:vAlign w:val="center"/>
          </w:tcPr>
          <w:p w14:paraId="4AADC7B6">
            <w:pPr>
              <w:spacing w:line="240" w:lineRule="auto"/>
              <w:jc w:val="center"/>
              <w:rPr>
                <w:rFonts w:eastAsia="仿宋"/>
                <w:sz w:val="21"/>
                <w:szCs w:val="21"/>
              </w:rPr>
            </w:pPr>
          </w:p>
        </w:tc>
        <w:tc>
          <w:tcPr>
            <w:tcW w:w="1867" w:type="dxa"/>
            <w:vAlign w:val="center"/>
          </w:tcPr>
          <w:p w14:paraId="01492F30">
            <w:pPr>
              <w:spacing w:line="240" w:lineRule="auto"/>
              <w:jc w:val="center"/>
              <w:rPr>
                <w:rFonts w:eastAsia="仿宋"/>
                <w:sz w:val="21"/>
                <w:szCs w:val="21"/>
              </w:rPr>
            </w:pPr>
          </w:p>
        </w:tc>
        <w:tc>
          <w:tcPr>
            <w:tcW w:w="1867" w:type="dxa"/>
            <w:vAlign w:val="center"/>
          </w:tcPr>
          <w:p w14:paraId="686F7BFA">
            <w:pPr>
              <w:spacing w:line="240" w:lineRule="auto"/>
              <w:jc w:val="center"/>
              <w:rPr>
                <w:rFonts w:eastAsia="仿宋"/>
                <w:sz w:val="21"/>
                <w:szCs w:val="21"/>
              </w:rPr>
            </w:pPr>
          </w:p>
        </w:tc>
      </w:tr>
      <w:tr w14:paraId="7FBE42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1866" w:type="dxa"/>
            <w:vAlign w:val="center"/>
          </w:tcPr>
          <w:p w14:paraId="7E6F3DE3">
            <w:pPr>
              <w:spacing w:line="240" w:lineRule="auto"/>
              <w:jc w:val="center"/>
              <w:rPr>
                <w:rFonts w:eastAsia="仿宋"/>
                <w:sz w:val="21"/>
                <w:szCs w:val="21"/>
              </w:rPr>
            </w:pPr>
            <w:r>
              <w:rPr>
                <w:rFonts w:eastAsia="仿宋"/>
                <w:sz w:val="21"/>
                <w:szCs w:val="21"/>
              </w:rPr>
              <w:t>现场处置情况</w:t>
            </w:r>
          </w:p>
        </w:tc>
        <w:tc>
          <w:tcPr>
            <w:tcW w:w="1866" w:type="dxa"/>
            <w:vAlign w:val="center"/>
          </w:tcPr>
          <w:p w14:paraId="303DCAC6">
            <w:pPr>
              <w:spacing w:line="240" w:lineRule="auto"/>
              <w:jc w:val="center"/>
              <w:rPr>
                <w:rFonts w:eastAsia="仿宋"/>
                <w:sz w:val="21"/>
                <w:szCs w:val="21"/>
              </w:rPr>
            </w:pPr>
          </w:p>
        </w:tc>
        <w:tc>
          <w:tcPr>
            <w:tcW w:w="1866" w:type="dxa"/>
            <w:vAlign w:val="center"/>
          </w:tcPr>
          <w:p w14:paraId="602700D3">
            <w:pPr>
              <w:spacing w:line="240" w:lineRule="auto"/>
              <w:jc w:val="center"/>
              <w:rPr>
                <w:rFonts w:eastAsia="仿宋"/>
                <w:sz w:val="21"/>
                <w:szCs w:val="21"/>
              </w:rPr>
            </w:pPr>
          </w:p>
        </w:tc>
        <w:tc>
          <w:tcPr>
            <w:tcW w:w="1867" w:type="dxa"/>
            <w:vAlign w:val="center"/>
          </w:tcPr>
          <w:p w14:paraId="3D4AC504">
            <w:pPr>
              <w:spacing w:line="240" w:lineRule="auto"/>
              <w:jc w:val="center"/>
              <w:rPr>
                <w:rFonts w:eastAsia="仿宋"/>
                <w:sz w:val="21"/>
                <w:szCs w:val="21"/>
              </w:rPr>
            </w:pPr>
          </w:p>
        </w:tc>
        <w:tc>
          <w:tcPr>
            <w:tcW w:w="1867" w:type="dxa"/>
            <w:vAlign w:val="center"/>
          </w:tcPr>
          <w:p w14:paraId="3735934E">
            <w:pPr>
              <w:spacing w:line="240" w:lineRule="auto"/>
              <w:jc w:val="center"/>
              <w:rPr>
                <w:rFonts w:eastAsia="仿宋"/>
                <w:sz w:val="21"/>
                <w:szCs w:val="21"/>
              </w:rPr>
            </w:pPr>
          </w:p>
        </w:tc>
      </w:tr>
      <w:tr w14:paraId="554211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4" w:hRule="atLeast"/>
          <w:jc w:val="center"/>
        </w:trPr>
        <w:tc>
          <w:tcPr>
            <w:tcW w:w="1866" w:type="dxa"/>
            <w:vAlign w:val="center"/>
          </w:tcPr>
          <w:p w14:paraId="3DB8EEBA">
            <w:pPr>
              <w:spacing w:line="240" w:lineRule="auto"/>
              <w:jc w:val="center"/>
              <w:rPr>
                <w:rFonts w:eastAsia="仿宋"/>
                <w:sz w:val="21"/>
                <w:szCs w:val="21"/>
              </w:rPr>
            </w:pPr>
            <w:r>
              <w:rPr>
                <w:rFonts w:eastAsia="仿宋"/>
                <w:sz w:val="21"/>
                <w:szCs w:val="21"/>
              </w:rPr>
              <w:t>事件发展趋势及可能影响的流域/区域</w:t>
            </w:r>
          </w:p>
        </w:tc>
        <w:tc>
          <w:tcPr>
            <w:tcW w:w="1866" w:type="dxa"/>
            <w:vAlign w:val="center"/>
          </w:tcPr>
          <w:p w14:paraId="1F8E3870">
            <w:pPr>
              <w:spacing w:line="240" w:lineRule="auto"/>
              <w:jc w:val="center"/>
              <w:rPr>
                <w:rFonts w:eastAsia="仿宋"/>
                <w:sz w:val="21"/>
                <w:szCs w:val="21"/>
              </w:rPr>
            </w:pPr>
          </w:p>
        </w:tc>
        <w:tc>
          <w:tcPr>
            <w:tcW w:w="1866" w:type="dxa"/>
            <w:vAlign w:val="center"/>
          </w:tcPr>
          <w:p w14:paraId="65B697B5">
            <w:pPr>
              <w:spacing w:line="240" w:lineRule="auto"/>
              <w:jc w:val="center"/>
              <w:rPr>
                <w:rFonts w:eastAsia="仿宋"/>
                <w:sz w:val="21"/>
                <w:szCs w:val="21"/>
              </w:rPr>
            </w:pPr>
          </w:p>
        </w:tc>
        <w:tc>
          <w:tcPr>
            <w:tcW w:w="1867" w:type="dxa"/>
            <w:vAlign w:val="center"/>
          </w:tcPr>
          <w:p w14:paraId="52D7841B">
            <w:pPr>
              <w:spacing w:line="240" w:lineRule="auto"/>
              <w:jc w:val="center"/>
              <w:rPr>
                <w:rFonts w:eastAsia="仿宋"/>
                <w:sz w:val="21"/>
                <w:szCs w:val="21"/>
              </w:rPr>
            </w:pPr>
          </w:p>
        </w:tc>
        <w:tc>
          <w:tcPr>
            <w:tcW w:w="1867" w:type="dxa"/>
            <w:vAlign w:val="center"/>
          </w:tcPr>
          <w:p w14:paraId="318E690C">
            <w:pPr>
              <w:spacing w:line="240" w:lineRule="auto"/>
              <w:jc w:val="center"/>
              <w:rPr>
                <w:rFonts w:eastAsia="仿宋"/>
                <w:sz w:val="21"/>
                <w:szCs w:val="21"/>
              </w:rPr>
            </w:pPr>
          </w:p>
        </w:tc>
      </w:tr>
      <w:tr w14:paraId="7B1494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5" w:hRule="atLeast"/>
          <w:jc w:val="center"/>
        </w:trPr>
        <w:tc>
          <w:tcPr>
            <w:tcW w:w="1866" w:type="dxa"/>
            <w:vAlign w:val="center"/>
          </w:tcPr>
          <w:p w14:paraId="1DA29D40">
            <w:pPr>
              <w:spacing w:line="240" w:lineRule="auto"/>
              <w:jc w:val="center"/>
              <w:rPr>
                <w:rFonts w:eastAsia="仿宋"/>
                <w:sz w:val="21"/>
                <w:szCs w:val="21"/>
              </w:rPr>
            </w:pPr>
            <w:r>
              <w:rPr>
                <w:rFonts w:eastAsia="仿宋"/>
                <w:sz w:val="21"/>
                <w:szCs w:val="21"/>
              </w:rPr>
              <w:t>填报单位</w:t>
            </w:r>
          </w:p>
        </w:tc>
        <w:tc>
          <w:tcPr>
            <w:tcW w:w="1866" w:type="dxa"/>
            <w:vAlign w:val="center"/>
          </w:tcPr>
          <w:p w14:paraId="74AF1D08">
            <w:pPr>
              <w:spacing w:line="240" w:lineRule="auto"/>
              <w:jc w:val="center"/>
              <w:rPr>
                <w:rFonts w:eastAsia="仿宋"/>
                <w:sz w:val="21"/>
                <w:szCs w:val="21"/>
              </w:rPr>
            </w:pPr>
          </w:p>
        </w:tc>
        <w:tc>
          <w:tcPr>
            <w:tcW w:w="1866" w:type="dxa"/>
            <w:vAlign w:val="center"/>
          </w:tcPr>
          <w:p w14:paraId="52F18917">
            <w:pPr>
              <w:spacing w:line="240" w:lineRule="auto"/>
              <w:jc w:val="center"/>
              <w:rPr>
                <w:rFonts w:eastAsia="仿宋"/>
                <w:sz w:val="21"/>
                <w:szCs w:val="21"/>
              </w:rPr>
            </w:pPr>
          </w:p>
        </w:tc>
        <w:tc>
          <w:tcPr>
            <w:tcW w:w="1867" w:type="dxa"/>
            <w:vAlign w:val="center"/>
          </w:tcPr>
          <w:p w14:paraId="1319795A">
            <w:pPr>
              <w:spacing w:line="240" w:lineRule="auto"/>
              <w:jc w:val="center"/>
              <w:rPr>
                <w:rFonts w:eastAsia="仿宋"/>
                <w:sz w:val="21"/>
                <w:szCs w:val="21"/>
              </w:rPr>
            </w:pPr>
          </w:p>
        </w:tc>
        <w:tc>
          <w:tcPr>
            <w:tcW w:w="1867" w:type="dxa"/>
            <w:vAlign w:val="center"/>
          </w:tcPr>
          <w:p w14:paraId="0689390F">
            <w:pPr>
              <w:spacing w:line="240" w:lineRule="auto"/>
              <w:jc w:val="center"/>
              <w:rPr>
                <w:rFonts w:eastAsia="仿宋"/>
                <w:sz w:val="21"/>
                <w:szCs w:val="21"/>
              </w:rPr>
            </w:pPr>
          </w:p>
        </w:tc>
      </w:tr>
    </w:tbl>
    <w:p w14:paraId="0DDCD4B9">
      <w:pPr>
        <w:spacing w:line="240" w:lineRule="auto"/>
        <w:jc w:val="center"/>
        <w:rPr>
          <w:rFonts w:eastAsia="仿宋"/>
          <w:sz w:val="21"/>
          <w:szCs w:val="21"/>
        </w:rPr>
      </w:pPr>
      <w:r>
        <w:rPr>
          <w:rFonts w:eastAsia="仿宋"/>
          <w:sz w:val="21"/>
          <w:szCs w:val="21"/>
        </w:rPr>
        <w:t>报告时间：     年    月     日     时   分                         领导签字：</w:t>
      </w:r>
    </w:p>
    <w:p w14:paraId="2338FA74">
      <w:pPr>
        <w:widowControl/>
        <w:spacing w:line="240" w:lineRule="auto"/>
        <w:rPr>
          <w:rFonts w:eastAsia="仿宋"/>
          <w:b/>
          <w:sz w:val="21"/>
          <w:szCs w:val="21"/>
        </w:rPr>
      </w:pPr>
    </w:p>
    <w:p w14:paraId="3D405301">
      <w:pPr>
        <w:widowControl/>
        <w:spacing w:line="240" w:lineRule="auto"/>
        <w:jc w:val="left"/>
        <w:rPr>
          <w:rFonts w:eastAsia="仿宋"/>
          <w:sz w:val="28"/>
          <w:szCs w:val="28"/>
        </w:rPr>
        <w:sectPr>
          <w:pgSz w:w="11906" w:h="16838"/>
          <w:pgMar w:top="1440" w:right="1644" w:bottom="1440" w:left="1644" w:header="851" w:footer="992" w:gutter="0"/>
          <w:cols w:space="425" w:num="1"/>
          <w:docGrid w:type="lines" w:linePitch="312" w:charSpace="0"/>
        </w:sectPr>
      </w:pPr>
      <w:r>
        <w:rPr>
          <w:rFonts w:eastAsia="仿宋"/>
          <w:sz w:val="28"/>
          <w:szCs w:val="28"/>
        </w:rPr>
        <w:br w:type="page"/>
      </w:r>
    </w:p>
    <w:p w14:paraId="403E7C59">
      <w:pPr>
        <w:widowControl/>
        <w:spacing w:line="240" w:lineRule="auto"/>
        <w:jc w:val="left"/>
        <w:rPr>
          <w:rFonts w:eastAsia="仿宋"/>
          <w:sz w:val="28"/>
          <w:szCs w:val="28"/>
        </w:rPr>
      </w:pPr>
      <w:r>
        <w:drawing>
          <wp:inline distT="0" distB="0" distL="0" distR="0">
            <wp:extent cx="8863330" cy="3463290"/>
            <wp:effectExtent l="19050" t="19050" r="0" b="381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18"/>
                    <a:stretch>
                      <a:fillRect/>
                    </a:stretch>
                  </pic:blipFill>
                  <pic:spPr>
                    <a:xfrm>
                      <a:off x="0" y="0"/>
                      <a:ext cx="8863330" cy="3463290"/>
                    </a:xfrm>
                    <a:prstGeom prst="rect">
                      <a:avLst/>
                    </a:prstGeom>
                    <a:ln w="15875">
                      <a:solidFill>
                        <a:schemeClr val="tx1"/>
                      </a:solidFill>
                    </a:ln>
                  </pic:spPr>
                </pic:pic>
              </a:graphicData>
            </a:graphic>
          </wp:inline>
        </w:drawing>
      </w:r>
    </w:p>
    <w:p w14:paraId="1F12457D">
      <w:pPr>
        <w:widowControl/>
        <w:spacing w:line="240" w:lineRule="auto"/>
        <w:jc w:val="left"/>
        <w:rPr>
          <w:rFonts w:eastAsia="仿宋"/>
          <w:sz w:val="28"/>
          <w:szCs w:val="28"/>
        </w:rPr>
        <w:sectPr>
          <w:pgSz w:w="16838" w:h="11906" w:orient="landscape"/>
          <w:pgMar w:top="1644" w:right="1440" w:bottom="1644" w:left="1440" w:header="851" w:footer="992" w:gutter="0"/>
          <w:cols w:space="425" w:num="1"/>
          <w:docGrid w:type="linesAndChars" w:linePitch="312" w:charSpace="0"/>
        </w:sectPr>
      </w:pPr>
    </w:p>
    <w:p w14:paraId="327FB967">
      <w:pPr>
        <w:widowControl/>
        <w:spacing w:line="240" w:lineRule="auto"/>
        <w:jc w:val="center"/>
        <w:rPr>
          <w:rFonts w:eastAsia="仿宋"/>
          <w:sz w:val="28"/>
          <w:szCs w:val="28"/>
        </w:rPr>
      </w:pPr>
      <w:r>
        <w:rPr>
          <w:rFonts w:hint="eastAsia" w:ascii="仿宋_GB2312" w:eastAsia="仿宋_GB2312"/>
          <w:b/>
          <w:szCs w:val="24"/>
        </w:rPr>
        <w:t>九眼井集中式饮用水源水质监测平均结果表</w:t>
      </w:r>
    </w:p>
    <w:tbl>
      <w:tblPr>
        <w:tblStyle w:val="1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3"/>
        <w:gridCol w:w="2258"/>
        <w:gridCol w:w="2184"/>
        <w:gridCol w:w="1223"/>
        <w:gridCol w:w="1223"/>
        <w:gridCol w:w="1223"/>
      </w:tblGrid>
      <w:tr w14:paraId="6230AC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410" w:type="pct"/>
            <w:shd w:val="clear" w:color="auto" w:fill="auto"/>
            <w:noWrap/>
            <w:vAlign w:val="center"/>
          </w:tcPr>
          <w:p w14:paraId="48485C89">
            <w:pPr>
              <w:jc w:val="center"/>
              <w:rPr>
                <w:b/>
                <w:color w:val="000000" w:themeColor="text1"/>
                <w:szCs w:val="24"/>
                <w14:textFill>
                  <w14:solidFill>
                    <w14:schemeClr w14:val="tx1"/>
                  </w14:solidFill>
                </w14:textFill>
              </w:rPr>
            </w:pPr>
            <w:r>
              <w:rPr>
                <w:rFonts w:hint="eastAsia"/>
                <w:b/>
                <w:color w:val="000000" w:themeColor="text1"/>
                <w:szCs w:val="24"/>
                <w14:textFill>
                  <w14:solidFill>
                    <w14:schemeClr w14:val="tx1"/>
                  </w14:solidFill>
                </w14:textFill>
              </w:rPr>
              <w:t>序号</w:t>
            </w:r>
          </w:p>
        </w:tc>
        <w:tc>
          <w:tcPr>
            <w:tcW w:w="1278" w:type="pct"/>
            <w:shd w:val="clear" w:color="auto" w:fill="auto"/>
            <w:noWrap/>
            <w:vAlign w:val="center"/>
          </w:tcPr>
          <w:p w14:paraId="733925B7">
            <w:pPr>
              <w:jc w:val="center"/>
              <w:rPr>
                <w:b/>
                <w:color w:val="000000" w:themeColor="text1"/>
                <w:szCs w:val="24"/>
                <w14:textFill>
                  <w14:solidFill>
                    <w14:schemeClr w14:val="tx1"/>
                  </w14:solidFill>
                </w14:textFill>
              </w:rPr>
            </w:pPr>
            <w:r>
              <w:rPr>
                <w:rFonts w:hint="eastAsia"/>
                <w:b/>
                <w:color w:val="000000" w:themeColor="text1"/>
                <w:szCs w:val="24"/>
                <w14:textFill>
                  <w14:solidFill>
                    <w14:schemeClr w14:val="tx1"/>
                  </w14:solidFill>
                </w14:textFill>
              </w:rPr>
              <w:t>监测指标</w:t>
            </w:r>
          </w:p>
        </w:tc>
        <w:tc>
          <w:tcPr>
            <w:tcW w:w="1236" w:type="pct"/>
            <w:shd w:val="clear" w:color="auto" w:fill="auto"/>
            <w:noWrap/>
            <w:vAlign w:val="center"/>
          </w:tcPr>
          <w:p w14:paraId="7DB78D14">
            <w:pPr>
              <w:jc w:val="center"/>
              <w:rPr>
                <w:b/>
                <w:color w:val="000000" w:themeColor="text1"/>
                <w:szCs w:val="24"/>
                <w14:textFill>
                  <w14:solidFill>
                    <w14:schemeClr w14:val="tx1"/>
                  </w14:solidFill>
                </w14:textFill>
              </w:rPr>
            </w:pPr>
            <w:r>
              <w:rPr>
                <w:rFonts w:hint="eastAsia"/>
                <w:b/>
                <w:color w:val="000000" w:themeColor="text1"/>
                <w:szCs w:val="24"/>
                <w14:textFill>
                  <w14:solidFill>
                    <w14:schemeClr w14:val="tx1"/>
                  </w14:solidFill>
                </w14:textFill>
              </w:rPr>
              <w:t>单位</w:t>
            </w:r>
          </w:p>
        </w:tc>
        <w:tc>
          <w:tcPr>
            <w:tcW w:w="692" w:type="pct"/>
            <w:shd w:val="clear" w:color="auto" w:fill="auto"/>
            <w:noWrap/>
            <w:vAlign w:val="center"/>
          </w:tcPr>
          <w:p w14:paraId="2E136B5D">
            <w:pPr>
              <w:jc w:val="center"/>
              <w:rPr>
                <w:b/>
                <w:color w:val="000000" w:themeColor="text1"/>
                <w:szCs w:val="24"/>
                <w14:textFill>
                  <w14:solidFill>
                    <w14:schemeClr w14:val="tx1"/>
                  </w14:solidFill>
                </w14:textFill>
              </w:rPr>
            </w:pPr>
            <w:r>
              <w:rPr>
                <w:rFonts w:hint="eastAsia"/>
                <w:b/>
                <w:color w:val="000000" w:themeColor="text1"/>
                <w:szCs w:val="24"/>
                <w14:textFill>
                  <w14:solidFill>
                    <w14:schemeClr w14:val="tx1"/>
                  </w14:solidFill>
                </w14:textFill>
              </w:rPr>
              <w:t>监测结果</w:t>
            </w:r>
          </w:p>
        </w:tc>
        <w:tc>
          <w:tcPr>
            <w:tcW w:w="692" w:type="pct"/>
            <w:shd w:val="clear" w:color="auto" w:fill="auto"/>
            <w:noWrap/>
            <w:vAlign w:val="center"/>
          </w:tcPr>
          <w:p w14:paraId="37DB3DBA">
            <w:pPr>
              <w:jc w:val="center"/>
              <w:rPr>
                <w:b/>
                <w:color w:val="000000" w:themeColor="text1"/>
                <w:szCs w:val="24"/>
                <w14:textFill>
                  <w14:solidFill>
                    <w14:schemeClr w14:val="tx1"/>
                  </w14:solidFill>
                </w14:textFill>
              </w:rPr>
            </w:pPr>
            <w:r>
              <w:rPr>
                <w:rFonts w:hint="eastAsia"/>
                <w:b/>
                <w:color w:val="000000" w:themeColor="text1"/>
                <w:szCs w:val="24"/>
                <w14:textFill>
                  <w14:solidFill>
                    <w14:schemeClr w14:val="tx1"/>
                  </w14:solidFill>
                </w14:textFill>
              </w:rPr>
              <w:t>标准限值</w:t>
            </w:r>
          </w:p>
        </w:tc>
        <w:tc>
          <w:tcPr>
            <w:tcW w:w="692" w:type="pct"/>
            <w:shd w:val="clear" w:color="auto" w:fill="auto"/>
            <w:noWrap/>
            <w:vAlign w:val="center"/>
          </w:tcPr>
          <w:p w14:paraId="45B115E5">
            <w:pPr>
              <w:jc w:val="center"/>
              <w:rPr>
                <w:b/>
                <w:color w:val="000000" w:themeColor="text1"/>
                <w:szCs w:val="24"/>
                <w14:textFill>
                  <w14:solidFill>
                    <w14:schemeClr w14:val="tx1"/>
                  </w14:solidFill>
                </w14:textFill>
              </w:rPr>
            </w:pPr>
            <w:r>
              <w:rPr>
                <w:rFonts w:hint="eastAsia"/>
                <w:b/>
                <w:color w:val="000000" w:themeColor="text1"/>
                <w:szCs w:val="24"/>
                <w14:textFill>
                  <w14:solidFill>
                    <w14:schemeClr w14:val="tx1"/>
                  </w14:solidFill>
                </w14:textFill>
              </w:rPr>
              <w:t>结果评价</w:t>
            </w:r>
          </w:p>
        </w:tc>
      </w:tr>
      <w:tr w14:paraId="377F8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410" w:type="pct"/>
            <w:shd w:val="clear" w:color="auto" w:fill="auto"/>
            <w:noWrap/>
            <w:vAlign w:val="center"/>
          </w:tcPr>
          <w:p w14:paraId="3D6E241B">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1</w:t>
            </w:r>
          </w:p>
        </w:tc>
        <w:tc>
          <w:tcPr>
            <w:tcW w:w="1278" w:type="pct"/>
            <w:shd w:val="clear" w:color="auto" w:fill="auto"/>
            <w:noWrap/>
            <w:vAlign w:val="center"/>
          </w:tcPr>
          <w:p w14:paraId="48475AA4">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水温</w:t>
            </w:r>
          </w:p>
        </w:tc>
        <w:tc>
          <w:tcPr>
            <w:tcW w:w="1236" w:type="pct"/>
            <w:shd w:val="clear" w:color="auto" w:fill="auto"/>
            <w:noWrap/>
            <w:vAlign w:val="center"/>
          </w:tcPr>
          <w:p w14:paraId="758B67D5">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w:t>
            </w:r>
          </w:p>
        </w:tc>
        <w:tc>
          <w:tcPr>
            <w:tcW w:w="692" w:type="pct"/>
            <w:shd w:val="clear" w:color="auto" w:fill="auto"/>
            <w:noWrap/>
            <w:vAlign w:val="center"/>
          </w:tcPr>
          <w:p w14:paraId="51E6DD98">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10</w:t>
            </w:r>
          </w:p>
        </w:tc>
        <w:tc>
          <w:tcPr>
            <w:tcW w:w="692" w:type="pct"/>
            <w:shd w:val="clear" w:color="auto" w:fill="auto"/>
            <w:noWrap/>
            <w:vAlign w:val="center"/>
          </w:tcPr>
          <w:p w14:paraId="782D3667">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w:t>
            </w:r>
          </w:p>
        </w:tc>
        <w:tc>
          <w:tcPr>
            <w:tcW w:w="692" w:type="pct"/>
            <w:shd w:val="clear" w:color="auto" w:fill="auto"/>
            <w:noWrap/>
            <w:vAlign w:val="center"/>
          </w:tcPr>
          <w:p w14:paraId="50E16671">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w:t>
            </w:r>
          </w:p>
        </w:tc>
      </w:tr>
      <w:tr w14:paraId="3AC657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410" w:type="pct"/>
            <w:shd w:val="clear" w:color="auto" w:fill="auto"/>
            <w:noWrap/>
            <w:vAlign w:val="center"/>
          </w:tcPr>
          <w:p w14:paraId="00787489">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2</w:t>
            </w:r>
          </w:p>
        </w:tc>
        <w:tc>
          <w:tcPr>
            <w:tcW w:w="1278" w:type="pct"/>
            <w:shd w:val="clear" w:color="auto" w:fill="auto"/>
            <w:vAlign w:val="center"/>
          </w:tcPr>
          <w:p w14:paraId="3755B719">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硫酸盐</w:t>
            </w:r>
          </w:p>
        </w:tc>
        <w:tc>
          <w:tcPr>
            <w:tcW w:w="1236" w:type="pct"/>
            <w:shd w:val="clear" w:color="auto" w:fill="auto"/>
            <w:vAlign w:val="center"/>
          </w:tcPr>
          <w:p w14:paraId="1B801923">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mg/L</w:t>
            </w:r>
          </w:p>
        </w:tc>
        <w:tc>
          <w:tcPr>
            <w:tcW w:w="692" w:type="pct"/>
            <w:shd w:val="clear" w:color="auto" w:fill="auto"/>
            <w:vAlign w:val="center"/>
          </w:tcPr>
          <w:p w14:paraId="1A1CF270">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35.4</w:t>
            </w:r>
          </w:p>
        </w:tc>
        <w:tc>
          <w:tcPr>
            <w:tcW w:w="692" w:type="pct"/>
            <w:shd w:val="clear" w:color="auto" w:fill="auto"/>
            <w:vAlign w:val="center"/>
          </w:tcPr>
          <w:p w14:paraId="2A3C02D3">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250</w:t>
            </w:r>
          </w:p>
        </w:tc>
        <w:tc>
          <w:tcPr>
            <w:tcW w:w="692" w:type="pct"/>
            <w:shd w:val="clear" w:color="auto" w:fill="auto"/>
            <w:vAlign w:val="center"/>
          </w:tcPr>
          <w:p w14:paraId="74A81F62">
            <w:pPr>
              <w:jc w:val="center"/>
              <w:rPr>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Ⅰ</w:t>
            </w:r>
          </w:p>
        </w:tc>
      </w:tr>
      <w:tr w14:paraId="3818A8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410" w:type="pct"/>
            <w:shd w:val="clear" w:color="auto" w:fill="auto"/>
            <w:noWrap/>
            <w:vAlign w:val="center"/>
          </w:tcPr>
          <w:p w14:paraId="0C6AD485">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3</w:t>
            </w:r>
          </w:p>
        </w:tc>
        <w:tc>
          <w:tcPr>
            <w:tcW w:w="1278" w:type="pct"/>
            <w:shd w:val="clear" w:color="auto" w:fill="auto"/>
            <w:vAlign w:val="center"/>
          </w:tcPr>
          <w:p w14:paraId="7C70E0B4">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氯化物</w:t>
            </w:r>
          </w:p>
        </w:tc>
        <w:tc>
          <w:tcPr>
            <w:tcW w:w="1236" w:type="pct"/>
            <w:shd w:val="clear" w:color="auto" w:fill="auto"/>
            <w:vAlign w:val="center"/>
          </w:tcPr>
          <w:p w14:paraId="7C7A2539">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mg/L</w:t>
            </w:r>
          </w:p>
        </w:tc>
        <w:tc>
          <w:tcPr>
            <w:tcW w:w="692" w:type="pct"/>
            <w:shd w:val="clear" w:color="auto" w:fill="auto"/>
            <w:vAlign w:val="center"/>
          </w:tcPr>
          <w:p w14:paraId="110ADDC8">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3.36</w:t>
            </w:r>
          </w:p>
        </w:tc>
        <w:tc>
          <w:tcPr>
            <w:tcW w:w="692" w:type="pct"/>
            <w:shd w:val="clear" w:color="auto" w:fill="auto"/>
            <w:vAlign w:val="center"/>
          </w:tcPr>
          <w:p w14:paraId="513F8743">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250</w:t>
            </w:r>
          </w:p>
        </w:tc>
        <w:tc>
          <w:tcPr>
            <w:tcW w:w="692" w:type="pct"/>
            <w:shd w:val="clear" w:color="auto" w:fill="auto"/>
            <w:vAlign w:val="center"/>
          </w:tcPr>
          <w:p w14:paraId="5F6E6DD3">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Ⅰ</w:t>
            </w:r>
          </w:p>
        </w:tc>
      </w:tr>
      <w:tr w14:paraId="1B2558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410" w:type="pct"/>
            <w:shd w:val="clear" w:color="auto" w:fill="auto"/>
            <w:noWrap/>
            <w:vAlign w:val="center"/>
          </w:tcPr>
          <w:p w14:paraId="3B1216E5">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4</w:t>
            </w:r>
          </w:p>
        </w:tc>
        <w:tc>
          <w:tcPr>
            <w:tcW w:w="1278" w:type="pct"/>
            <w:shd w:val="clear" w:color="auto" w:fill="auto"/>
            <w:vAlign w:val="center"/>
          </w:tcPr>
          <w:p w14:paraId="152F3D1D">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铁</w:t>
            </w:r>
          </w:p>
        </w:tc>
        <w:tc>
          <w:tcPr>
            <w:tcW w:w="1236" w:type="pct"/>
            <w:shd w:val="clear" w:color="auto" w:fill="auto"/>
            <w:vAlign w:val="center"/>
          </w:tcPr>
          <w:p w14:paraId="6E80FD53">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mg/L</w:t>
            </w:r>
          </w:p>
        </w:tc>
        <w:tc>
          <w:tcPr>
            <w:tcW w:w="692" w:type="pct"/>
            <w:shd w:val="clear" w:color="auto" w:fill="auto"/>
            <w:vAlign w:val="center"/>
          </w:tcPr>
          <w:p w14:paraId="0140AA0F">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0.03L</w:t>
            </w:r>
          </w:p>
        </w:tc>
        <w:tc>
          <w:tcPr>
            <w:tcW w:w="692" w:type="pct"/>
            <w:shd w:val="clear" w:color="auto" w:fill="auto"/>
            <w:vAlign w:val="center"/>
          </w:tcPr>
          <w:p w14:paraId="2C5A0AB7">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0.3</w:t>
            </w:r>
          </w:p>
        </w:tc>
        <w:tc>
          <w:tcPr>
            <w:tcW w:w="692" w:type="pct"/>
            <w:shd w:val="clear" w:color="auto" w:fill="auto"/>
            <w:vAlign w:val="center"/>
          </w:tcPr>
          <w:p w14:paraId="3B474A9E">
            <w:pPr>
              <w:jc w:val="center"/>
              <w:rPr>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Ⅰ</w:t>
            </w:r>
          </w:p>
        </w:tc>
      </w:tr>
      <w:tr w14:paraId="4535C7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410" w:type="pct"/>
            <w:shd w:val="clear" w:color="auto" w:fill="auto"/>
            <w:noWrap/>
            <w:vAlign w:val="center"/>
          </w:tcPr>
          <w:p w14:paraId="1B10C5CA">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5</w:t>
            </w:r>
          </w:p>
        </w:tc>
        <w:tc>
          <w:tcPr>
            <w:tcW w:w="1278" w:type="pct"/>
            <w:shd w:val="clear" w:color="auto" w:fill="auto"/>
            <w:vAlign w:val="center"/>
          </w:tcPr>
          <w:p w14:paraId="6245642A">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锰</w:t>
            </w:r>
          </w:p>
        </w:tc>
        <w:tc>
          <w:tcPr>
            <w:tcW w:w="1236" w:type="pct"/>
            <w:shd w:val="clear" w:color="auto" w:fill="auto"/>
            <w:vAlign w:val="center"/>
          </w:tcPr>
          <w:p w14:paraId="5C1CCE73">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mg/L</w:t>
            </w:r>
          </w:p>
        </w:tc>
        <w:tc>
          <w:tcPr>
            <w:tcW w:w="692" w:type="pct"/>
            <w:shd w:val="clear" w:color="auto" w:fill="auto"/>
            <w:vAlign w:val="center"/>
          </w:tcPr>
          <w:p w14:paraId="7DFF8F4D">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0.01L</w:t>
            </w:r>
          </w:p>
        </w:tc>
        <w:tc>
          <w:tcPr>
            <w:tcW w:w="692" w:type="pct"/>
            <w:shd w:val="clear" w:color="auto" w:fill="auto"/>
            <w:vAlign w:val="center"/>
          </w:tcPr>
          <w:p w14:paraId="2E5B0556">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0.1</w:t>
            </w:r>
          </w:p>
        </w:tc>
        <w:tc>
          <w:tcPr>
            <w:tcW w:w="692" w:type="pct"/>
            <w:shd w:val="clear" w:color="auto" w:fill="auto"/>
            <w:vAlign w:val="center"/>
          </w:tcPr>
          <w:p w14:paraId="19C21D24">
            <w:pPr>
              <w:jc w:val="center"/>
              <w:rPr>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Ⅰ</w:t>
            </w:r>
          </w:p>
        </w:tc>
      </w:tr>
      <w:tr w14:paraId="32ACB9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410" w:type="pct"/>
            <w:shd w:val="clear" w:color="auto" w:fill="auto"/>
            <w:noWrap/>
            <w:vAlign w:val="center"/>
          </w:tcPr>
          <w:p w14:paraId="4D7F1C73">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6</w:t>
            </w:r>
          </w:p>
        </w:tc>
        <w:tc>
          <w:tcPr>
            <w:tcW w:w="1278" w:type="pct"/>
            <w:shd w:val="clear" w:color="auto" w:fill="auto"/>
            <w:vAlign w:val="center"/>
          </w:tcPr>
          <w:p w14:paraId="5F7EDDC3">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铜</w:t>
            </w:r>
          </w:p>
        </w:tc>
        <w:tc>
          <w:tcPr>
            <w:tcW w:w="1236" w:type="pct"/>
            <w:shd w:val="clear" w:color="auto" w:fill="auto"/>
            <w:vAlign w:val="center"/>
          </w:tcPr>
          <w:p w14:paraId="52BFFBA7">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mg/L</w:t>
            </w:r>
          </w:p>
        </w:tc>
        <w:tc>
          <w:tcPr>
            <w:tcW w:w="692" w:type="pct"/>
            <w:shd w:val="clear" w:color="auto" w:fill="auto"/>
            <w:vAlign w:val="center"/>
          </w:tcPr>
          <w:p w14:paraId="105DD71F">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0.001L</w:t>
            </w:r>
          </w:p>
        </w:tc>
        <w:tc>
          <w:tcPr>
            <w:tcW w:w="692" w:type="pct"/>
            <w:shd w:val="clear" w:color="auto" w:fill="auto"/>
            <w:vAlign w:val="center"/>
          </w:tcPr>
          <w:p w14:paraId="63D6871C">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1</w:t>
            </w:r>
          </w:p>
        </w:tc>
        <w:tc>
          <w:tcPr>
            <w:tcW w:w="692" w:type="pct"/>
            <w:shd w:val="clear" w:color="auto" w:fill="auto"/>
            <w:vAlign w:val="center"/>
          </w:tcPr>
          <w:p w14:paraId="612D0681">
            <w:pPr>
              <w:jc w:val="center"/>
              <w:rPr>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Ⅰ</w:t>
            </w:r>
          </w:p>
        </w:tc>
      </w:tr>
      <w:tr w14:paraId="4A62CD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410" w:type="pct"/>
            <w:shd w:val="clear" w:color="auto" w:fill="auto"/>
            <w:noWrap/>
            <w:vAlign w:val="center"/>
          </w:tcPr>
          <w:p w14:paraId="4F2F105B">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7</w:t>
            </w:r>
          </w:p>
        </w:tc>
        <w:tc>
          <w:tcPr>
            <w:tcW w:w="1278" w:type="pct"/>
            <w:shd w:val="clear" w:color="auto" w:fill="auto"/>
            <w:vAlign w:val="center"/>
          </w:tcPr>
          <w:p w14:paraId="3586753B">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锌</w:t>
            </w:r>
          </w:p>
        </w:tc>
        <w:tc>
          <w:tcPr>
            <w:tcW w:w="1236" w:type="pct"/>
            <w:shd w:val="clear" w:color="auto" w:fill="auto"/>
            <w:vAlign w:val="center"/>
          </w:tcPr>
          <w:p w14:paraId="2CFFF842">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mg/L</w:t>
            </w:r>
          </w:p>
        </w:tc>
        <w:tc>
          <w:tcPr>
            <w:tcW w:w="692" w:type="pct"/>
            <w:shd w:val="clear" w:color="auto" w:fill="auto"/>
            <w:vAlign w:val="center"/>
          </w:tcPr>
          <w:p w14:paraId="1BB82A52">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0.05L</w:t>
            </w:r>
          </w:p>
        </w:tc>
        <w:tc>
          <w:tcPr>
            <w:tcW w:w="692" w:type="pct"/>
            <w:shd w:val="clear" w:color="auto" w:fill="auto"/>
            <w:vAlign w:val="center"/>
          </w:tcPr>
          <w:p w14:paraId="6DB99831">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1</w:t>
            </w:r>
          </w:p>
        </w:tc>
        <w:tc>
          <w:tcPr>
            <w:tcW w:w="692" w:type="pct"/>
            <w:shd w:val="clear" w:color="auto" w:fill="auto"/>
            <w:vAlign w:val="center"/>
          </w:tcPr>
          <w:p w14:paraId="323F3D59">
            <w:pPr>
              <w:jc w:val="center"/>
              <w:rPr>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Ⅰ</w:t>
            </w:r>
          </w:p>
        </w:tc>
      </w:tr>
      <w:tr w14:paraId="1D0A47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410" w:type="pct"/>
            <w:shd w:val="clear" w:color="auto" w:fill="auto"/>
            <w:noWrap/>
            <w:vAlign w:val="center"/>
          </w:tcPr>
          <w:p w14:paraId="16CC16C1">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8</w:t>
            </w:r>
          </w:p>
        </w:tc>
        <w:tc>
          <w:tcPr>
            <w:tcW w:w="1278" w:type="pct"/>
            <w:shd w:val="clear" w:color="auto" w:fill="auto"/>
            <w:vAlign w:val="center"/>
          </w:tcPr>
          <w:p w14:paraId="55F574F4">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挥发酚</w:t>
            </w:r>
          </w:p>
        </w:tc>
        <w:tc>
          <w:tcPr>
            <w:tcW w:w="1236" w:type="pct"/>
            <w:shd w:val="clear" w:color="auto" w:fill="auto"/>
            <w:vAlign w:val="center"/>
          </w:tcPr>
          <w:p w14:paraId="2FFA3348">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mg/L</w:t>
            </w:r>
          </w:p>
        </w:tc>
        <w:tc>
          <w:tcPr>
            <w:tcW w:w="692" w:type="pct"/>
            <w:shd w:val="clear" w:color="auto" w:fill="auto"/>
            <w:vAlign w:val="center"/>
          </w:tcPr>
          <w:p w14:paraId="71F019A2">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0.0003L</w:t>
            </w:r>
          </w:p>
        </w:tc>
        <w:tc>
          <w:tcPr>
            <w:tcW w:w="692" w:type="pct"/>
            <w:shd w:val="clear" w:color="auto" w:fill="auto"/>
            <w:vAlign w:val="center"/>
          </w:tcPr>
          <w:p w14:paraId="2C8DA67C">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0.005</w:t>
            </w:r>
          </w:p>
        </w:tc>
        <w:tc>
          <w:tcPr>
            <w:tcW w:w="692" w:type="pct"/>
            <w:shd w:val="clear" w:color="auto" w:fill="auto"/>
            <w:vAlign w:val="center"/>
          </w:tcPr>
          <w:p w14:paraId="338527D9">
            <w:pPr>
              <w:jc w:val="center"/>
              <w:rPr>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Ⅰ</w:t>
            </w:r>
          </w:p>
        </w:tc>
      </w:tr>
      <w:tr w14:paraId="266415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410" w:type="pct"/>
            <w:shd w:val="clear" w:color="auto" w:fill="auto"/>
            <w:noWrap/>
            <w:vAlign w:val="center"/>
          </w:tcPr>
          <w:p w14:paraId="37A12093">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9</w:t>
            </w:r>
          </w:p>
        </w:tc>
        <w:tc>
          <w:tcPr>
            <w:tcW w:w="1278" w:type="pct"/>
            <w:shd w:val="clear" w:color="auto" w:fill="auto"/>
            <w:vAlign w:val="center"/>
          </w:tcPr>
          <w:p w14:paraId="7CFA9AE1">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阴离子表面活性剂</w:t>
            </w:r>
          </w:p>
        </w:tc>
        <w:tc>
          <w:tcPr>
            <w:tcW w:w="1236" w:type="pct"/>
            <w:shd w:val="clear" w:color="auto" w:fill="auto"/>
            <w:vAlign w:val="center"/>
          </w:tcPr>
          <w:p w14:paraId="1C12CDBB">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mg/L</w:t>
            </w:r>
          </w:p>
        </w:tc>
        <w:tc>
          <w:tcPr>
            <w:tcW w:w="692" w:type="pct"/>
            <w:shd w:val="clear" w:color="auto" w:fill="auto"/>
            <w:vAlign w:val="center"/>
          </w:tcPr>
          <w:p w14:paraId="617456FB">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0.05L</w:t>
            </w:r>
          </w:p>
        </w:tc>
        <w:tc>
          <w:tcPr>
            <w:tcW w:w="692" w:type="pct"/>
            <w:shd w:val="clear" w:color="auto" w:fill="auto"/>
            <w:vAlign w:val="center"/>
          </w:tcPr>
          <w:p w14:paraId="7ECBF822">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0.3</w:t>
            </w:r>
          </w:p>
        </w:tc>
        <w:tc>
          <w:tcPr>
            <w:tcW w:w="692" w:type="pct"/>
            <w:shd w:val="clear" w:color="auto" w:fill="auto"/>
            <w:vAlign w:val="center"/>
          </w:tcPr>
          <w:p w14:paraId="623CF30D">
            <w:pPr>
              <w:jc w:val="center"/>
              <w:rPr>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Ⅰ</w:t>
            </w:r>
          </w:p>
        </w:tc>
      </w:tr>
      <w:tr w14:paraId="276D93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410" w:type="pct"/>
            <w:shd w:val="clear" w:color="auto" w:fill="auto"/>
            <w:noWrap/>
            <w:vAlign w:val="center"/>
          </w:tcPr>
          <w:p w14:paraId="198E7CF8">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10</w:t>
            </w:r>
          </w:p>
        </w:tc>
        <w:tc>
          <w:tcPr>
            <w:tcW w:w="1278" w:type="pct"/>
            <w:shd w:val="clear" w:color="auto" w:fill="auto"/>
            <w:vAlign w:val="center"/>
          </w:tcPr>
          <w:p w14:paraId="53353E45">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高锰酸盐指数</w:t>
            </w:r>
          </w:p>
        </w:tc>
        <w:tc>
          <w:tcPr>
            <w:tcW w:w="1236" w:type="pct"/>
            <w:shd w:val="clear" w:color="auto" w:fill="auto"/>
            <w:vAlign w:val="center"/>
          </w:tcPr>
          <w:p w14:paraId="0B20D3D5">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mg/L</w:t>
            </w:r>
          </w:p>
        </w:tc>
        <w:tc>
          <w:tcPr>
            <w:tcW w:w="692" w:type="pct"/>
            <w:shd w:val="clear" w:color="auto" w:fill="auto"/>
            <w:vAlign w:val="center"/>
          </w:tcPr>
          <w:p w14:paraId="25EAD528">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2.3</w:t>
            </w:r>
          </w:p>
        </w:tc>
        <w:tc>
          <w:tcPr>
            <w:tcW w:w="692" w:type="pct"/>
            <w:shd w:val="clear" w:color="auto" w:fill="auto"/>
            <w:vAlign w:val="center"/>
          </w:tcPr>
          <w:p w14:paraId="7A0D335C">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3</w:t>
            </w:r>
          </w:p>
        </w:tc>
        <w:tc>
          <w:tcPr>
            <w:tcW w:w="692" w:type="pct"/>
            <w:shd w:val="clear" w:color="auto" w:fill="auto"/>
            <w:vAlign w:val="center"/>
          </w:tcPr>
          <w:p w14:paraId="736E0F7F">
            <w:pPr>
              <w:jc w:val="center"/>
              <w:rPr>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Ⅲ</w:t>
            </w:r>
          </w:p>
        </w:tc>
      </w:tr>
      <w:tr w14:paraId="5A1913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410" w:type="pct"/>
            <w:shd w:val="clear" w:color="auto" w:fill="auto"/>
            <w:noWrap/>
            <w:vAlign w:val="center"/>
          </w:tcPr>
          <w:p w14:paraId="6E9D349B">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11</w:t>
            </w:r>
          </w:p>
        </w:tc>
        <w:tc>
          <w:tcPr>
            <w:tcW w:w="1278" w:type="pct"/>
            <w:shd w:val="clear" w:color="auto" w:fill="auto"/>
            <w:vAlign w:val="center"/>
          </w:tcPr>
          <w:p w14:paraId="00A59301">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氨氮</w:t>
            </w:r>
          </w:p>
        </w:tc>
        <w:tc>
          <w:tcPr>
            <w:tcW w:w="1236" w:type="pct"/>
            <w:shd w:val="clear" w:color="auto" w:fill="auto"/>
            <w:vAlign w:val="center"/>
          </w:tcPr>
          <w:p w14:paraId="41E7A7BD">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mg/L</w:t>
            </w:r>
          </w:p>
        </w:tc>
        <w:tc>
          <w:tcPr>
            <w:tcW w:w="692" w:type="pct"/>
            <w:shd w:val="clear" w:color="auto" w:fill="auto"/>
            <w:vAlign w:val="center"/>
          </w:tcPr>
          <w:p w14:paraId="3AE8863F">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0.25</w:t>
            </w:r>
          </w:p>
        </w:tc>
        <w:tc>
          <w:tcPr>
            <w:tcW w:w="692" w:type="pct"/>
            <w:shd w:val="clear" w:color="auto" w:fill="auto"/>
            <w:vAlign w:val="center"/>
          </w:tcPr>
          <w:p w14:paraId="09A578A6">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0.5</w:t>
            </w:r>
          </w:p>
        </w:tc>
        <w:tc>
          <w:tcPr>
            <w:tcW w:w="692" w:type="pct"/>
            <w:shd w:val="clear" w:color="auto" w:fill="auto"/>
            <w:vAlign w:val="center"/>
          </w:tcPr>
          <w:p w14:paraId="597313A8">
            <w:pPr>
              <w:jc w:val="center"/>
              <w:rPr>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Ⅲ</w:t>
            </w:r>
          </w:p>
        </w:tc>
      </w:tr>
      <w:tr w14:paraId="2CA155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410" w:type="pct"/>
            <w:shd w:val="clear" w:color="auto" w:fill="auto"/>
            <w:noWrap/>
            <w:vAlign w:val="center"/>
          </w:tcPr>
          <w:p w14:paraId="3C19A8F1">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12</w:t>
            </w:r>
          </w:p>
        </w:tc>
        <w:tc>
          <w:tcPr>
            <w:tcW w:w="1278" w:type="pct"/>
            <w:shd w:val="clear" w:color="auto" w:fill="auto"/>
            <w:vAlign w:val="center"/>
          </w:tcPr>
          <w:p w14:paraId="54122AEF">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硫化物</w:t>
            </w:r>
          </w:p>
        </w:tc>
        <w:tc>
          <w:tcPr>
            <w:tcW w:w="1236" w:type="pct"/>
            <w:shd w:val="clear" w:color="auto" w:fill="auto"/>
            <w:vAlign w:val="center"/>
          </w:tcPr>
          <w:p w14:paraId="638D05C1">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mg/L</w:t>
            </w:r>
          </w:p>
        </w:tc>
        <w:tc>
          <w:tcPr>
            <w:tcW w:w="692" w:type="pct"/>
            <w:shd w:val="clear" w:color="auto" w:fill="auto"/>
            <w:vAlign w:val="center"/>
          </w:tcPr>
          <w:p w14:paraId="47210108">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0.005L</w:t>
            </w:r>
          </w:p>
        </w:tc>
        <w:tc>
          <w:tcPr>
            <w:tcW w:w="692" w:type="pct"/>
            <w:shd w:val="clear" w:color="auto" w:fill="auto"/>
            <w:vAlign w:val="center"/>
          </w:tcPr>
          <w:p w14:paraId="392CF8C4">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0.02</w:t>
            </w:r>
          </w:p>
        </w:tc>
        <w:tc>
          <w:tcPr>
            <w:tcW w:w="692" w:type="pct"/>
            <w:shd w:val="clear" w:color="auto" w:fill="auto"/>
            <w:vAlign w:val="center"/>
          </w:tcPr>
          <w:p w14:paraId="4892CDC9">
            <w:pPr>
              <w:jc w:val="center"/>
              <w:rPr>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Ⅰ</w:t>
            </w:r>
          </w:p>
        </w:tc>
      </w:tr>
      <w:tr w14:paraId="6CDC7F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410" w:type="pct"/>
            <w:shd w:val="clear" w:color="auto" w:fill="auto"/>
            <w:noWrap/>
            <w:vAlign w:val="center"/>
          </w:tcPr>
          <w:p w14:paraId="01E4FBB3">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13</w:t>
            </w:r>
          </w:p>
        </w:tc>
        <w:tc>
          <w:tcPr>
            <w:tcW w:w="1278" w:type="pct"/>
            <w:shd w:val="clear" w:color="auto" w:fill="auto"/>
            <w:vAlign w:val="center"/>
          </w:tcPr>
          <w:p w14:paraId="7C00B881">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硝酸盐</w:t>
            </w:r>
          </w:p>
        </w:tc>
        <w:tc>
          <w:tcPr>
            <w:tcW w:w="1236" w:type="pct"/>
            <w:shd w:val="clear" w:color="auto" w:fill="auto"/>
            <w:vAlign w:val="center"/>
          </w:tcPr>
          <w:p w14:paraId="4E86F71E">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mg/L</w:t>
            </w:r>
          </w:p>
        </w:tc>
        <w:tc>
          <w:tcPr>
            <w:tcW w:w="692" w:type="pct"/>
            <w:shd w:val="clear" w:color="auto" w:fill="auto"/>
            <w:vAlign w:val="center"/>
          </w:tcPr>
          <w:p w14:paraId="3C728860">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0.95</w:t>
            </w:r>
          </w:p>
        </w:tc>
        <w:tc>
          <w:tcPr>
            <w:tcW w:w="692" w:type="pct"/>
            <w:shd w:val="clear" w:color="auto" w:fill="auto"/>
            <w:vAlign w:val="center"/>
          </w:tcPr>
          <w:p w14:paraId="34F93ABE">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20</w:t>
            </w:r>
          </w:p>
        </w:tc>
        <w:tc>
          <w:tcPr>
            <w:tcW w:w="692" w:type="pct"/>
            <w:shd w:val="clear" w:color="auto" w:fill="auto"/>
            <w:vAlign w:val="center"/>
          </w:tcPr>
          <w:p w14:paraId="6FD2F208">
            <w:pPr>
              <w:jc w:val="center"/>
              <w:rPr>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Ⅰ</w:t>
            </w:r>
          </w:p>
        </w:tc>
      </w:tr>
      <w:tr w14:paraId="7260E2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410" w:type="pct"/>
            <w:shd w:val="clear" w:color="auto" w:fill="auto"/>
            <w:noWrap/>
            <w:vAlign w:val="center"/>
          </w:tcPr>
          <w:p w14:paraId="19484883">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14</w:t>
            </w:r>
          </w:p>
        </w:tc>
        <w:tc>
          <w:tcPr>
            <w:tcW w:w="1278" w:type="pct"/>
            <w:shd w:val="clear" w:color="auto" w:fill="auto"/>
            <w:vAlign w:val="center"/>
          </w:tcPr>
          <w:p w14:paraId="50B6A56F">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氰化物</w:t>
            </w:r>
          </w:p>
        </w:tc>
        <w:tc>
          <w:tcPr>
            <w:tcW w:w="1236" w:type="pct"/>
            <w:shd w:val="clear" w:color="auto" w:fill="auto"/>
            <w:vAlign w:val="center"/>
          </w:tcPr>
          <w:p w14:paraId="0DADCFBE">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mg/L</w:t>
            </w:r>
          </w:p>
        </w:tc>
        <w:tc>
          <w:tcPr>
            <w:tcW w:w="692" w:type="pct"/>
            <w:shd w:val="clear" w:color="auto" w:fill="auto"/>
            <w:vAlign w:val="center"/>
          </w:tcPr>
          <w:p w14:paraId="0796D42C">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0.004L</w:t>
            </w:r>
          </w:p>
        </w:tc>
        <w:tc>
          <w:tcPr>
            <w:tcW w:w="692" w:type="pct"/>
            <w:shd w:val="clear" w:color="auto" w:fill="auto"/>
            <w:vAlign w:val="center"/>
          </w:tcPr>
          <w:p w14:paraId="60F0F5C6">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0.2</w:t>
            </w:r>
          </w:p>
        </w:tc>
        <w:tc>
          <w:tcPr>
            <w:tcW w:w="692" w:type="pct"/>
            <w:shd w:val="clear" w:color="auto" w:fill="auto"/>
            <w:vAlign w:val="center"/>
          </w:tcPr>
          <w:p w14:paraId="1B21FDA1">
            <w:pPr>
              <w:jc w:val="center"/>
              <w:rPr>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Ⅰ</w:t>
            </w:r>
          </w:p>
        </w:tc>
      </w:tr>
      <w:tr w14:paraId="03A9CB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410" w:type="pct"/>
            <w:shd w:val="clear" w:color="auto" w:fill="auto"/>
            <w:noWrap/>
            <w:vAlign w:val="center"/>
          </w:tcPr>
          <w:p w14:paraId="0D294EF8">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15</w:t>
            </w:r>
          </w:p>
        </w:tc>
        <w:tc>
          <w:tcPr>
            <w:tcW w:w="1278" w:type="pct"/>
            <w:shd w:val="clear" w:color="auto" w:fill="auto"/>
            <w:vAlign w:val="center"/>
          </w:tcPr>
          <w:p w14:paraId="18FE8EED">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氟化物</w:t>
            </w:r>
          </w:p>
        </w:tc>
        <w:tc>
          <w:tcPr>
            <w:tcW w:w="1236" w:type="pct"/>
            <w:shd w:val="clear" w:color="auto" w:fill="auto"/>
            <w:vAlign w:val="center"/>
          </w:tcPr>
          <w:p w14:paraId="3506F51D">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mg/L</w:t>
            </w:r>
          </w:p>
        </w:tc>
        <w:tc>
          <w:tcPr>
            <w:tcW w:w="692" w:type="pct"/>
            <w:shd w:val="clear" w:color="auto" w:fill="auto"/>
            <w:vAlign w:val="center"/>
          </w:tcPr>
          <w:p w14:paraId="3BD867CC">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0.118</w:t>
            </w:r>
          </w:p>
        </w:tc>
        <w:tc>
          <w:tcPr>
            <w:tcW w:w="692" w:type="pct"/>
            <w:shd w:val="clear" w:color="auto" w:fill="auto"/>
            <w:vAlign w:val="center"/>
          </w:tcPr>
          <w:p w14:paraId="63770BF1">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1</w:t>
            </w:r>
          </w:p>
        </w:tc>
        <w:tc>
          <w:tcPr>
            <w:tcW w:w="692" w:type="pct"/>
            <w:shd w:val="clear" w:color="auto" w:fill="auto"/>
            <w:vAlign w:val="center"/>
          </w:tcPr>
          <w:p w14:paraId="7F197089">
            <w:pPr>
              <w:jc w:val="center"/>
              <w:rPr>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Ⅰ</w:t>
            </w:r>
          </w:p>
        </w:tc>
      </w:tr>
      <w:tr w14:paraId="7F5D88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410" w:type="pct"/>
            <w:shd w:val="clear" w:color="auto" w:fill="auto"/>
            <w:noWrap/>
            <w:vAlign w:val="center"/>
          </w:tcPr>
          <w:p w14:paraId="5A63C004">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16</w:t>
            </w:r>
          </w:p>
        </w:tc>
        <w:tc>
          <w:tcPr>
            <w:tcW w:w="1278" w:type="pct"/>
            <w:shd w:val="clear" w:color="auto" w:fill="auto"/>
            <w:vAlign w:val="center"/>
          </w:tcPr>
          <w:p w14:paraId="2C7AACFF">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汞</w:t>
            </w:r>
          </w:p>
        </w:tc>
        <w:tc>
          <w:tcPr>
            <w:tcW w:w="1236" w:type="pct"/>
            <w:shd w:val="clear" w:color="auto" w:fill="auto"/>
            <w:vAlign w:val="center"/>
          </w:tcPr>
          <w:p w14:paraId="2B7FDF8C">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mg/L</w:t>
            </w:r>
          </w:p>
        </w:tc>
        <w:tc>
          <w:tcPr>
            <w:tcW w:w="692" w:type="pct"/>
            <w:shd w:val="clear" w:color="auto" w:fill="auto"/>
            <w:vAlign w:val="center"/>
          </w:tcPr>
          <w:p w14:paraId="715400A0">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0.00004L</w:t>
            </w:r>
          </w:p>
        </w:tc>
        <w:tc>
          <w:tcPr>
            <w:tcW w:w="692" w:type="pct"/>
            <w:shd w:val="clear" w:color="auto" w:fill="auto"/>
            <w:vAlign w:val="center"/>
          </w:tcPr>
          <w:p w14:paraId="6FD9C05B">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0.001</w:t>
            </w:r>
          </w:p>
        </w:tc>
        <w:tc>
          <w:tcPr>
            <w:tcW w:w="692" w:type="pct"/>
            <w:shd w:val="clear" w:color="auto" w:fill="auto"/>
            <w:vAlign w:val="center"/>
          </w:tcPr>
          <w:p w14:paraId="06D2CD5B">
            <w:pPr>
              <w:jc w:val="center"/>
              <w:rPr>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Ⅰ</w:t>
            </w:r>
          </w:p>
        </w:tc>
      </w:tr>
      <w:tr w14:paraId="6F009B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410" w:type="pct"/>
            <w:shd w:val="clear" w:color="auto" w:fill="auto"/>
            <w:noWrap/>
            <w:vAlign w:val="center"/>
          </w:tcPr>
          <w:p w14:paraId="227A230D">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17</w:t>
            </w:r>
          </w:p>
        </w:tc>
        <w:tc>
          <w:tcPr>
            <w:tcW w:w="1278" w:type="pct"/>
            <w:shd w:val="clear" w:color="auto" w:fill="auto"/>
            <w:vAlign w:val="center"/>
          </w:tcPr>
          <w:p w14:paraId="2D521029">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砷</w:t>
            </w:r>
          </w:p>
        </w:tc>
        <w:tc>
          <w:tcPr>
            <w:tcW w:w="1236" w:type="pct"/>
            <w:shd w:val="clear" w:color="auto" w:fill="auto"/>
            <w:vAlign w:val="center"/>
          </w:tcPr>
          <w:p w14:paraId="33A7B83D">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mg/L</w:t>
            </w:r>
          </w:p>
        </w:tc>
        <w:tc>
          <w:tcPr>
            <w:tcW w:w="692" w:type="pct"/>
            <w:shd w:val="clear" w:color="auto" w:fill="auto"/>
            <w:vAlign w:val="center"/>
          </w:tcPr>
          <w:p w14:paraId="37BE5C33">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0.0004L</w:t>
            </w:r>
          </w:p>
        </w:tc>
        <w:tc>
          <w:tcPr>
            <w:tcW w:w="692" w:type="pct"/>
            <w:shd w:val="clear" w:color="auto" w:fill="auto"/>
            <w:vAlign w:val="center"/>
          </w:tcPr>
          <w:p w14:paraId="0ACB85D8">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0.01</w:t>
            </w:r>
          </w:p>
        </w:tc>
        <w:tc>
          <w:tcPr>
            <w:tcW w:w="692" w:type="pct"/>
            <w:shd w:val="clear" w:color="auto" w:fill="auto"/>
            <w:vAlign w:val="center"/>
          </w:tcPr>
          <w:p w14:paraId="3CB8B4C6">
            <w:pPr>
              <w:jc w:val="center"/>
              <w:rPr>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Ⅰ</w:t>
            </w:r>
          </w:p>
        </w:tc>
      </w:tr>
      <w:tr w14:paraId="77E171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410" w:type="pct"/>
            <w:shd w:val="clear" w:color="auto" w:fill="auto"/>
            <w:noWrap/>
            <w:vAlign w:val="center"/>
          </w:tcPr>
          <w:p w14:paraId="2ADDF657">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18</w:t>
            </w:r>
          </w:p>
        </w:tc>
        <w:tc>
          <w:tcPr>
            <w:tcW w:w="1278" w:type="pct"/>
            <w:shd w:val="clear" w:color="auto" w:fill="auto"/>
            <w:vAlign w:val="center"/>
          </w:tcPr>
          <w:p w14:paraId="2B59B2D4">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硒</w:t>
            </w:r>
          </w:p>
        </w:tc>
        <w:tc>
          <w:tcPr>
            <w:tcW w:w="1236" w:type="pct"/>
            <w:shd w:val="clear" w:color="auto" w:fill="auto"/>
            <w:vAlign w:val="center"/>
          </w:tcPr>
          <w:p w14:paraId="017FEEA8">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mg/L</w:t>
            </w:r>
          </w:p>
        </w:tc>
        <w:tc>
          <w:tcPr>
            <w:tcW w:w="692" w:type="pct"/>
            <w:shd w:val="clear" w:color="auto" w:fill="auto"/>
            <w:vAlign w:val="center"/>
          </w:tcPr>
          <w:p w14:paraId="00035BCF">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0.0003L</w:t>
            </w:r>
          </w:p>
        </w:tc>
        <w:tc>
          <w:tcPr>
            <w:tcW w:w="692" w:type="pct"/>
            <w:shd w:val="clear" w:color="auto" w:fill="auto"/>
            <w:vAlign w:val="center"/>
          </w:tcPr>
          <w:p w14:paraId="6E06D028">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0.01</w:t>
            </w:r>
          </w:p>
        </w:tc>
        <w:tc>
          <w:tcPr>
            <w:tcW w:w="692" w:type="pct"/>
            <w:shd w:val="clear" w:color="auto" w:fill="auto"/>
            <w:vAlign w:val="center"/>
          </w:tcPr>
          <w:p w14:paraId="07A8C9D1">
            <w:pPr>
              <w:jc w:val="center"/>
              <w:rPr>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Ⅰ</w:t>
            </w:r>
          </w:p>
        </w:tc>
      </w:tr>
      <w:tr w14:paraId="30F877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410" w:type="pct"/>
            <w:shd w:val="clear" w:color="auto" w:fill="auto"/>
            <w:noWrap/>
            <w:vAlign w:val="center"/>
          </w:tcPr>
          <w:p w14:paraId="34A23AF1">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19</w:t>
            </w:r>
          </w:p>
        </w:tc>
        <w:tc>
          <w:tcPr>
            <w:tcW w:w="1278" w:type="pct"/>
            <w:shd w:val="clear" w:color="auto" w:fill="auto"/>
            <w:vAlign w:val="center"/>
          </w:tcPr>
          <w:p w14:paraId="1AA1B0BA">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镉</w:t>
            </w:r>
          </w:p>
        </w:tc>
        <w:tc>
          <w:tcPr>
            <w:tcW w:w="1236" w:type="pct"/>
            <w:shd w:val="clear" w:color="auto" w:fill="auto"/>
            <w:vAlign w:val="center"/>
          </w:tcPr>
          <w:p w14:paraId="42FAA271">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mg/L</w:t>
            </w:r>
          </w:p>
        </w:tc>
        <w:tc>
          <w:tcPr>
            <w:tcW w:w="692" w:type="pct"/>
            <w:shd w:val="clear" w:color="auto" w:fill="auto"/>
            <w:vAlign w:val="center"/>
          </w:tcPr>
          <w:p w14:paraId="2D87BBA6">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0.001L</w:t>
            </w:r>
          </w:p>
        </w:tc>
        <w:tc>
          <w:tcPr>
            <w:tcW w:w="692" w:type="pct"/>
            <w:shd w:val="clear" w:color="auto" w:fill="auto"/>
            <w:vAlign w:val="center"/>
          </w:tcPr>
          <w:p w14:paraId="71B3C6DE">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0.005</w:t>
            </w:r>
          </w:p>
        </w:tc>
        <w:tc>
          <w:tcPr>
            <w:tcW w:w="692" w:type="pct"/>
            <w:shd w:val="clear" w:color="auto" w:fill="auto"/>
            <w:vAlign w:val="center"/>
          </w:tcPr>
          <w:p w14:paraId="16E3A83C">
            <w:pPr>
              <w:jc w:val="center"/>
              <w:rPr>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Ⅰ</w:t>
            </w:r>
          </w:p>
        </w:tc>
      </w:tr>
      <w:tr w14:paraId="01230E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410" w:type="pct"/>
            <w:shd w:val="clear" w:color="auto" w:fill="auto"/>
            <w:noWrap/>
            <w:vAlign w:val="center"/>
          </w:tcPr>
          <w:p w14:paraId="2616057D">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20</w:t>
            </w:r>
          </w:p>
        </w:tc>
        <w:tc>
          <w:tcPr>
            <w:tcW w:w="1278" w:type="pct"/>
            <w:shd w:val="clear" w:color="auto" w:fill="auto"/>
            <w:vAlign w:val="center"/>
          </w:tcPr>
          <w:p w14:paraId="0F5753AD">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六价铬</w:t>
            </w:r>
          </w:p>
        </w:tc>
        <w:tc>
          <w:tcPr>
            <w:tcW w:w="1236" w:type="pct"/>
            <w:shd w:val="clear" w:color="auto" w:fill="auto"/>
            <w:vAlign w:val="center"/>
          </w:tcPr>
          <w:p w14:paraId="16D472B5">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mg/L</w:t>
            </w:r>
          </w:p>
        </w:tc>
        <w:tc>
          <w:tcPr>
            <w:tcW w:w="692" w:type="pct"/>
            <w:shd w:val="clear" w:color="auto" w:fill="auto"/>
            <w:vAlign w:val="center"/>
          </w:tcPr>
          <w:p w14:paraId="6E057B36">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0.004</w:t>
            </w:r>
          </w:p>
        </w:tc>
        <w:tc>
          <w:tcPr>
            <w:tcW w:w="692" w:type="pct"/>
            <w:shd w:val="clear" w:color="auto" w:fill="auto"/>
            <w:vAlign w:val="center"/>
          </w:tcPr>
          <w:p w14:paraId="3F9196A4">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0.05</w:t>
            </w:r>
          </w:p>
        </w:tc>
        <w:tc>
          <w:tcPr>
            <w:tcW w:w="692" w:type="pct"/>
            <w:shd w:val="clear" w:color="auto" w:fill="auto"/>
            <w:vAlign w:val="center"/>
          </w:tcPr>
          <w:p w14:paraId="0EBC6A34">
            <w:pPr>
              <w:jc w:val="center"/>
              <w:rPr>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Ⅰ</w:t>
            </w:r>
          </w:p>
        </w:tc>
      </w:tr>
      <w:tr w14:paraId="71F7B0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410" w:type="pct"/>
            <w:shd w:val="clear" w:color="auto" w:fill="auto"/>
            <w:noWrap/>
            <w:vAlign w:val="center"/>
          </w:tcPr>
          <w:p w14:paraId="771C112E">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21</w:t>
            </w:r>
          </w:p>
        </w:tc>
        <w:tc>
          <w:tcPr>
            <w:tcW w:w="1278" w:type="pct"/>
            <w:shd w:val="clear" w:color="auto" w:fill="auto"/>
            <w:vAlign w:val="center"/>
          </w:tcPr>
          <w:p w14:paraId="37B86E19">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铅</w:t>
            </w:r>
          </w:p>
        </w:tc>
        <w:tc>
          <w:tcPr>
            <w:tcW w:w="1236" w:type="pct"/>
            <w:shd w:val="clear" w:color="auto" w:fill="auto"/>
            <w:vAlign w:val="center"/>
          </w:tcPr>
          <w:p w14:paraId="711A2339">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mg/L</w:t>
            </w:r>
          </w:p>
        </w:tc>
        <w:tc>
          <w:tcPr>
            <w:tcW w:w="692" w:type="pct"/>
            <w:shd w:val="clear" w:color="auto" w:fill="auto"/>
            <w:vAlign w:val="center"/>
          </w:tcPr>
          <w:p w14:paraId="203EB6C5">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0.01L</w:t>
            </w:r>
          </w:p>
        </w:tc>
        <w:tc>
          <w:tcPr>
            <w:tcW w:w="692" w:type="pct"/>
            <w:shd w:val="clear" w:color="auto" w:fill="auto"/>
            <w:vAlign w:val="center"/>
          </w:tcPr>
          <w:p w14:paraId="791F3E2C">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0.01</w:t>
            </w:r>
          </w:p>
        </w:tc>
        <w:tc>
          <w:tcPr>
            <w:tcW w:w="692" w:type="pct"/>
            <w:shd w:val="clear" w:color="auto" w:fill="auto"/>
            <w:vAlign w:val="center"/>
          </w:tcPr>
          <w:p w14:paraId="761A9FFF">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Ⅰ</w:t>
            </w:r>
          </w:p>
        </w:tc>
      </w:tr>
      <w:tr w14:paraId="7613F3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10" w:type="pct"/>
            <w:shd w:val="clear" w:color="auto" w:fill="auto"/>
            <w:noWrap/>
            <w:vAlign w:val="center"/>
          </w:tcPr>
          <w:p w14:paraId="4B476953">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22</w:t>
            </w:r>
          </w:p>
        </w:tc>
        <w:tc>
          <w:tcPr>
            <w:tcW w:w="1278" w:type="pct"/>
            <w:shd w:val="clear" w:color="auto" w:fill="auto"/>
            <w:vAlign w:val="center"/>
          </w:tcPr>
          <w:p w14:paraId="0D3FB448">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粪大肠菌群</w:t>
            </w:r>
          </w:p>
        </w:tc>
        <w:tc>
          <w:tcPr>
            <w:tcW w:w="1236" w:type="pct"/>
            <w:shd w:val="clear" w:color="auto" w:fill="auto"/>
            <w:vAlign w:val="center"/>
          </w:tcPr>
          <w:p w14:paraId="591B4CF9">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个/L</w:t>
            </w:r>
          </w:p>
        </w:tc>
        <w:tc>
          <w:tcPr>
            <w:tcW w:w="692" w:type="pct"/>
            <w:shd w:val="clear" w:color="auto" w:fill="auto"/>
            <w:vAlign w:val="center"/>
          </w:tcPr>
          <w:p w14:paraId="6B4F060D">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28</w:t>
            </w:r>
          </w:p>
        </w:tc>
        <w:tc>
          <w:tcPr>
            <w:tcW w:w="692" w:type="pct"/>
            <w:shd w:val="clear" w:color="auto" w:fill="auto"/>
            <w:vAlign w:val="center"/>
          </w:tcPr>
          <w:p w14:paraId="5DD753F1">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200</w:t>
            </w:r>
          </w:p>
        </w:tc>
        <w:tc>
          <w:tcPr>
            <w:tcW w:w="692" w:type="pct"/>
            <w:shd w:val="clear" w:color="auto" w:fill="auto"/>
            <w:vAlign w:val="center"/>
          </w:tcPr>
          <w:p w14:paraId="73990CDE">
            <w:pPr>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Ⅰ</w:t>
            </w:r>
          </w:p>
        </w:tc>
      </w:tr>
    </w:tbl>
    <w:p w14:paraId="03E94BD2">
      <w:pPr>
        <w:widowControl/>
        <w:spacing w:line="240" w:lineRule="auto"/>
        <w:jc w:val="left"/>
        <w:rPr>
          <w:rFonts w:eastAsia="仿宋"/>
          <w:sz w:val="28"/>
          <w:szCs w:val="28"/>
        </w:rPr>
      </w:pPr>
      <w:r>
        <w:rPr>
          <w:rFonts w:eastAsia="仿宋"/>
          <w:sz w:val="28"/>
          <w:szCs w:val="28"/>
        </w:rPr>
        <w:br w:type="page"/>
      </w:r>
    </w:p>
    <w:p w14:paraId="649E502E">
      <w:pPr>
        <w:widowControl/>
        <w:spacing w:line="240" w:lineRule="auto"/>
        <w:jc w:val="center"/>
        <w:rPr>
          <w:rFonts w:eastAsia="仿宋"/>
          <w:sz w:val="28"/>
          <w:szCs w:val="28"/>
        </w:rPr>
      </w:pPr>
      <w:r>
        <w:rPr>
          <w:b/>
          <w:szCs w:val="24"/>
        </w:rPr>
        <w:t>红岩水库集中式饮用水源水质监测平均结果表</w:t>
      </w:r>
    </w:p>
    <w:tbl>
      <w:tblPr>
        <w:tblStyle w:val="14"/>
        <w:tblW w:w="8311" w:type="dxa"/>
        <w:tblInd w:w="108" w:type="dxa"/>
        <w:tblLayout w:type="autofit"/>
        <w:tblCellMar>
          <w:top w:w="0" w:type="dxa"/>
          <w:left w:w="108" w:type="dxa"/>
          <w:bottom w:w="0" w:type="dxa"/>
          <w:right w:w="108" w:type="dxa"/>
        </w:tblCellMar>
      </w:tblPr>
      <w:tblGrid>
        <w:gridCol w:w="1264"/>
        <w:gridCol w:w="2552"/>
        <w:gridCol w:w="1592"/>
        <w:gridCol w:w="1639"/>
        <w:gridCol w:w="1264"/>
      </w:tblGrid>
      <w:tr w14:paraId="4E8C7BAF">
        <w:trPr>
          <w:trHeight w:val="585" w:hRule="atLeast"/>
        </w:trPr>
        <w:tc>
          <w:tcPr>
            <w:tcW w:w="1264" w:type="dxa"/>
            <w:tcBorders>
              <w:top w:val="single" w:color="auto" w:sz="8" w:space="0"/>
              <w:left w:val="single" w:color="auto" w:sz="8" w:space="0"/>
              <w:bottom w:val="single" w:color="auto" w:sz="8" w:space="0"/>
              <w:right w:val="single" w:color="auto" w:sz="8" w:space="0"/>
            </w:tcBorders>
            <w:shd w:val="clear" w:color="auto" w:fill="auto"/>
            <w:vAlign w:val="center"/>
          </w:tcPr>
          <w:p w14:paraId="28F1A146">
            <w:pPr>
              <w:jc w:val="center"/>
              <w:rPr>
                <w:b/>
                <w:color w:val="000000" w:themeColor="text1"/>
                <w:szCs w:val="24"/>
                <w14:textFill>
                  <w14:solidFill>
                    <w14:schemeClr w14:val="tx1"/>
                  </w14:solidFill>
                </w14:textFill>
              </w:rPr>
            </w:pPr>
            <w:r>
              <w:rPr>
                <w:b/>
                <w:color w:val="000000" w:themeColor="text1"/>
                <w:szCs w:val="24"/>
                <w14:textFill>
                  <w14:solidFill>
                    <w14:schemeClr w14:val="tx1"/>
                  </w14:solidFill>
                </w14:textFill>
              </w:rPr>
              <w:t>序号</w:t>
            </w:r>
          </w:p>
        </w:tc>
        <w:tc>
          <w:tcPr>
            <w:tcW w:w="2552" w:type="dxa"/>
            <w:tcBorders>
              <w:top w:val="single" w:color="auto" w:sz="8" w:space="0"/>
              <w:left w:val="nil"/>
              <w:bottom w:val="single" w:color="auto" w:sz="8" w:space="0"/>
              <w:right w:val="single" w:color="auto" w:sz="8" w:space="0"/>
            </w:tcBorders>
            <w:shd w:val="clear" w:color="auto" w:fill="auto"/>
            <w:vAlign w:val="center"/>
          </w:tcPr>
          <w:p w14:paraId="2CB60EF5">
            <w:pPr>
              <w:jc w:val="center"/>
              <w:rPr>
                <w:b/>
                <w:color w:val="000000" w:themeColor="text1"/>
                <w:szCs w:val="24"/>
                <w14:textFill>
                  <w14:solidFill>
                    <w14:schemeClr w14:val="tx1"/>
                  </w14:solidFill>
                </w14:textFill>
              </w:rPr>
            </w:pPr>
            <w:r>
              <w:rPr>
                <w:b/>
                <w:color w:val="000000" w:themeColor="text1"/>
                <w:szCs w:val="24"/>
                <w14:textFill>
                  <w14:solidFill>
                    <w14:schemeClr w14:val="tx1"/>
                  </w14:solidFill>
                </w14:textFill>
              </w:rPr>
              <w:t>监测项目</w:t>
            </w:r>
          </w:p>
        </w:tc>
        <w:tc>
          <w:tcPr>
            <w:tcW w:w="1592" w:type="dxa"/>
            <w:tcBorders>
              <w:top w:val="single" w:color="auto" w:sz="8" w:space="0"/>
              <w:left w:val="nil"/>
              <w:bottom w:val="single" w:color="auto" w:sz="8" w:space="0"/>
              <w:right w:val="single" w:color="auto" w:sz="8" w:space="0"/>
            </w:tcBorders>
            <w:shd w:val="clear" w:color="auto" w:fill="auto"/>
            <w:vAlign w:val="center"/>
          </w:tcPr>
          <w:p w14:paraId="7D6BBABF">
            <w:pPr>
              <w:jc w:val="center"/>
              <w:rPr>
                <w:b/>
                <w:color w:val="000000" w:themeColor="text1"/>
                <w:szCs w:val="24"/>
                <w14:textFill>
                  <w14:solidFill>
                    <w14:schemeClr w14:val="tx1"/>
                  </w14:solidFill>
                </w14:textFill>
              </w:rPr>
            </w:pPr>
            <w:r>
              <w:rPr>
                <w:b/>
                <w:color w:val="000000" w:themeColor="text1"/>
                <w:szCs w:val="24"/>
                <w14:textFill>
                  <w14:solidFill>
                    <w14:schemeClr w14:val="tx1"/>
                  </w14:solidFill>
                </w14:textFill>
              </w:rPr>
              <w:t>单位</w:t>
            </w:r>
          </w:p>
        </w:tc>
        <w:tc>
          <w:tcPr>
            <w:tcW w:w="1639" w:type="dxa"/>
            <w:tcBorders>
              <w:top w:val="single" w:color="auto" w:sz="8" w:space="0"/>
              <w:left w:val="nil"/>
              <w:bottom w:val="single" w:color="auto" w:sz="8" w:space="0"/>
              <w:right w:val="single" w:color="auto" w:sz="8" w:space="0"/>
            </w:tcBorders>
            <w:shd w:val="clear" w:color="auto" w:fill="auto"/>
            <w:vAlign w:val="center"/>
          </w:tcPr>
          <w:p w14:paraId="4FA54C47">
            <w:pPr>
              <w:jc w:val="center"/>
              <w:rPr>
                <w:b/>
                <w:color w:val="000000" w:themeColor="text1"/>
                <w:szCs w:val="24"/>
                <w14:textFill>
                  <w14:solidFill>
                    <w14:schemeClr w14:val="tx1"/>
                  </w14:solidFill>
                </w14:textFill>
              </w:rPr>
            </w:pPr>
            <w:r>
              <w:rPr>
                <w:b/>
                <w:color w:val="000000" w:themeColor="text1"/>
                <w:szCs w:val="24"/>
                <w14:textFill>
                  <w14:solidFill>
                    <w14:schemeClr w14:val="tx1"/>
                  </w14:solidFill>
                </w14:textFill>
              </w:rPr>
              <w:t>结果范围</w:t>
            </w:r>
          </w:p>
        </w:tc>
        <w:tc>
          <w:tcPr>
            <w:tcW w:w="1264" w:type="dxa"/>
            <w:tcBorders>
              <w:top w:val="single" w:color="auto" w:sz="8" w:space="0"/>
              <w:left w:val="nil"/>
              <w:bottom w:val="single" w:color="auto" w:sz="8" w:space="0"/>
              <w:right w:val="single" w:color="auto" w:sz="8" w:space="0"/>
            </w:tcBorders>
            <w:shd w:val="clear" w:color="auto" w:fill="auto"/>
            <w:vAlign w:val="center"/>
          </w:tcPr>
          <w:p w14:paraId="12C29FD7">
            <w:pPr>
              <w:jc w:val="center"/>
              <w:rPr>
                <w:b/>
                <w:color w:val="000000" w:themeColor="text1"/>
                <w:szCs w:val="24"/>
                <w14:textFill>
                  <w14:solidFill>
                    <w14:schemeClr w14:val="tx1"/>
                  </w14:solidFill>
                </w14:textFill>
              </w:rPr>
            </w:pPr>
            <w:r>
              <w:rPr>
                <w:b/>
                <w:color w:val="000000" w:themeColor="text1"/>
                <w:szCs w:val="24"/>
                <w14:textFill>
                  <w14:solidFill>
                    <w14:schemeClr w14:val="tx1"/>
                  </w14:solidFill>
                </w14:textFill>
              </w:rPr>
              <w:t>结果评价</w:t>
            </w:r>
          </w:p>
        </w:tc>
      </w:tr>
      <w:tr w14:paraId="77459928">
        <w:tblPrEx>
          <w:tblCellMar>
            <w:top w:w="0" w:type="dxa"/>
            <w:left w:w="108" w:type="dxa"/>
            <w:bottom w:w="0" w:type="dxa"/>
            <w:right w:w="108" w:type="dxa"/>
          </w:tblCellMar>
        </w:tblPrEx>
        <w:trPr>
          <w:trHeight w:val="329" w:hRule="atLeast"/>
        </w:trPr>
        <w:tc>
          <w:tcPr>
            <w:tcW w:w="1264" w:type="dxa"/>
            <w:tcBorders>
              <w:top w:val="nil"/>
              <w:left w:val="single" w:color="auto" w:sz="8" w:space="0"/>
              <w:bottom w:val="single" w:color="auto" w:sz="8" w:space="0"/>
              <w:right w:val="single" w:color="auto" w:sz="8" w:space="0"/>
            </w:tcBorders>
            <w:shd w:val="clear" w:color="auto" w:fill="auto"/>
            <w:vAlign w:val="center"/>
          </w:tcPr>
          <w:p w14:paraId="467795DC">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1</w:t>
            </w:r>
          </w:p>
        </w:tc>
        <w:tc>
          <w:tcPr>
            <w:tcW w:w="2552" w:type="dxa"/>
            <w:tcBorders>
              <w:top w:val="nil"/>
              <w:left w:val="nil"/>
              <w:bottom w:val="single" w:color="auto" w:sz="8" w:space="0"/>
              <w:right w:val="single" w:color="auto" w:sz="8" w:space="0"/>
            </w:tcBorders>
            <w:shd w:val="clear" w:color="auto" w:fill="auto"/>
            <w:vAlign w:val="center"/>
          </w:tcPr>
          <w:p w14:paraId="234AA421">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水温</w:t>
            </w:r>
          </w:p>
        </w:tc>
        <w:tc>
          <w:tcPr>
            <w:tcW w:w="1592" w:type="dxa"/>
            <w:tcBorders>
              <w:top w:val="nil"/>
              <w:left w:val="nil"/>
              <w:bottom w:val="single" w:color="auto" w:sz="8" w:space="0"/>
              <w:right w:val="single" w:color="auto" w:sz="8" w:space="0"/>
            </w:tcBorders>
            <w:shd w:val="clear" w:color="auto" w:fill="auto"/>
            <w:vAlign w:val="center"/>
          </w:tcPr>
          <w:p w14:paraId="6EF7F86C">
            <w:pPr>
              <w:jc w:val="center"/>
              <w:rPr>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w:t>
            </w:r>
          </w:p>
        </w:tc>
        <w:tc>
          <w:tcPr>
            <w:tcW w:w="1639" w:type="dxa"/>
            <w:tcBorders>
              <w:top w:val="nil"/>
              <w:left w:val="nil"/>
              <w:bottom w:val="single" w:color="auto" w:sz="8" w:space="0"/>
              <w:right w:val="single" w:color="auto" w:sz="8" w:space="0"/>
            </w:tcBorders>
            <w:shd w:val="clear" w:color="auto" w:fill="auto"/>
            <w:vAlign w:val="center"/>
          </w:tcPr>
          <w:p w14:paraId="4BC583D7">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8-14</w:t>
            </w:r>
          </w:p>
        </w:tc>
        <w:tc>
          <w:tcPr>
            <w:tcW w:w="1264" w:type="dxa"/>
            <w:tcBorders>
              <w:top w:val="nil"/>
              <w:left w:val="nil"/>
              <w:bottom w:val="single" w:color="auto" w:sz="8" w:space="0"/>
              <w:right w:val="single" w:color="auto" w:sz="8" w:space="0"/>
            </w:tcBorders>
            <w:shd w:val="clear" w:color="auto" w:fill="auto"/>
            <w:vAlign w:val="center"/>
          </w:tcPr>
          <w:p w14:paraId="66FAFE4D">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w:t>
            </w:r>
          </w:p>
        </w:tc>
      </w:tr>
      <w:tr w14:paraId="224D5B7F">
        <w:tblPrEx>
          <w:tblCellMar>
            <w:top w:w="0" w:type="dxa"/>
            <w:left w:w="108" w:type="dxa"/>
            <w:bottom w:w="0" w:type="dxa"/>
            <w:right w:w="108" w:type="dxa"/>
          </w:tblCellMar>
        </w:tblPrEx>
        <w:trPr>
          <w:trHeight w:val="329" w:hRule="atLeast"/>
        </w:trPr>
        <w:tc>
          <w:tcPr>
            <w:tcW w:w="1264" w:type="dxa"/>
            <w:tcBorders>
              <w:top w:val="nil"/>
              <w:left w:val="single" w:color="auto" w:sz="8" w:space="0"/>
              <w:bottom w:val="single" w:color="auto" w:sz="8" w:space="0"/>
              <w:right w:val="single" w:color="auto" w:sz="8" w:space="0"/>
            </w:tcBorders>
            <w:shd w:val="clear" w:color="auto" w:fill="auto"/>
            <w:vAlign w:val="center"/>
          </w:tcPr>
          <w:p w14:paraId="4B6F678F">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2</w:t>
            </w:r>
          </w:p>
        </w:tc>
        <w:tc>
          <w:tcPr>
            <w:tcW w:w="2552" w:type="dxa"/>
            <w:tcBorders>
              <w:top w:val="nil"/>
              <w:left w:val="nil"/>
              <w:bottom w:val="single" w:color="auto" w:sz="8" w:space="0"/>
              <w:right w:val="single" w:color="auto" w:sz="8" w:space="0"/>
            </w:tcBorders>
            <w:shd w:val="clear" w:color="auto" w:fill="auto"/>
            <w:vAlign w:val="center"/>
          </w:tcPr>
          <w:p w14:paraId="4D173525">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pH</w:t>
            </w:r>
          </w:p>
        </w:tc>
        <w:tc>
          <w:tcPr>
            <w:tcW w:w="1592" w:type="dxa"/>
            <w:tcBorders>
              <w:top w:val="nil"/>
              <w:left w:val="nil"/>
              <w:bottom w:val="single" w:color="auto" w:sz="8" w:space="0"/>
              <w:right w:val="single" w:color="auto" w:sz="8" w:space="0"/>
            </w:tcBorders>
            <w:shd w:val="clear" w:color="auto" w:fill="auto"/>
            <w:vAlign w:val="center"/>
          </w:tcPr>
          <w:p w14:paraId="6703D240">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无量纲</w:t>
            </w:r>
          </w:p>
        </w:tc>
        <w:tc>
          <w:tcPr>
            <w:tcW w:w="1639" w:type="dxa"/>
            <w:tcBorders>
              <w:top w:val="nil"/>
              <w:left w:val="nil"/>
              <w:bottom w:val="single" w:color="auto" w:sz="8" w:space="0"/>
              <w:right w:val="single" w:color="auto" w:sz="8" w:space="0"/>
            </w:tcBorders>
            <w:shd w:val="clear" w:color="auto" w:fill="auto"/>
            <w:vAlign w:val="center"/>
          </w:tcPr>
          <w:p w14:paraId="4E2E952A">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8</w:t>
            </w:r>
          </w:p>
        </w:tc>
        <w:tc>
          <w:tcPr>
            <w:tcW w:w="1264" w:type="dxa"/>
            <w:tcBorders>
              <w:top w:val="nil"/>
              <w:left w:val="nil"/>
              <w:bottom w:val="single" w:color="auto" w:sz="8" w:space="0"/>
              <w:right w:val="single" w:color="auto" w:sz="8" w:space="0"/>
            </w:tcBorders>
            <w:shd w:val="clear" w:color="auto" w:fill="auto"/>
            <w:vAlign w:val="center"/>
          </w:tcPr>
          <w:p w14:paraId="68C161DA">
            <w:pPr>
              <w:jc w:val="center"/>
              <w:rPr>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Ⅰ</w:t>
            </w:r>
          </w:p>
        </w:tc>
      </w:tr>
      <w:tr w14:paraId="2713057A">
        <w:tblPrEx>
          <w:tblCellMar>
            <w:top w:w="0" w:type="dxa"/>
            <w:left w:w="108" w:type="dxa"/>
            <w:bottom w:w="0" w:type="dxa"/>
            <w:right w:w="108" w:type="dxa"/>
          </w:tblCellMar>
        </w:tblPrEx>
        <w:trPr>
          <w:trHeight w:val="329" w:hRule="atLeast"/>
        </w:trPr>
        <w:tc>
          <w:tcPr>
            <w:tcW w:w="1264" w:type="dxa"/>
            <w:tcBorders>
              <w:top w:val="nil"/>
              <w:left w:val="single" w:color="auto" w:sz="8" w:space="0"/>
              <w:bottom w:val="single" w:color="auto" w:sz="8" w:space="0"/>
              <w:right w:val="single" w:color="auto" w:sz="8" w:space="0"/>
            </w:tcBorders>
            <w:shd w:val="clear" w:color="auto" w:fill="auto"/>
            <w:vAlign w:val="center"/>
          </w:tcPr>
          <w:p w14:paraId="7FC9AEAE">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3</w:t>
            </w:r>
          </w:p>
        </w:tc>
        <w:tc>
          <w:tcPr>
            <w:tcW w:w="2552" w:type="dxa"/>
            <w:tcBorders>
              <w:top w:val="nil"/>
              <w:left w:val="nil"/>
              <w:bottom w:val="single" w:color="auto" w:sz="8" w:space="0"/>
              <w:right w:val="single" w:color="auto" w:sz="8" w:space="0"/>
            </w:tcBorders>
            <w:shd w:val="clear" w:color="auto" w:fill="auto"/>
            <w:vAlign w:val="center"/>
          </w:tcPr>
          <w:p w14:paraId="152043E2">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溶解氧</w:t>
            </w:r>
          </w:p>
        </w:tc>
        <w:tc>
          <w:tcPr>
            <w:tcW w:w="1592" w:type="dxa"/>
            <w:tcBorders>
              <w:top w:val="nil"/>
              <w:left w:val="nil"/>
              <w:bottom w:val="single" w:color="auto" w:sz="8" w:space="0"/>
              <w:right w:val="single" w:color="auto" w:sz="8" w:space="0"/>
            </w:tcBorders>
            <w:shd w:val="clear" w:color="auto" w:fill="auto"/>
            <w:vAlign w:val="center"/>
          </w:tcPr>
          <w:p w14:paraId="59FCCEB7">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mg/L</w:t>
            </w:r>
          </w:p>
        </w:tc>
        <w:tc>
          <w:tcPr>
            <w:tcW w:w="1639" w:type="dxa"/>
            <w:tcBorders>
              <w:top w:val="nil"/>
              <w:left w:val="nil"/>
              <w:bottom w:val="single" w:color="auto" w:sz="8" w:space="0"/>
              <w:right w:val="single" w:color="auto" w:sz="8" w:space="0"/>
            </w:tcBorders>
            <w:shd w:val="clear" w:color="auto" w:fill="auto"/>
            <w:vAlign w:val="center"/>
          </w:tcPr>
          <w:p w14:paraId="59E48E35">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7.7</w:t>
            </w:r>
          </w:p>
        </w:tc>
        <w:tc>
          <w:tcPr>
            <w:tcW w:w="1264" w:type="dxa"/>
            <w:tcBorders>
              <w:top w:val="nil"/>
              <w:left w:val="nil"/>
              <w:bottom w:val="single" w:color="auto" w:sz="8" w:space="0"/>
              <w:right w:val="single" w:color="auto" w:sz="8" w:space="0"/>
            </w:tcBorders>
            <w:shd w:val="clear" w:color="auto" w:fill="auto"/>
            <w:vAlign w:val="center"/>
          </w:tcPr>
          <w:p w14:paraId="49FA58ED">
            <w:pPr>
              <w:jc w:val="center"/>
              <w:rPr>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Ⅰ</w:t>
            </w:r>
          </w:p>
        </w:tc>
      </w:tr>
      <w:tr w14:paraId="489607F7">
        <w:tblPrEx>
          <w:tblCellMar>
            <w:top w:w="0" w:type="dxa"/>
            <w:left w:w="108" w:type="dxa"/>
            <w:bottom w:w="0" w:type="dxa"/>
            <w:right w:w="108" w:type="dxa"/>
          </w:tblCellMar>
        </w:tblPrEx>
        <w:trPr>
          <w:trHeight w:val="329" w:hRule="atLeast"/>
        </w:trPr>
        <w:tc>
          <w:tcPr>
            <w:tcW w:w="1264" w:type="dxa"/>
            <w:tcBorders>
              <w:top w:val="nil"/>
              <w:left w:val="single" w:color="auto" w:sz="8" w:space="0"/>
              <w:bottom w:val="single" w:color="auto" w:sz="8" w:space="0"/>
              <w:right w:val="single" w:color="auto" w:sz="8" w:space="0"/>
            </w:tcBorders>
            <w:shd w:val="clear" w:color="auto" w:fill="auto"/>
            <w:vAlign w:val="center"/>
          </w:tcPr>
          <w:p w14:paraId="6AFA3238">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4</w:t>
            </w:r>
          </w:p>
        </w:tc>
        <w:tc>
          <w:tcPr>
            <w:tcW w:w="2552" w:type="dxa"/>
            <w:tcBorders>
              <w:top w:val="nil"/>
              <w:left w:val="nil"/>
              <w:bottom w:val="single" w:color="auto" w:sz="8" w:space="0"/>
              <w:right w:val="single" w:color="auto" w:sz="8" w:space="0"/>
            </w:tcBorders>
            <w:shd w:val="clear" w:color="auto" w:fill="auto"/>
            <w:vAlign w:val="center"/>
          </w:tcPr>
          <w:p w14:paraId="54F0FC83">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高锰酸盐指数</w:t>
            </w:r>
          </w:p>
        </w:tc>
        <w:tc>
          <w:tcPr>
            <w:tcW w:w="1592" w:type="dxa"/>
            <w:tcBorders>
              <w:top w:val="nil"/>
              <w:left w:val="nil"/>
              <w:bottom w:val="single" w:color="auto" w:sz="8" w:space="0"/>
              <w:right w:val="single" w:color="auto" w:sz="8" w:space="0"/>
            </w:tcBorders>
            <w:shd w:val="clear" w:color="auto" w:fill="auto"/>
            <w:vAlign w:val="center"/>
          </w:tcPr>
          <w:p w14:paraId="560AD8E5">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mg/L</w:t>
            </w:r>
          </w:p>
        </w:tc>
        <w:tc>
          <w:tcPr>
            <w:tcW w:w="1639" w:type="dxa"/>
            <w:tcBorders>
              <w:top w:val="nil"/>
              <w:left w:val="nil"/>
              <w:bottom w:val="single" w:color="auto" w:sz="8" w:space="0"/>
              <w:right w:val="single" w:color="auto" w:sz="8" w:space="0"/>
            </w:tcBorders>
            <w:shd w:val="clear" w:color="auto" w:fill="auto"/>
            <w:vAlign w:val="center"/>
          </w:tcPr>
          <w:p w14:paraId="2AD780A5">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1.3</w:t>
            </w:r>
          </w:p>
        </w:tc>
        <w:tc>
          <w:tcPr>
            <w:tcW w:w="1264" w:type="dxa"/>
            <w:tcBorders>
              <w:top w:val="nil"/>
              <w:left w:val="nil"/>
              <w:bottom w:val="single" w:color="auto" w:sz="8" w:space="0"/>
              <w:right w:val="single" w:color="auto" w:sz="8" w:space="0"/>
            </w:tcBorders>
            <w:shd w:val="clear" w:color="auto" w:fill="auto"/>
            <w:vAlign w:val="center"/>
          </w:tcPr>
          <w:p w14:paraId="21AB08E0">
            <w:pPr>
              <w:jc w:val="center"/>
              <w:rPr>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Ⅰ</w:t>
            </w:r>
          </w:p>
        </w:tc>
      </w:tr>
      <w:tr w14:paraId="76386C5A">
        <w:tblPrEx>
          <w:tblCellMar>
            <w:top w:w="0" w:type="dxa"/>
            <w:left w:w="108" w:type="dxa"/>
            <w:bottom w:w="0" w:type="dxa"/>
            <w:right w:w="108" w:type="dxa"/>
          </w:tblCellMar>
        </w:tblPrEx>
        <w:trPr>
          <w:trHeight w:val="329" w:hRule="atLeast"/>
        </w:trPr>
        <w:tc>
          <w:tcPr>
            <w:tcW w:w="1264" w:type="dxa"/>
            <w:tcBorders>
              <w:top w:val="nil"/>
              <w:left w:val="single" w:color="auto" w:sz="8" w:space="0"/>
              <w:bottom w:val="single" w:color="auto" w:sz="8" w:space="0"/>
              <w:right w:val="single" w:color="auto" w:sz="8" w:space="0"/>
            </w:tcBorders>
            <w:shd w:val="clear" w:color="auto" w:fill="auto"/>
            <w:vAlign w:val="center"/>
          </w:tcPr>
          <w:p w14:paraId="31A03A3C">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5</w:t>
            </w:r>
          </w:p>
        </w:tc>
        <w:tc>
          <w:tcPr>
            <w:tcW w:w="2552" w:type="dxa"/>
            <w:tcBorders>
              <w:top w:val="nil"/>
              <w:left w:val="nil"/>
              <w:bottom w:val="single" w:color="auto" w:sz="8" w:space="0"/>
              <w:right w:val="single" w:color="auto" w:sz="8" w:space="0"/>
            </w:tcBorders>
            <w:shd w:val="clear" w:color="auto" w:fill="auto"/>
            <w:vAlign w:val="center"/>
          </w:tcPr>
          <w:p w14:paraId="4BF6139F">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化学需氧量</w:t>
            </w:r>
          </w:p>
        </w:tc>
        <w:tc>
          <w:tcPr>
            <w:tcW w:w="1592" w:type="dxa"/>
            <w:tcBorders>
              <w:top w:val="nil"/>
              <w:left w:val="nil"/>
              <w:bottom w:val="single" w:color="auto" w:sz="8" w:space="0"/>
              <w:right w:val="single" w:color="auto" w:sz="8" w:space="0"/>
            </w:tcBorders>
            <w:shd w:val="clear" w:color="auto" w:fill="auto"/>
            <w:vAlign w:val="center"/>
          </w:tcPr>
          <w:p w14:paraId="27937C1A">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mg/L</w:t>
            </w:r>
          </w:p>
        </w:tc>
        <w:tc>
          <w:tcPr>
            <w:tcW w:w="1639" w:type="dxa"/>
            <w:tcBorders>
              <w:top w:val="nil"/>
              <w:left w:val="nil"/>
              <w:bottom w:val="single" w:color="auto" w:sz="8" w:space="0"/>
              <w:right w:val="single" w:color="auto" w:sz="8" w:space="0"/>
            </w:tcBorders>
            <w:shd w:val="clear" w:color="auto" w:fill="auto"/>
            <w:vAlign w:val="center"/>
          </w:tcPr>
          <w:p w14:paraId="6B12B909">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10.1</w:t>
            </w:r>
          </w:p>
        </w:tc>
        <w:tc>
          <w:tcPr>
            <w:tcW w:w="1264" w:type="dxa"/>
            <w:tcBorders>
              <w:top w:val="nil"/>
              <w:left w:val="nil"/>
              <w:bottom w:val="single" w:color="auto" w:sz="8" w:space="0"/>
              <w:right w:val="single" w:color="auto" w:sz="8" w:space="0"/>
            </w:tcBorders>
            <w:shd w:val="clear" w:color="auto" w:fill="auto"/>
            <w:vAlign w:val="center"/>
          </w:tcPr>
          <w:p w14:paraId="72B9BD4E">
            <w:pPr>
              <w:jc w:val="center"/>
              <w:rPr>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Ⅰ</w:t>
            </w:r>
          </w:p>
        </w:tc>
      </w:tr>
      <w:tr w14:paraId="79CD650D">
        <w:tblPrEx>
          <w:tblCellMar>
            <w:top w:w="0" w:type="dxa"/>
            <w:left w:w="108" w:type="dxa"/>
            <w:bottom w:w="0" w:type="dxa"/>
            <w:right w:w="108" w:type="dxa"/>
          </w:tblCellMar>
        </w:tblPrEx>
        <w:trPr>
          <w:trHeight w:val="329" w:hRule="atLeast"/>
        </w:trPr>
        <w:tc>
          <w:tcPr>
            <w:tcW w:w="1264" w:type="dxa"/>
            <w:tcBorders>
              <w:top w:val="nil"/>
              <w:left w:val="single" w:color="auto" w:sz="8" w:space="0"/>
              <w:bottom w:val="single" w:color="auto" w:sz="8" w:space="0"/>
              <w:right w:val="single" w:color="auto" w:sz="8" w:space="0"/>
            </w:tcBorders>
            <w:shd w:val="clear" w:color="auto" w:fill="auto"/>
            <w:vAlign w:val="center"/>
          </w:tcPr>
          <w:p w14:paraId="314D0194">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6</w:t>
            </w:r>
          </w:p>
        </w:tc>
        <w:tc>
          <w:tcPr>
            <w:tcW w:w="2552" w:type="dxa"/>
            <w:tcBorders>
              <w:top w:val="nil"/>
              <w:left w:val="nil"/>
              <w:bottom w:val="single" w:color="auto" w:sz="8" w:space="0"/>
              <w:right w:val="single" w:color="auto" w:sz="8" w:space="0"/>
            </w:tcBorders>
            <w:shd w:val="clear" w:color="auto" w:fill="auto"/>
            <w:vAlign w:val="center"/>
          </w:tcPr>
          <w:p w14:paraId="251DDEA3">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五日生化需氧量</w:t>
            </w:r>
          </w:p>
        </w:tc>
        <w:tc>
          <w:tcPr>
            <w:tcW w:w="1592" w:type="dxa"/>
            <w:tcBorders>
              <w:top w:val="nil"/>
              <w:left w:val="nil"/>
              <w:bottom w:val="single" w:color="auto" w:sz="8" w:space="0"/>
              <w:right w:val="single" w:color="auto" w:sz="8" w:space="0"/>
            </w:tcBorders>
            <w:shd w:val="clear" w:color="auto" w:fill="auto"/>
            <w:vAlign w:val="center"/>
          </w:tcPr>
          <w:p w14:paraId="4DE5FA77">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mg/L</w:t>
            </w:r>
          </w:p>
        </w:tc>
        <w:tc>
          <w:tcPr>
            <w:tcW w:w="1639" w:type="dxa"/>
            <w:tcBorders>
              <w:top w:val="nil"/>
              <w:left w:val="nil"/>
              <w:bottom w:val="single" w:color="auto" w:sz="8" w:space="0"/>
              <w:right w:val="single" w:color="auto" w:sz="8" w:space="0"/>
            </w:tcBorders>
            <w:shd w:val="clear" w:color="auto" w:fill="auto"/>
            <w:vAlign w:val="center"/>
          </w:tcPr>
          <w:p w14:paraId="270B0930">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1.6</w:t>
            </w:r>
          </w:p>
        </w:tc>
        <w:tc>
          <w:tcPr>
            <w:tcW w:w="1264" w:type="dxa"/>
            <w:tcBorders>
              <w:top w:val="nil"/>
              <w:left w:val="nil"/>
              <w:bottom w:val="single" w:color="auto" w:sz="8" w:space="0"/>
              <w:right w:val="single" w:color="auto" w:sz="8" w:space="0"/>
            </w:tcBorders>
            <w:shd w:val="clear" w:color="auto" w:fill="auto"/>
            <w:vAlign w:val="center"/>
          </w:tcPr>
          <w:p w14:paraId="29AB4E72">
            <w:pPr>
              <w:jc w:val="center"/>
              <w:rPr>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Ⅰ</w:t>
            </w:r>
          </w:p>
        </w:tc>
      </w:tr>
      <w:tr w14:paraId="059A3563">
        <w:tblPrEx>
          <w:tblCellMar>
            <w:top w:w="0" w:type="dxa"/>
            <w:left w:w="108" w:type="dxa"/>
            <w:bottom w:w="0" w:type="dxa"/>
            <w:right w:w="108" w:type="dxa"/>
          </w:tblCellMar>
        </w:tblPrEx>
        <w:trPr>
          <w:trHeight w:val="329" w:hRule="atLeast"/>
        </w:trPr>
        <w:tc>
          <w:tcPr>
            <w:tcW w:w="1264" w:type="dxa"/>
            <w:tcBorders>
              <w:top w:val="nil"/>
              <w:left w:val="single" w:color="auto" w:sz="8" w:space="0"/>
              <w:bottom w:val="single" w:color="auto" w:sz="8" w:space="0"/>
              <w:right w:val="single" w:color="auto" w:sz="8" w:space="0"/>
            </w:tcBorders>
            <w:shd w:val="clear" w:color="auto" w:fill="auto"/>
            <w:vAlign w:val="center"/>
          </w:tcPr>
          <w:p w14:paraId="09D587DF">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7</w:t>
            </w:r>
          </w:p>
        </w:tc>
        <w:tc>
          <w:tcPr>
            <w:tcW w:w="2552" w:type="dxa"/>
            <w:tcBorders>
              <w:top w:val="nil"/>
              <w:left w:val="nil"/>
              <w:bottom w:val="single" w:color="auto" w:sz="8" w:space="0"/>
              <w:right w:val="single" w:color="auto" w:sz="8" w:space="0"/>
            </w:tcBorders>
            <w:shd w:val="clear" w:color="auto" w:fill="auto"/>
            <w:vAlign w:val="center"/>
          </w:tcPr>
          <w:p w14:paraId="055A7B35">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氨氮</w:t>
            </w:r>
          </w:p>
        </w:tc>
        <w:tc>
          <w:tcPr>
            <w:tcW w:w="1592" w:type="dxa"/>
            <w:tcBorders>
              <w:top w:val="nil"/>
              <w:left w:val="nil"/>
              <w:bottom w:val="single" w:color="auto" w:sz="8" w:space="0"/>
              <w:right w:val="single" w:color="auto" w:sz="8" w:space="0"/>
            </w:tcBorders>
            <w:shd w:val="clear" w:color="auto" w:fill="auto"/>
            <w:vAlign w:val="center"/>
          </w:tcPr>
          <w:p w14:paraId="6C68E88B">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mg/L</w:t>
            </w:r>
          </w:p>
        </w:tc>
        <w:tc>
          <w:tcPr>
            <w:tcW w:w="1639" w:type="dxa"/>
            <w:tcBorders>
              <w:top w:val="nil"/>
              <w:left w:val="nil"/>
              <w:bottom w:val="single" w:color="auto" w:sz="8" w:space="0"/>
              <w:right w:val="single" w:color="auto" w:sz="8" w:space="0"/>
            </w:tcBorders>
            <w:shd w:val="clear" w:color="auto" w:fill="auto"/>
            <w:vAlign w:val="center"/>
          </w:tcPr>
          <w:p w14:paraId="27760EA5">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0.17</w:t>
            </w:r>
          </w:p>
        </w:tc>
        <w:tc>
          <w:tcPr>
            <w:tcW w:w="1264" w:type="dxa"/>
            <w:tcBorders>
              <w:top w:val="nil"/>
              <w:left w:val="nil"/>
              <w:bottom w:val="single" w:color="auto" w:sz="8" w:space="0"/>
              <w:right w:val="single" w:color="auto" w:sz="8" w:space="0"/>
            </w:tcBorders>
            <w:shd w:val="clear" w:color="auto" w:fill="auto"/>
            <w:vAlign w:val="center"/>
          </w:tcPr>
          <w:p w14:paraId="0F39006B">
            <w:pPr>
              <w:jc w:val="center"/>
              <w:rPr>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Ⅱ</w:t>
            </w:r>
          </w:p>
        </w:tc>
      </w:tr>
      <w:tr w14:paraId="3C2F5660">
        <w:tblPrEx>
          <w:tblCellMar>
            <w:top w:w="0" w:type="dxa"/>
            <w:left w:w="108" w:type="dxa"/>
            <w:bottom w:w="0" w:type="dxa"/>
            <w:right w:w="108" w:type="dxa"/>
          </w:tblCellMar>
        </w:tblPrEx>
        <w:trPr>
          <w:trHeight w:val="329" w:hRule="atLeast"/>
        </w:trPr>
        <w:tc>
          <w:tcPr>
            <w:tcW w:w="1264" w:type="dxa"/>
            <w:tcBorders>
              <w:top w:val="nil"/>
              <w:left w:val="single" w:color="auto" w:sz="8" w:space="0"/>
              <w:bottom w:val="single" w:color="auto" w:sz="8" w:space="0"/>
              <w:right w:val="single" w:color="auto" w:sz="8" w:space="0"/>
            </w:tcBorders>
            <w:shd w:val="clear" w:color="auto" w:fill="auto"/>
            <w:vAlign w:val="center"/>
          </w:tcPr>
          <w:p w14:paraId="1F173323">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8</w:t>
            </w:r>
          </w:p>
        </w:tc>
        <w:tc>
          <w:tcPr>
            <w:tcW w:w="2552" w:type="dxa"/>
            <w:tcBorders>
              <w:top w:val="nil"/>
              <w:left w:val="nil"/>
              <w:bottom w:val="single" w:color="auto" w:sz="8" w:space="0"/>
              <w:right w:val="single" w:color="auto" w:sz="8" w:space="0"/>
            </w:tcBorders>
            <w:shd w:val="clear" w:color="auto" w:fill="auto"/>
            <w:vAlign w:val="center"/>
          </w:tcPr>
          <w:p w14:paraId="15546B35">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总磷</w:t>
            </w:r>
          </w:p>
        </w:tc>
        <w:tc>
          <w:tcPr>
            <w:tcW w:w="1592" w:type="dxa"/>
            <w:tcBorders>
              <w:top w:val="nil"/>
              <w:left w:val="nil"/>
              <w:bottom w:val="single" w:color="auto" w:sz="8" w:space="0"/>
              <w:right w:val="single" w:color="auto" w:sz="8" w:space="0"/>
            </w:tcBorders>
            <w:shd w:val="clear" w:color="auto" w:fill="auto"/>
            <w:vAlign w:val="center"/>
          </w:tcPr>
          <w:p w14:paraId="26A0D388">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mg/L</w:t>
            </w:r>
          </w:p>
        </w:tc>
        <w:tc>
          <w:tcPr>
            <w:tcW w:w="1639" w:type="dxa"/>
            <w:tcBorders>
              <w:top w:val="nil"/>
              <w:left w:val="nil"/>
              <w:bottom w:val="single" w:color="auto" w:sz="8" w:space="0"/>
              <w:right w:val="single" w:color="auto" w:sz="8" w:space="0"/>
            </w:tcBorders>
            <w:shd w:val="clear" w:color="auto" w:fill="auto"/>
            <w:vAlign w:val="center"/>
          </w:tcPr>
          <w:p w14:paraId="3D1D9E08">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0.049</w:t>
            </w:r>
          </w:p>
        </w:tc>
        <w:tc>
          <w:tcPr>
            <w:tcW w:w="1264" w:type="dxa"/>
            <w:tcBorders>
              <w:top w:val="nil"/>
              <w:left w:val="nil"/>
              <w:bottom w:val="single" w:color="auto" w:sz="8" w:space="0"/>
              <w:right w:val="single" w:color="auto" w:sz="8" w:space="0"/>
            </w:tcBorders>
            <w:shd w:val="clear" w:color="auto" w:fill="auto"/>
            <w:vAlign w:val="center"/>
          </w:tcPr>
          <w:p w14:paraId="021802F0">
            <w:pPr>
              <w:jc w:val="center"/>
              <w:rPr>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Ⅱ</w:t>
            </w:r>
          </w:p>
        </w:tc>
      </w:tr>
      <w:tr w14:paraId="4B4F5B68">
        <w:tblPrEx>
          <w:tblCellMar>
            <w:top w:w="0" w:type="dxa"/>
            <w:left w:w="108" w:type="dxa"/>
            <w:bottom w:w="0" w:type="dxa"/>
            <w:right w:w="108" w:type="dxa"/>
          </w:tblCellMar>
        </w:tblPrEx>
        <w:trPr>
          <w:trHeight w:val="329" w:hRule="atLeast"/>
        </w:trPr>
        <w:tc>
          <w:tcPr>
            <w:tcW w:w="1264" w:type="dxa"/>
            <w:tcBorders>
              <w:top w:val="nil"/>
              <w:left w:val="single" w:color="auto" w:sz="8" w:space="0"/>
              <w:bottom w:val="single" w:color="auto" w:sz="8" w:space="0"/>
              <w:right w:val="single" w:color="auto" w:sz="8" w:space="0"/>
            </w:tcBorders>
            <w:shd w:val="clear" w:color="auto" w:fill="auto"/>
            <w:vAlign w:val="center"/>
          </w:tcPr>
          <w:p w14:paraId="6678F62C">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9</w:t>
            </w:r>
          </w:p>
        </w:tc>
        <w:tc>
          <w:tcPr>
            <w:tcW w:w="2552" w:type="dxa"/>
            <w:tcBorders>
              <w:top w:val="nil"/>
              <w:left w:val="nil"/>
              <w:bottom w:val="single" w:color="auto" w:sz="8" w:space="0"/>
              <w:right w:val="single" w:color="auto" w:sz="8" w:space="0"/>
            </w:tcBorders>
            <w:shd w:val="clear" w:color="auto" w:fill="auto"/>
            <w:vAlign w:val="center"/>
          </w:tcPr>
          <w:p w14:paraId="444ED7DE">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总氮</w:t>
            </w:r>
          </w:p>
        </w:tc>
        <w:tc>
          <w:tcPr>
            <w:tcW w:w="1592" w:type="dxa"/>
            <w:tcBorders>
              <w:top w:val="nil"/>
              <w:left w:val="nil"/>
              <w:bottom w:val="single" w:color="auto" w:sz="8" w:space="0"/>
              <w:right w:val="single" w:color="auto" w:sz="8" w:space="0"/>
            </w:tcBorders>
            <w:shd w:val="clear" w:color="auto" w:fill="auto"/>
            <w:vAlign w:val="center"/>
          </w:tcPr>
          <w:p w14:paraId="3C9088F4">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mg/L</w:t>
            </w:r>
          </w:p>
        </w:tc>
        <w:tc>
          <w:tcPr>
            <w:tcW w:w="1639" w:type="dxa"/>
            <w:tcBorders>
              <w:top w:val="nil"/>
              <w:left w:val="nil"/>
              <w:bottom w:val="single" w:color="auto" w:sz="8" w:space="0"/>
              <w:right w:val="single" w:color="auto" w:sz="8" w:space="0"/>
            </w:tcBorders>
            <w:shd w:val="clear" w:color="auto" w:fill="auto"/>
            <w:vAlign w:val="center"/>
          </w:tcPr>
          <w:p w14:paraId="2D8A58D1">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1.59</w:t>
            </w:r>
          </w:p>
        </w:tc>
        <w:tc>
          <w:tcPr>
            <w:tcW w:w="1264" w:type="dxa"/>
            <w:tcBorders>
              <w:top w:val="nil"/>
              <w:left w:val="nil"/>
              <w:bottom w:val="single" w:color="auto" w:sz="8" w:space="0"/>
              <w:right w:val="single" w:color="auto" w:sz="8" w:space="0"/>
            </w:tcBorders>
            <w:shd w:val="clear" w:color="auto" w:fill="auto"/>
            <w:vAlign w:val="center"/>
          </w:tcPr>
          <w:p w14:paraId="255E1C54">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w:t>
            </w:r>
          </w:p>
        </w:tc>
      </w:tr>
      <w:tr w14:paraId="59D35A26">
        <w:tblPrEx>
          <w:tblCellMar>
            <w:top w:w="0" w:type="dxa"/>
            <w:left w:w="108" w:type="dxa"/>
            <w:bottom w:w="0" w:type="dxa"/>
            <w:right w:w="108" w:type="dxa"/>
          </w:tblCellMar>
        </w:tblPrEx>
        <w:trPr>
          <w:trHeight w:val="329" w:hRule="atLeast"/>
        </w:trPr>
        <w:tc>
          <w:tcPr>
            <w:tcW w:w="1264" w:type="dxa"/>
            <w:tcBorders>
              <w:top w:val="nil"/>
              <w:left w:val="single" w:color="auto" w:sz="8" w:space="0"/>
              <w:bottom w:val="single" w:color="auto" w:sz="8" w:space="0"/>
              <w:right w:val="single" w:color="auto" w:sz="8" w:space="0"/>
            </w:tcBorders>
            <w:shd w:val="clear" w:color="auto" w:fill="auto"/>
            <w:vAlign w:val="center"/>
          </w:tcPr>
          <w:p w14:paraId="42BEB72A">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10</w:t>
            </w:r>
          </w:p>
        </w:tc>
        <w:tc>
          <w:tcPr>
            <w:tcW w:w="2552" w:type="dxa"/>
            <w:tcBorders>
              <w:top w:val="nil"/>
              <w:left w:val="nil"/>
              <w:bottom w:val="single" w:color="auto" w:sz="8" w:space="0"/>
              <w:right w:val="single" w:color="auto" w:sz="8" w:space="0"/>
            </w:tcBorders>
            <w:shd w:val="clear" w:color="auto" w:fill="auto"/>
            <w:vAlign w:val="center"/>
          </w:tcPr>
          <w:p w14:paraId="1D38548B">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铜</w:t>
            </w:r>
          </w:p>
        </w:tc>
        <w:tc>
          <w:tcPr>
            <w:tcW w:w="1592" w:type="dxa"/>
            <w:tcBorders>
              <w:top w:val="nil"/>
              <w:left w:val="nil"/>
              <w:bottom w:val="single" w:color="auto" w:sz="8" w:space="0"/>
              <w:right w:val="single" w:color="auto" w:sz="8" w:space="0"/>
            </w:tcBorders>
            <w:shd w:val="clear" w:color="auto" w:fill="auto"/>
            <w:vAlign w:val="center"/>
          </w:tcPr>
          <w:p w14:paraId="5DA7E6C3">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mg/L</w:t>
            </w:r>
          </w:p>
        </w:tc>
        <w:tc>
          <w:tcPr>
            <w:tcW w:w="1639" w:type="dxa"/>
            <w:tcBorders>
              <w:top w:val="nil"/>
              <w:left w:val="nil"/>
              <w:bottom w:val="single" w:color="auto" w:sz="8" w:space="0"/>
              <w:right w:val="single" w:color="auto" w:sz="8" w:space="0"/>
            </w:tcBorders>
            <w:shd w:val="clear" w:color="auto" w:fill="auto"/>
            <w:vAlign w:val="center"/>
          </w:tcPr>
          <w:p w14:paraId="127A7A96">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0.0005</w:t>
            </w:r>
          </w:p>
        </w:tc>
        <w:tc>
          <w:tcPr>
            <w:tcW w:w="1264" w:type="dxa"/>
            <w:tcBorders>
              <w:top w:val="nil"/>
              <w:left w:val="nil"/>
              <w:bottom w:val="single" w:color="auto" w:sz="8" w:space="0"/>
              <w:right w:val="single" w:color="auto" w:sz="8" w:space="0"/>
            </w:tcBorders>
            <w:shd w:val="clear" w:color="auto" w:fill="auto"/>
            <w:vAlign w:val="center"/>
          </w:tcPr>
          <w:p w14:paraId="707417EB">
            <w:pPr>
              <w:jc w:val="center"/>
              <w:rPr>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Ⅰ</w:t>
            </w:r>
          </w:p>
        </w:tc>
      </w:tr>
      <w:tr w14:paraId="79F73769">
        <w:tblPrEx>
          <w:tblCellMar>
            <w:top w:w="0" w:type="dxa"/>
            <w:left w:w="108" w:type="dxa"/>
            <w:bottom w:w="0" w:type="dxa"/>
            <w:right w:w="108" w:type="dxa"/>
          </w:tblCellMar>
        </w:tblPrEx>
        <w:trPr>
          <w:trHeight w:val="329" w:hRule="atLeast"/>
        </w:trPr>
        <w:tc>
          <w:tcPr>
            <w:tcW w:w="1264" w:type="dxa"/>
            <w:tcBorders>
              <w:top w:val="nil"/>
              <w:left w:val="single" w:color="auto" w:sz="8" w:space="0"/>
              <w:bottom w:val="single" w:color="auto" w:sz="8" w:space="0"/>
              <w:right w:val="single" w:color="auto" w:sz="8" w:space="0"/>
            </w:tcBorders>
            <w:shd w:val="clear" w:color="auto" w:fill="auto"/>
            <w:vAlign w:val="center"/>
          </w:tcPr>
          <w:p w14:paraId="0E4A2CC1">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11</w:t>
            </w:r>
          </w:p>
        </w:tc>
        <w:tc>
          <w:tcPr>
            <w:tcW w:w="2552" w:type="dxa"/>
            <w:tcBorders>
              <w:top w:val="nil"/>
              <w:left w:val="nil"/>
              <w:bottom w:val="single" w:color="auto" w:sz="8" w:space="0"/>
              <w:right w:val="single" w:color="auto" w:sz="8" w:space="0"/>
            </w:tcBorders>
            <w:shd w:val="clear" w:color="auto" w:fill="auto"/>
            <w:vAlign w:val="center"/>
          </w:tcPr>
          <w:p w14:paraId="682D8AB9">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锌</w:t>
            </w:r>
          </w:p>
        </w:tc>
        <w:tc>
          <w:tcPr>
            <w:tcW w:w="1592" w:type="dxa"/>
            <w:tcBorders>
              <w:top w:val="nil"/>
              <w:left w:val="nil"/>
              <w:bottom w:val="single" w:color="auto" w:sz="8" w:space="0"/>
              <w:right w:val="single" w:color="auto" w:sz="8" w:space="0"/>
            </w:tcBorders>
            <w:shd w:val="clear" w:color="auto" w:fill="auto"/>
            <w:vAlign w:val="center"/>
          </w:tcPr>
          <w:p w14:paraId="1475BF0E">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mg/L</w:t>
            </w:r>
          </w:p>
        </w:tc>
        <w:tc>
          <w:tcPr>
            <w:tcW w:w="1639" w:type="dxa"/>
            <w:tcBorders>
              <w:top w:val="nil"/>
              <w:left w:val="nil"/>
              <w:bottom w:val="single" w:color="auto" w:sz="8" w:space="0"/>
              <w:right w:val="single" w:color="auto" w:sz="8" w:space="0"/>
            </w:tcBorders>
            <w:shd w:val="clear" w:color="auto" w:fill="auto"/>
            <w:vAlign w:val="center"/>
          </w:tcPr>
          <w:p w14:paraId="18F831EC">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0.025</w:t>
            </w:r>
          </w:p>
        </w:tc>
        <w:tc>
          <w:tcPr>
            <w:tcW w:w="1264" w:type="dxa"/>
            <w:tcBorders>
              <w:top w:val="nil"/>
              <w:left w:val="nil"/>
              <w:bottom w:val="single" w:color="auto" w:sz="8" w:space="0"/>
              <w:right w:val="single" w:color="auto" w:sz="8" w:space="0"/>
            </w:tcBorders>
            <w:shd w:val="clear" w:color="auto" w:fill="auto"/>
            <w:vAlign w:val="center"/>
          </w:tcPr>
          <w:p w14:paraId="24BF66A5">
            <w:pPr>
              <w:jc w:val="center"/>
              <w:rPr>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Ⅰ</w:t>
            </w:r>
          </w:p>
        </w:tc>
      </w:tr>
      <w:tr w14:paraId="5B1B90F3">
        <w:tblPrEx>
          <w:tblCellMar>
            <w:top w:w="0" w:type="dxa"/>
            <w:left w:w="108" w:type="dxa"/>
            <w:bottom w:w="0" w:type="dxa"/>
            <w:right w:w="108" w:type="dxa"/>
          </w:tblCellMar>
        </w:tblPrEx>
        <w:trPr>
          <w:trHeight w:val="329" w:hRule="atLeast"/>
        </w:trPr>
        <w:tc>
          <w:tcPr>
            <w:tcW w:w="1264" w:type="dxa"/>
            <w:tcBorders>
              <w:top w:val="nil"/>
              <w:left w:val="single" w:color="auto" w:sz="8" w:space="0"/>
              <w:bottom w:val="single" w:color="auto" w:sz="8" w:space="0"/>
              <w:right w:val="single" w:color="auto" w:sz="8" w:space="0"/>
            </w:tcBorders>
            <w:shd w:val="clear" w:color="auto" w:fill="auto"/>
            <w:vAlign w:val="center"/>
          </w:tcPr>
          <w:p w14:paraId="5632C686">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12</w:t>
            </w:r>
          </w:p>
        </w:tc>
        <w:tc>
          <w:tcPr>
            <w:tcW w:w="2552" w:type="dxa"/>
            <w:tcBorders>
              <w:top w:val="nil"/>
              <w:left w:val="nil"/>
              <w:bottom w:val="single" w:color="auto" w:sz="8" w:space="0"/>
              <w:right w:val="single" w:color="auto" w:sz="8" w:space="0"/>
            </w:tcBorders>
            <w:shd w:val="clear" w:color="auto" w:fill="auto"/>
            <w:vAlign w:val="center"/>
          </w:tcPr>
          <w:p w14:paraId="704DF008">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氟化物</w:t>
            </w:r>
          </w:p>
        </w:tc>
        <w:tc>
          <w:tcPr>
            <w:tcW w:w="1592" w:type="dxa"/>
            <w:tcBorders>
              <w:top w:val="nil"/>
              <w:left w:val="nil"/>
              <w:bottom w:val="single" w:color="auto" w:sz="8" w:space="0"/>
              <w:right w:val="single" w:color="auto" w:sz="8" w:space="0"/>
            </w:tcBorders>
            <w:shd w:val="clear" w:color="auto" w:fill="auto"/>
            <w:vAlign w:val="center"/>
          </w:tcPr>
          <w:p w14:paraId="1FB7C915">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mg/L</w:t>
            </w:r>
          </w:p>
        </w:tc>
        <w:tc>
          <w:tcPr>
            <w:tcW w:w="1639" w:type="dxa"/>
            <w:tcBorders>
              <w:top w:val="nil"/>
              <w:left w:val="nil"/>
              <w:bottom w:val="single" w:color="auto" w:sz="8" w:space="0"/>
              <w:right w:val="single" w:color="auto" w:sz="8" w:space="0"/>
            </w:tcBorders>
            <w:shd w:val="clear" w:color="auto" w:fill="auto"/>
            <w:vAlign w:val="center"/>
          </w:tcPr>
          <w:p w14:paraId="0F48CF3E">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0.10</w:t>
            </w:r>
          </w:p>
        </w:tc>
        <w:tc>
          <w:tcPr>
            <w:tcW w:w="1264" w:type="dxa"/>
            <w:tcBorders>
              <w:top w:val="nil"/>
              <w:left w:val="nil"/>
              <w:bottom w:val="single" w:color="auto" w:sz="8" w:space="0"/>
              <w:right w:val="single" w:color="auto" w:sz="8" w:space="0"/>
            </w:tcBorders>
            <w:shd w:val="clear" w:color="auto" w:fill="auto"/>
            <w:vAlign w:val="center"/>
          </w:tcPr>
          <w:p w14:paraId="1F60324A">
            <w:pPr>
              <w:jc w:val="center"/>
              <w:rPr>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Ⅰ</w:t>
            </w:r>
          </w:p>
        </w:tc>
      </w:tr>
      <w:tr w14:paraId="05E38161">
        <w:tblPrEx>
          <w:tblCellMar>
            <w:top w:w="0" w:type="dxa"/>
            <w:left w:w="108" w:type="dxa"/>
            <w:bottom w:w="0" w:type="dxa"/>
            <w:right w:w="108" w:type="dxa"/>
          </w:tblCellMar>
        </w:tblPrEx>
        <w:trPr>
          <w:trHeight w:val="329" w:hRule="atLeast"/>
        </w:trPr>
        <w:tc>
          <w:tcPr>
            <w:tcW w:w="1264" w:type="dxa"/>
            <w:tcBorders>
              <w:top w:val="nil"/>
              <w:left w:val="single" w:color="auto" w:sz="8" w:space="0"/>
              <w:bottom w:val="single" w:color="auto" w:sz="8" w:space="0"/>
              <w:right w:val="single" w:color="auto" w:sz="8" w:space="0"/>
            </w:tcBorders>
            <w:shd w:val="clear" w:color="auto" w:fill="auto"/>
            <w:vAlign w:val="center"/>
          </w:tcPr>
          <w:p w14:paraId="0714458F">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13</w:t>
            </w:r>
          </w:p>
        </w:tc>
        <w:tc>
          <w:tcPr>
            <w:tcW w:w="2552" w:type="dxa"/>
            <w:tcBorders>
              <w:top w:val="nil"/>
              <w:left w:val="nil"/>
              <w:bottom w:val="single" w:color="auto" w:sz="8" w:space="0"/>
              <w:right w:val="single" w:color="auto" w:sz="8" w:space="0"/>
            </w:tcBorders>
            <w:shd w:val="clear" w:color="auto" w:fill="auto"/>
            <w:vAlign w:val="center"/>
          </w:tcPr>
          <w:p w14:paraId="30C09AFF">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硒</w:t>
            </w:r>
          </w:p>
        </w:tc>
        <w:tc>
          <w:tcPr>
            <w:tcW w:w="1592" w:type="dxa"/>
            <w:tcBorders>
              <w:top w:val="nil"/>
              <w:left w:val="nil"/>
              <w:bottom w:val="single" w:color="auto" w:sz="8" w:space="0"/>
              <w:right w:val="single" w:color="auto" w:sz="8" w:space="0"/>
            </w:tcBorders>
            <w:shd w:val="clear" w:color="auto" w:fill="auto"/>
            <w:vAlign w:val="center"/>
          </w:tcPr>
          <w:p w14:paraId="3DCEF6CF">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mg/L</w:t>
            </w:r>
          </w:p>
        </w:tc>
        <w:tc>
          <w:tcPr>
            <w:tcW w:w="1639" w:type="dxa"/>
            <w:tcBorders>
              <w:top w:val="nil"/>
              <w:left w:val="nil"/>
              <w:bottom w:val="single" w:color="auto" w:sz="8" w:space="0"/>
              <w:right w:val="single" w:color="auto" w:sz="8" w:space="0"/>
            </w:tcBorders>
            <w:shd w:val="clear" w:color="auto" w:fill="auto"/>
            <w:vAlign w:val="center"/>
          </w:tcPr>
          <w:p w14:paraId="64767515">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0.0002</w:t>
            </w:r>
          </w:p>
        </w:tc>
        <w:tc>
          <w:tcPr>
            <w:tcW w:w="1264" w:type="dxa"/>
            <w:tcBorders>
              <w:top w:val="nil"/>
              <w:left w:val="nil"/>
              <w:bottom w:val="single" w:color="auto" w:sz="8" w:space="0"/>
              <w:right w:val="single" w:color="auto" w:sz="8" w:space="0"/>
            </w:tcBorders>
            <w:shd w:val="clear" w:color="auto" w:fill="auto"/>
            <w:vAlign w:val="center"/>
          </w:tcPr>
          <w:p w14:paraId="078552BC">
            <w:pPr>
              <w:jc w:val="center"/>
              <w:rPr>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Ⅰ</w:t>
            </w:r>
          </w:p>
        </w:tc>
      </w:tr>
      <w:tr w14:paraId="0F1C9B8A">
        <w:tblPrEx>
          <w:tblCellMar>
            <w:top w:w="0" w:type="dxa"/>
            <w:left w:w="108" w:type="dxa"/>
            <w:bottom w:w="0" w:type="dxa"/>
            <w:right w:w="108" w:type="dxa"/>
          </w:tblCellMar>
        </w:tblPrEx>
        <w:trPr>
          <w:trHeight w:val="329" w:hRule="atLeast"/>
        </w:trPr>
        <w:tc>
          <w:tcPr>
            <w:tcW w:w="1264" w:type="dxa"/>
            <w:tcBorders>
              <w:top w:val="nil"/>
              <w:left w:val="single" w:color="auto" w:sz="8" w:space="0"/>
              <w:bottom w:val="single" w:color="auto" w:sz="8" w:space="0"/>
              <w:right w:val="single" w:color="auto" w:sz="8" w:space="0"/>
            </w:tcBorders>
            <w:shd w:val="clear" w:color="auto" w:fill="auto"/>
            <w:vAlign w:val="center"/>
          </w:tcPr>
          <w:p w14:paraId="160BEAAC">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14</w:t>
            </w:r>
          </w:p>
        </w:tc>
        <w:tc>
          <w:tcPr>
            <w:tcW w:w="2552" w:type="dxa"/>
            <w:tcBorders>
              <w:top w:val="nil"/>
              <w:left w:val="nil"/>
              <w:bottom w:val="single" w:color="auto" w:sz="8" w:space="0"/>
              <w:right w:val="single" w:color="auto" w:sz="8" w:space="0"/>
            </w:tcBorders>
            <w:shd w:val="clear" w:color="auto" w:fill="auto"/>
            <w:vAlign w:val="center"/>
          </w:tcPr>
          <w:p w14:paraId="21279842">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砷</w:t>
            </w:r>
          </w:p>
        </w:tc>
        <w:tc>
          <w:tcPr>
            <w:tcW w:w="1592" w:type="dxa"/>
            <w:tcBorders>
              <w:top w:val="nil"/>
              <w:left w:val="nil"/>
              <w:bottom w:val="single" w:color="auto" w:sz="8" w:space="0"/>
              <w:right w:val="single" w:color="auto" w:sz="8" w:space="0"/>
            </w:tcBorders>
            <w:shd w:val="clear" w:color="auto" w:fill="auto"/>
            <w:vAlign w:val="center"/>
          </w:tcPr>
          <w:p w14:paraId="3A83D46C">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mg/L</w:t>
            </w:r>
          </w:p>
        </w:tc>
        <w:tc>
          <w:tcPr>
            <w:tcW w:w="1639" w:type="dxa"/>
            <w:tcBorders>
              <w:top w:val="nil"/>
              <w:left w:val="nil"/>
              <w:bottom w:val="single" w:color="auto" w:sz="8" w:space="0"/>
              <w:right w:val="single" w:color="auto" w:sz="8" w:space="0"/>
            </w:tcBorders>
            <w:shd w:val="clear" w:color="auto" w:fill="auto"/>
            <w:vAlign w:val="center"/>
          </w:tcPr>
          <w:p w14:paraId="57F0329D">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0.00015</w:t>
            </w:r>
          </w:p>
        </w:tc>
        <w:tc>
          <w:tcPr>
            <w:tcW w:w="1264" w:type="dxa"/>
            <w:tcBorders>
              <w:top w:val="nil"/>
              <w:left w:val="nil"/>
              <w:bottom w:val="single" w:color="auto" w:sz="8" w:space="0"/>
              <w:right w:val="single" w:color="auto" w:sz="8" w:space="0"/>
            </w:tcBorders>
            <w:shd w:val="clear" w:color="auto" w:fill="auto"/>
            <w:vAlign w:val="center"/>
          </w:tcPr>
          <w:p w14:paraId="0ADE97C7">
            <w:pPr>
              <w:jc w:val="center"/>
              <w:rPr>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Ⅰ</w:t>
            </w:r>
          </w:p>
        </w:tc>
      </w:tr>
      <w:tr w14:paraId="6B47E293">
        <w:tblPrEx>
          <w:tblCellMar>
            <w:top w:w="0" w:type="dxa"/>
            <w:left w:w="108" w:type="dxa"/>
            <w:bottom w:w="0" w:type="dxa"/>
            <w:right w:w="108" w:type="dxa"/>
          </w:tblCellMar>
        </w:tblPrEx>
        <w:trPr>
          <w:trHeight w:val="329" w:hRule="atLeast"/>
        </w:trPr>
        <w:tc>
          <w:tcPr>
            <w:tcW w:w="1264" w:type="dxa"/>
            <w:tcBorders>
              <w:top w:val="nil"/>
              <w:left w:val="single" w:color="auto" w:sz="8" w:space="0"/>
              <w:bottom w:val="single" w:color="auto" w:sz="8" w:space="0"/>
              <w:right w:val="single" w:color="auto" w:sz="8" w:space="0"/>
            </w:tcBorders>
            <w:shd w:val="clear" w:color="auto" w:fill="auto"/>
            <w:vAlign w:val="center"/>
          </w:tcPr>
          <w:p w14:paraId="4D10FDA1">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15</w:t>
            </w:r>
          </w:p>
        </w:tc>
        <w:tc>
          <w:tcPr>
            <w:tcW w:w="2552" w:type="dxa"/>
            <w:tcBorders>
              <w:top w:val="nil"/>
              <w:left w:val="nil"/>
              <w:bottom w:val="single" w:color="auto" w:sz="8" w:space="0"/>
              <w:right w:val="single" w:color="auto" w:sz="8" w:space="0"/>
            </w:tcBorders>
            <w:shd w:val="clear" w:color="auto" w:fill="auto"/>
            <w:vAlign w:val="center"/>
          </w:tcPr>
          <w:p w14:paraId="2E875635">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汞</w:t>
            </w:r>
          </w:p>
        </w:tc>
        <w:tc>
          <w:tcPr>
            <w:tcW w:w="1592" w:type="dxa"/>
            <w:tcBorders>
              <w:top w:val="nil"/>
              <w:left w:val="nil"/>
              <w:bottom w:val="single" w:color="auto" w:sz="8" w:space="0"/>
              <w:right w:val="single" w:color="auto" w:sz="8" w:space="0"/>
            </w:tcBorders>
            <w:shd w:val="clear" w:color="auto" w:fill="auto"/>
            <w:vAlign w:val="center"/>
          </w:tcPr>
          <w:p w14:paraId="59075C76">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mg/L</w:t>
            </w:r>
          </w:p>
        </w:tc>
        <w:tc>
          <w:tcPr>
            <w:tcW w:w="1639" w:type="dxa"/>
            <w:tcBorders>
              <w:top w:val="nil"/>
              <w:left w:val="nil"/>
              <w:bottom w:val="single" w:color="auto" w:sz="8" w:space="0"/>
              <w:right w:val="single" w:color="auto" w:sz="8" w:space="0"/>
            </w:tcBorders>
            <w:shd w:val="clear" w:color="auto" w:fill="auto"/>
            <w:vAlign w:val="center"/>
          </w:tcPr>
          <w:p w14:paraId="485803A7">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0.00002</w:t>
            </w:r>
          </w:p>
        </w:tc>
        <w:tc>
          <w:tcPr>
            <w:tcW w:w="1264" w:type="dxa"/>
            <w:tcBorders>
              <w:top w:val="nil"/>
              <w:left w:val="nil"/>
              <w:bottom w:val="single" w:color="auto" w:sz="8" w:space="0"/>
              <w:right w:val="single" w:color="auto" w:sz="8" w:space="0"/>
            </w:tcBorders>
            <w:shd w:val="clear" w:color="auto" w:fill="auto"/>
            <w:vAlign w:val="center"/>
          </w:tcPr>
          <w:p w14:paraId="5E919734">
            <w:pPr>
              <w:jc w:val="center"/>
              <w:rPr>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Ⅰ</w:t>
            </w:r>
          </w:p>
        </w:tc>
      </w:tr>
      <w:tr w14:paraId="16A4A26A">
        <w:tblPrEx>
          <w:tblCellMar>
            <w:top w:w="0" w:type="dxa"/>
            <w:left w:w="108" w:type="dxa"/>
            <w:bottom w:w="0" w:type="dxa"/>
            <w:right w:w="108" w:type="dxa"/>
          </w:tblCellMar>
        </w:tblPrEx>
        <w:trPr>
          <w:trHeight w:val="329" w:hRule="atLeast"/>
        </w:trPr>
        <w:tc>
          <w:tcPr>
            <w:tcW w:w="1264" w:type="dxa"/>
            <w:tcBorders>
              <w:top w:val="nil"/>
              <w:left w:val="single" w:color="auto" w:sz="8" w:space="0"/>
              <w:bottom w:val="single" w:color="auto" w:sz="8" w:space="0"/>
              <w:right w:val="single" w:color="auto" w:sz="8" w:space="0"/>
            </w:tcBorders>
            <w:shd w:val="clear" w:color="auto" w:fill="auto"/>
            <w:vAlign w:val="center"/>
          </w:tcPr>
          <w:p w14:paraId="3FEC6146">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16</w:t>
            </w:r>
          </w:p>
        </w:tc>
        <w:tc>
          <w:tcPr>
            <w:tcW w:w="2552" w:type="dxa"/>
            <w:tcBorders>
              <w:top w:val="nil"/>
              <w:left w:val="nil"/>
              <w:bottom w:val="single" w:color="auto" w:sz="8" w:space="0"/>
              <w:right w:val="single" w:color="auto" w:sz="8" w:space="0"/>
            </w:tcBorders>
            <w:shd w:val="clear" w:color="auto" w:fill="auto"/>
            <w:vAlign w:val="center"/>
          </w:tcPr>
          <w:p w14:paraId="77A8F205">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镉</w:t>
            </w:r>
          </w:p>
        </w:tc>
        <w:tc>
          <w:tcPr>
            <w:tcW w:w="1592" w:type="dxa"/>
            <w:tcBorders>
              <w:top w:val="nil"/>
              <w:left w:val="nil"/>
              <w:bottom w:val="single" w:color="auto" w:sz="8" w:space="0"/>
              <w:right w:val="single" w:color="auto" w:sz="8" w:space="0"/>
            </w:tcBorders>
            <w:shd w:val="clear" w:color="auto" w:fill="auto"/>
            <w:vAlign w:val="center"/>
          </w:tcPr>
          <w:p w14:paraId="349D580A">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mg/L</w:t>
            </w:r>
          </w:p>
        </w:tc>
        <w:tc>
          <w:tcPr>
            <w:tcW w:w="1639" w:type="dxa"/>
            <w:tcBorders>
              <w:top w:val="nil"/>
              <w:left w:val="nil"/>
              <w:bottom w:val="single" w:color="auto" w:sz="8" w:space="0"/>
              <w:right w:val="single" w:color="auto" w:sz="8" w:space="0"/>
            </w:tcBorders>
            <w:shd w:val="clear" w:color="auto" w:fill="auto"/>
            <w:vAlign w:val="center"/>
          </w:tcPr>
          <w:p w14:paraId="1D5BD167">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0.0005</w:t>
            </w:r>
          </w:p>
        </w:tc>
        <w:tc>
          <w:tcPr>
            <w:tcW w:w="1264" w:type="dxa"/>
            <w:tcBorders>
              <w:top w:val="nil"/>
              <w:left w:val="nil"/>
              <w:bottom w:val="single" w:color="auto" w:sz="8" w:space="0"/>
              <w:right w:val="single" w:color="auto" w:sz="8" w:space="0"/>
            </w:tcBorders>
            <w:shd w:val="clear" w:color="auto" w:fill="auto"/>
            <w:vAlign w:val="center"/>
          </w:tcPr>
          <w:p w14:paraId="5E768E84">
            <w:pPr>
              <w:jc w:val="center"/>
              <w:rPr>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Ⅰ</w:t>
            </w:r>
          </w:p>
        </w:tc>
      </w:tr>
      <w:tr w14:paraId="364AEDF4">
        <w:tblPrEx>
          <w:tblCellMar>
            <w:top w:w="0" w:type="dxa"/>
            <w:left w:w="108" w:type="dxa"/>
            <w:bottom w:w="0" w:type="dxa"/>
            <w:right w:w="108" w:type="dxa"/>
          </w:tblCellMar>
        </w:tblPrEx>
        <w:trPr>
          <w:trHeight w:val="329" w:hRule="atLeast"/>
        </w:trPr>
        <w:tc>
          <w:tcPr>
            <w:tcW w:w="1264" w:type="dxa"/>
            <w:tcBorders>
              <w:top w:val="nil"/>
              <w:left w:val="single" w:color="auto" w:sz="8" w:space="0"/>
              <w:bottom w:val="single" w:color="auto" w:sz="8" w:space="0"/>
              <w:right w:val="single" w:color="auto" w:sz="8" w:space="0"/>
            </w:tcBorders>
            <w:shd w:val="clear" w:color="auto" w:fill="auto"/>
            <w:vAlign w:val="center"/>
          </w:tcPr>
          <w:p w14:paraId="1B107871">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17</w:t>
            </w:r>
          </w:p>
        </w:tc>
        <w:tc>
          <w:tcPr>
            <w:tcW w:w="2552" w:type="dxa"/>
            <w:tcBorders>
              <w:top w:val="nil"/>
              <w:left w:val="nil"/>
              <w:bottom w:val="single" w:color="auto" w:sz="8" w:space="0"/>
              <w:right w:val="single" w:color="auto" w:sz="8" w:space="0"/>
            </w:tcBorders>
            <w:shd w:val="clear" w:color="auto" w:fill="auto"/>
            <w:vAlign w:val="center"/>
          </w:tcPr>
          <w:p w14:paraId="4A3F29DE">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六价铬</w:t>
            </w:r>
          </w:p>
        </w:tc>
        <w:tc>
          <w:tcPr>
            <w:tcW w:w="1592" w:type="dxa"/>
            <w:tcBorders>
              <w:top w:val="nil"/>
              <w:left w:val="nil"/>
              <w:bottom w:val="single" w:color="auto" w:sz="8" w:space="0"/>
              <w:right w:val="single" w:color="auto" w:sz="8" w:space="0"/>
            </w:tcBorders>
            <w:shd w:val="clear" w:color="auto" w:fill="auto"/>
            <w:vAlign w:val="center"/>
          </w:tcPr>
          <w:p w14:paraId="5DF98701">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mg/L</w:t>
            </w:r>
          </w:p>
        </w:tc>
        <w:tc>
          <w:tcPr>
            <w:tcW w:w="1639" w:type="dxa"/>
            <w:tcBorders>
              <w:top w:val="nil"/>
              <w:left w:val="nil"/>
              <w:bottom w:val="single" w:color="auto" w:sz="8" w:space="0"/>
              <w:right w:val="single" w:color="auto" w:sz="8" w:space="0"/>
            </w:tcBorders>
            <w:shd w:val="clear" w:color="auto" w:fill="auto"/>
            <w:vAlign w:val="center"/>
          </w:tcPr>
          <w:p w14:paraId="494B3FEB">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0.002</w:t>
            </w:r>
          </w:p>
        </w:tc>
        <w:tc>
          <w:tcPr>
            <w:tcW w:w="1264" w:type="dxa"/>
            <w:tcBorders>
              <w:top w:val="nil"/>
              <w:left w:val="nil"/>
              <w:bottom w:val="single" w:color="auto" w:sz="8" w:space="0"/>
              <w:right w:val="single" w:color="auto" w:sz="8" w:space="0"/>
            </w:tcBorders>
            <w:shd w:val="clear" w:color="auto" w:fill="auto"/>
            <w:vAlign w:val="center"/>
          </w:tcPr>
          <w:p w14:paraId="46122CFA">
            <w:pPr>
              <w:jc w:val="center"/>
              <w:rPr>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Ⅰ</w:t>
            </w:r>
          </w:p>
        </w:tc>
      </w:tr>
      <w:tr w14:paraId="1CC6F1B4">
        <w:tblPrEx>
          <w:tblCellMar>
            <w:top w:w="0" w:type="dxa"/>
            <w:left w:w="108" w:type="dxa"/>
            <w:bottom w:w="0" w:type="dxa"/>
            <w:right w:w="108" w:type="dxa"/>
          </w:tblCellMar>
        </w:tblPrEx>
        <w:trPr>
          <w:trHeight w:val="329" w:hRule="atLeast"/>
        </w:trPr>
        <w:tc>
          <w:tcPr>
            <w:tcW w:w="1264" w:type="dxa"/>
            <w:tcBorders>
              <w:top w:val="nil"/>
              <w:left w:val="single" w:color="auto" w:sz="8" w:space="0"/>
              <w:bottom w:val="single" w:color="auto" w:sz="8" w:space="0"/>
              <w:right w:val="single" w:color="auto" w:sz="8" w:space="0"/>
            </w:tcBorders>
            <w:shd w:val="clear" w:color="auto" w:fill="auto"/>
            <w:vAlign w:val="center"/>
          </w:tcPr>
          <w:p w14:paraId="6C7F6D74">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18</w:t>
            </w:r>
          </w:p>
        </w:tc>
        <w:tc>
          <w:tcPr>
            <w:tcW w:w="2552" w:type="dxa"/>
            <w:tcBorders>
              <w:top w:val="nil"/>
              <w:left w:val="nil"/>
              <w:bottom w:val="single" w:color="auto" w:sz="8" w:space="0"/>
              <w:right w:val="single" w:color="auto" w:sz="8" w:space="0"/>
            </w:tcBorders>
            <w:shd w:val="clear" w:color="auto" w:fill="auto"/>
            <w:vAlign w:val="center"/>
          </w:tcPr>
          <w:p w14:paraId="72D3AF8F">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铅</w:t>
            </w:r>
          </w:p>
        </w:tc>
        <w:tc>
          <w:tcPr>
            <w:tcW w:w="1592" w:type="dxa"/>
            <w:tcBorders>
              <w:top w:val="nil"/>
              <w:left w:val="nil"/>
              <w:bottom w:val="single" w:color="auto" w:sz="8" w:space="0"/>
              <w:right w:val="single" w:color="auto" w:sz="8" w:space="0"/>
            </w:tcBorders>
            <w:shd w:val="clear" w:color="auto" w:fill="auto"/>
            <w:vAlign w:val="center"/>
          </w:tcPr>
          <w:p w14:paraId="74362E6B">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mg/L</w:t>
            </w:r>
          </w:p>
        </w:tc>
        <w:tc>
          <w:tcPr>
            <w:tcW w:w="1639" w:type="dxa"/>
            <w:tcBorders>
              <w:top w:val="nil"/>
              <w:left w:val="nil"/>
              <w:bottom w:val="single" w:color="auto" w:sz="8" w:space="0"/>
              <w:right w:val="single" w:color="auto" w:sz="8" w:space="0"/>
            </w:tcBorders>
            <w:shd w:val="clear" w:color="auto" w:fill="auto"/>
            <w:vAlign w:val="center"/>
          </w:tcPr>
          <w:p w14:paraId="1EB8D6AE">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0.005</w:t>
            </w:r>
          </w:p>
        </w:tc>
        <w:tc>
          <w:tcPr>
            <w:tcW w:w="1264" w:type="dxa"/>
            <w:tcBorders>
              <w:top w:val="nil"/>
              <w:left w:val="nil"/>
              <w:bottom w:val="single" w:color="auto" w:sz="8" w:space="0"/>
              <w:right w:val="single" w:color="auto" w:sz="8" w:space="0"/>
            </w:tcBorders>
            <w:shd w:val="clear" w:color="auto" w:fill="auto"/>
            <w:vAlign w:val="center"/>
          </w:tcPr>
          <w:p w14:paraId="1F7CBCCF">
            <w:pPr>
              <w:jc w:val="center"/>
              <w:rPr>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Ⅰ</w:t>
            </w:r>
          </w:p>
        </w:tc>
      </w:tr>
      <w:tr w14:paraId="251309B8">
        <w:tblPrEx>
          <w:tblCellMar>
            <w:top w:w="0" w:type="dxa"/>
            <w:left w:w="108" w:type="dxa"/>
            <w:bottom w:w="0" w:type="dxa"/>
            <w:right w:w="108" w:type="dxa"/>
          </w:tblCellMar>
        </w:tblPrEx>
        <w:trPr>
          <w:trHeight w:val="329" w:hRule="atLeast"/>
        </w:trPr>
        <w:tc>
          <w:tcPr>
            <w:tcW w:w="1264" w:type="dxa"/>
            <w:tcBorders>
              <w:top w:val="nil"/>
              <w:left w:val="single" w:color="auto" w:sz="8" w:space="0"/>
              <w:bottom w:val="single" w:color="auto" w:sz="8" w:space="0"/>
              <w:right w:val="single" w:color="auto" w:sz="8" w:space="0"/>
            </w:tcBorders>
            <w:shd w:val="clear" w:color="auto" w:fill="auto"/>
            <w:vAlign w:val="center"/>
          </w:tcPr>
          <w:p w14:paraId="15FE53F5">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19</w:t>
            </w:r>
          </w:p>
        </w:tc>
        <w:tc>
          <w:tcPr>
            <w:tcW w:w="2552" w:type="dxa"/>
            <w:tcBorders>
              <w:top w:val="nil"/>
              <w:left w:val="nil"/>
              <w:bottom w:val="single" w:color="auto" w:sz="8" w:space="0"/>
              <w:right w:val="single" w:color="auto" w:sz="8" w:space="0"/>
            </w:tcBorders>
            <w:shd w:val="clear" w:color="auto" w:fill="auto"/>
            <w:vAlign w:val="center"/>
          </w:tcPr>
          <w:p w14:paraId="3CBE0E1D">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氰化物</w:t>
            </w:r>
          </w:p>
        </w:tc>
        <w:tc>
          <w:tcPr>
            <w:tcW w:w="1592" w:type="dxa"/>
            <w:tcBorders>
              <w:top w:val="nil"/>
              <w:left w:val="nil"/>
              <w:bottom w:val="single" w:color="auto" w:sz="8" w:space="0"/>
              <w:right w:val="single" w:color="auto" w:sz="8" w:space="0"/>
            </w:tcBorders>
            <w:shd w:val="clear" w:color="auto" w:fill="auto"/>
            <w:vAlign w:val="center"/>
          </w:tcPr>
          <w:p w14:paraId="2BE8B98D">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mg/L</w:t>
            </w:r>
          </w:p>
        </w:tc>
        <w:tc>
          <w:tcPr>
            <w:tcW w:w="1639" w:type="dxa"/>
            <w:tcBorders>
              <w:top w:val="nil"/>
              <w:left w:val="nil"/>
              <w:bottom w:val="single" w:color="auto" w:sz="8" w:space="0"/>
              <w:right w:val="single" w:color="auto" w:sz="8" w:space="0"/>
            </w:tcBorders>
            <w:shd w:val="clear" w:color="auto" w:fill="auto"/>
            <w:vAlign w:val="center"/>
          </w:tcPr>
          <w:p w14:paraId="780720E2">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0.002</w:t>
            </w:r>
          </w:p>
        </w:tc>
        <w:tc>
          <w:tcPr>
            <w:tcW w:w="1264" w:type="dxa"/>
            <w:tcBorders>
              <w:top w:val="nil"/>
              <w:left w:val="nil"/>
              <w:bottom w:val="single" w:color="auto" w:sz="8" w:space="0"/>
              <w:right w:val="single" w:color="auto" w:sz="8" w:space="0"/>
            </w:tcBorders>
            <w:shd w:val="clear" w:color="auto" w:fill="auto"/>
            <w:vAlign w:val="center"/>
          </w:tcPr>
          <w:p w14:paraId="310DDE0F">
            <w:pPr>
              <w:jc w:val="center"/>
              <w:rPr>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Ⅰ</w:t>
            </w:r>
          </w:p>
        </w:tc>
      </w:tr>
      <w:tr w14:paraId="7A537CB0">
        <w:tblPrEx>
          <w:tblCellMar>
            <w:top w:w="0" w:type="dxa"/>
            <w:left w:w="108" w:type="dxa"/>
            <w:bottom w:w="0" w:type="dxa"/>
            <w:right w:w="108" w:type="dxa"/>
          </w:tblCellMar>
        </w:tblPrEx>
        <w:trPr>
          <w:trHeight w:val="329" w:hRule="atLeast"/>
        </w:trPr>
        <w:tc>
          <w:tcPr>
            <w:tcW w:w="1264" w:type="dxa"/>
            <w:tcBorders>
              <w:top w:val="nil"/>
              <w:left w:val="single" w:color="auto" w:sz="8" w:space="0"/>
              <w:bottom w:val="single" w:color="auto" w:sz="8" w:space="0"/>
              <w:right w:val="single" w:color="auto" w:sz="8" w:space="0"/>
            </w:tcBorders>
            <w:shd w:val="clear" w:color="auto" w:fill="auto"/>
            <w:vAlign w:val="center"/>
          </w:tcPr>
          <w:p w14:paraId="3D5D6AEC">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20</w:t>
            </w:r>
          </w:p>
        </w:tc>
        <w:tc>
          <w:tcPr>
            <w:tcW w:w="2552" w:type="dxa"/>
            <w:tcBorders>
              <w:top w:val="nil"/>
              <w:left w:val="nil"/>
              <w:bottom w:val="single" w:color="auto" w:sz="8" w:space="0"/>
              <w:right w:val="single" w:color="auto" w:sz="8" w:space="0"/>
            </w:tcBorders>
            <w:shd w:val="clear" w:color="auto" w:fill="auto"/>
            <w:vAlign w:val="center"/>
          </w:tcPr>
          <w:p w14:paraId="247974B9">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挥发酚</w:t>
            </w:r>
          </w:p>
        </w:tc>
        <w:tc>
          <w:tcPr>
            <w:tcW w:w="1592" w:type="dxa"/>
            <w:tcBorders>
              <w:top w:val="nil"/>
              <w:left w:val="nil"/>
              <w:bottom w:val="single" w:color="auto" w:sz="8" w:space="0"/>
              <w:right w:val="single" w:color="auto" w:sz="8" w:space="0"/>
            </w:tcBorders>
            <w:shd w:val="clear" w:color="auto" w:fill="auto"/>
            <w:vAlign w:val="center"/>
          </w:tcPr>
          <w:p w14:paraId="5E546715">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mg/L</w:t>
            </w:r>
          </w:p>
        </w:tc>
        <w:tc>
          <w:tcPr>
            <w:tcW w:w="1639" w:type="dxa"/>
            <w:tcBorders>
              <w:top w:val="nil"/>
              <w:left w:val="nil"/>
              <w:bottom w:val="single" w:color="auto" w:sz="8" w:space="0"/>
              <w:right w:val="single" w:color="auto" w:sz="8" w:space="0"/>
            </w:tcBorders>
            <w:shd w:val="clear" w:color="auto" w:fill="auto"/>
            <w:vAlign w:val="center"/>
          </w:tcPr>
          <w:p w14:paraId="0AA5F36C">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0.00015</w:t>
            </w:r>
          </w:p>
        </w:tc>
        <w:tc>
          <w:tcPr>
            <w:tcW w:w="1264" w:type="dxa"/>
            <w:tcBorders>
              <w:top w:val="nil"/>
              <w:left w:val="nil"/>
              <w:bottom w:val="single" w:color="auto" w:sz="8" w:space="0"/>
              <w:right w:val="single" w:color="auto" w:sz="8" w:space="0"/>
            </w:tcBorders>
            <w:shd w:val="clear" w:color="auto" w:fill="auto"/>
            <w:vAlign w:val="center"/>
          </w:tcPr>
          <w:p w14:paraId="7F4ABA4D">
            <w:pPr>
              <w:jc w:val="center"/>
              <w:rPr>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Ⅰ</w:t>
            </w:r>
          </w:p>
        </w:tc>
      </w:tr>
      <w:tr w14:paraId="39027359">
        <w:tblPrEx>
          <w:tblCellMar>
            <w:top w:w="0" w:type="dxa"/>
            <w:left w:w="108" w:type="dxa"/>
            <w:bottom w:w="0" w:type="dxa"/>
            <w:right w:w="108" w:type="dxa"/>
          </w:tblCellMar>
        </w:tblPrEx>
        <w:trPr>
          <w:trHeight w:val="329" w:hRule="atLeast"/>
        </w:trPr>
        <w:tc>
          <w:tcPr>
            <w:tcW w:w="1264" w:type="dxa"/>
            <w:tcBorders>
              <w:top w:val="nil"/>
              <w:left w:val="single" w:color="auto" w:sz="8" w:space="0"/>
              <w:bottom w:val="single" w:color="auto" w:sz="8" w:space="0"/>
              <w:right w:val="single" w:color="auto" w:sz="8" w:space="0"/>
            </w:tcBorders>
            <w:shd w:val="clear" w:color="auto" w:fill="auto"/>
            <w:vAlign w:val="center"/>
          </w:tcPr>
          <w:p w14:paraId="4A4B15C2">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21</w:t>
            </w:r>
          </w:p>
        </w:tc>
        <w:tc>
          <w:tcPr>
            <w:tcW w:w="2552" w:type="dxa"/>
            <w:tcBorders>
              <w:top w:val="nil"/>
              <w:left w:val="nil"/>
              <w:bottom w:val="single" w:color="auto" w:sz="8" w:space="0"/>
              <w:right w:val="single" w:color="auto" w:sz="8" w:space="0"/>
            </w:tcBorders>
            <w:shd w:val="clear" w:color="auto" w:fill="auto"/>
            <w:vAlign w:val="center"/>
          </w:tcPr>
          <w:p w14:paraId="436A2A7B">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石油类</w:t>
            </w:r>
          </w:p>
        </w:tc>
        <w:tc>
          <w:tcPr>
            <w:tcW w:w="1592" w:type="dxa"/>
            <w:tcBorders>
              <w:top w:val="nil"/>
              <w:left w:val="nil"/>
              <w:bottom w:val="single" w:color="auto" w:sz="8" w:space="0"/>
              <w:right w:val="single" w:color="auto" w:sz="8" w:space="0"/>
            </w:tcBorders>
            <w:shd w:val="clear" w:color="auto" w:fill="auto"/>
            <w:vAlign w:val="center"/>
          </w:tcPr>
          <w:p w14:paraId="49F1114F">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mg/L</w:t>
            </w:r>
          </w:p>
        </w:tc>
        <w:tc>
          <w:tcPr>
            <w:tcW w:w="1639" w:type="dxa"/>
            <w:tcBorders>
              <w:top w:val="nil"/>
              <w:left w:val="nil"/>
              <w:bottom w:val="single" w:color="auto" w:sz="8" w:space="0"/>
              <w:right w:val="single" w:color="auto" w:sz="8" w:space="0"/>
            </w:tcBorders>
            <w:shd w:val="clear" w:color="auto" w:fill="auto"/>
            <w:vAlign w:val="center"/>
          </w:tcPr>
          <w:p w14:paraId="41ECA896">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0.005</w:t>
            </w:r>
          </w:p>
        </w:tc>
        <w:tc>
          <w:tcPr>
            <w:tcW w:w="1264" w:type="dxa"/>
            <w:tcBorders>
              <w:top w:val="nil"/>
              <w:left w:val="nil"/>
              <w:bottom w:val="single" w:color="auto" w:sz="8" w:space="0"/>
              <w:right w:val="single" w:color="auto" w:sz="8" w:space="0"/>
            </w:tcBorders>
            <w:shd w:val="clear" w:color="auto" w:fill="auto"/>
            <w:vAlign w:val="center"/>
          </w:tcPr>
          <w:p w14:paraId="3E780884">
            <w:pPr>
              <w:jc w:val="center"/>
              <w:rPr>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Ⅰ</w:t>
            </w:r>
          </w:p>
        </w:tc>
      </w:tr>
      <w:tr w14:paraId="2587214A">
        <w:tblPrEx>
          <w:tblCellMar>
            <w:top w:w="0" w:type="dxa"/>
            <w:left w:w="108" w:type="dxa"/>
            <w:bottom w:w="0" w:type="dxa"/>
            <w:right w:w="108" w:type="dxa"/>
          </w:tblCellMar>
        </w:tblPrEx>
        <w:trPr>
          <w:trHeight w:val="329" w:hRule="atLeast"/>
        </w:trPr>
        <w:tc>
          <w:tcPr>
            <w:tcW w:w="1264" w:type="dxa"/>
            <w:tcBorders>
              <w:top w:val="nil"/>
              <w:left w:val="single" w:color="auto" w:sz="8" w:space="0"/>
              <w:bottom w:val="single" w:color="auto" w:sz="8" w:space="0"/>
              <w:right w:val="single" w:color="auto" w:sz="8" w:space="0"/>
            </w:tcBorders>
            <w:shd w:val="clear" w:color="auto" w:fill="auto"/>
            <w:vAlign w:val="center"/>
          </w:tcPr>
          <w:p w14:paraId="269EE06E">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22</w:t>
            </w:r>
          </w:p>
        </w:tc>
        <w:tc>
          <w:tcPr>
            <w:tcW w:w="2552" w:type="dxa"/>
            <w:tcBorders>
              <w:top w:val="nil"/>
              <w:left w:val="nil"/>
              <w:bottom w:val="single" w:color="auto" w:sz="8" w:space="0"/>
              <w:right w:val="single" w:color="auto" w:sz="8" w:space="0"/>
            </w:tcBorders>
            <w:shd w:val="clear" w:color="auto" w:fill="auto"/>
            <w:vAlign w:val="center"/>
          </w:tcPr>
          <w:p w14:paraId="64C10D85">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阴离子表面活性剂</w:t>
            </w:r>
          </w:p>
        </w:tc>
        <w:tc>
          <w:tcPr>
            <w:tcW w:w="1592" w:type="dxa"/>
            <w:tcBorders>
              <w:top w:val="nil"/>
              <w:left w:val="nil"/>
              <w:bottom w:val="single" w:color="auto" w:sz="8" w:space="0"/>
              <w:right w:val="single" w:color="auto" w:sz="8" w:space="0"/>
            </w:tcBorders>
            <w:shd w:val="clear" w:color="auto" w:fill="auto"/>
            <w:vAlign w:val="center"/>
          </w:tcPr>
          <w:p w14:paraId="1867585F">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mg/L</w:t>
            </w:r>
          </w:p>
        </w:tc>
        <w:tc>
          <w:tcPr>
            <w:tcW w:w="1639" w:type="dxa"/>
            <w:tcBorders>
              <w:top w:val="nil"/>
              <w:left w:val="nil"/>
              <w:bottom w:val="single" w:color="auto" w:sz="8" w:space="0"/>
              <w:right w:val="single" w:color="auto" w:sz="8" w:space="0"/>
            </w:tcBorders>
            <w:shd w:val="clear" w:color="auto" w:fill="auto"/>
            <w:vAlign w:val="center"/>
          </w:tcPr>
          <w:p w14:paraId="67EC47F4">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0.025</w:t>
            </w:r>
          </w:p>
        </w:tc>
        <w:tc>
          <w:tcPr>
            <w:tcW w:w="1264" w:type="dxa"/>
            <w:tcBorders>
              <w:top w:val="nil"/>
              <w:left w:val="nil"/>
              <w:bottom w:val="single" w:color="auto" w:sz="8" w:space="0"/>
              <w:right w:val="single" w:color="auto" w:sz="8" w:space="0"/>
            </w:tcBorders>
            <w:shd w:val="clear" w:color="auto" w:fill="auto"/>
            <w:vAlign w:val="center"/>
          </w:tcPr>
          <w:p w14:paraId="7F26EB45">
            <w:pPr>
              <w:jc w:val="center"/>
              <w:rPr>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Ⅰ</w:t>
            </w:r>
          </w:p>
        </w:tc>
      </w:tr>
      <w:tr w14:paraId="1F9DB025">
        <w:tblPrEx>
          <w:tblCellMar>
            <w:top w:w="0" w:type="dxa"/>
            <w:left w:w="108" w:type="dxa"/>
            <w:bottom w:w="0" w:type="dxa"/>
            <w:right w:w="108" w:type="dxa"/>
          </w:tblCellMar>
        </w:tblPrEx>
        <w:trPr>
          <w:trHeight w:val="329" w:hRule="atLeast"/>
        </w:trPr>
        <w:tc>
          <w:tcPr>
            <w:tcW w:w="1264" w:type="dxa"/>
            <w:tcBorders>
              <w:top w:val="nil"/>
              <w:left w:val="single" w:color="auto" w:sz="8" w:space="0"/>
              <w:bottom w:val="single" w:color="auto" w:sz="8" w:space="0"/>
              <w:right w:val="single" w:color="auto" w:sz="8" w:space="0"/>
            </w:tcBorders>
            <w:shd w:val="clear" w:color="auto" w:fill="auto"/>
            <w:vAlign w:val="center"/>
          </w:tcPr>
          <w:p w14:paraId="16FE02A9">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23</w:t>
            </w:r>
          </w:p>
        </w:tc>
        <w:tc>
          <w:tcPr>
            <w:tcW w:w="2552" w:type="dxa"/>
            <w:tcBorders>
              <w:top w:val="nil"/>
              <w:left w:val="nil"/>
              <w:bottom w:val="single" w:color="auto" w:sz="8" w:space="0"/>
              <w:right w:val="single" w:color="auto" w:sz="8" w:space="0"/>
            </w:tcBorders>
            <w:shd w:val="clear" w:color="auto" w:fill="auto"/>
            <w:vAlign w:val="center"/>
          </w:tcPr>
          <w:p w14:paraId="2D0D0B39">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硫化物</w:t>
            </w:r>
          </w:p>
        </w:tc>
        <w:tc>
          <w:tcPr>
            <w:tcW w:w="1592" w:type="dxa"/>
            <w:tcBorders>
              <w:top w:val="nil"/>
              <w:left w:val="nil"/>
              <w:bottom w:val="single" w:color="auto" w:sz="8" w:space="0"/>
              <w:right w:val="single" w:color="auto" w:sz="8" w:space="0"/>
            </w:tcBorders>
            <w:shd w:val="clear" w:color="auto" w:fill="auto"/>
            <w:vAlign w:val="center"/>
          </w:tcPr>
          <w:p w14:paraId="28D94975">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mg/L</w:t>
            </w:r>
          </w:p>
        </w:tc>
        <w:tc>
          <w:tcPr>
            <w:tcW w:w="1639" w:type="dxa"/>
            <w:tcBorders>
              <w:top w:val="nil"/>
              <w:left w:val="nil"/>
              <w:bottom w:val="single" w:color="auto" w:sz="8" w:space="0"/>
              <w:right w:val="single" w:color="auto" w:sz="8" w:space="0"/>
            </w:tcBorders>
            <w:shd w:val="clear" w:color="auto" w:fill="auto"/>
            <w:vAlign w:val="center"/>
          </w:tcPr>
          <w:p w14:paraId="28095C60">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0.008</w:t>
            </w:r>
          </w:p>
        </w:tc>
        <w:tc>
          <w:tcPr>
            <w:tcW w:w="1264" w:type="dxa"/>
            <w:tcBorders>
              <w:top w:val="nil"/>
              <w:left w:val="nil"/>
              <w:bottom w:val="single" w:color="auto" w:sz="8" w:space="0"/>
              <w:right w:val="single" w:color="auto" w:sz="8" w:space="0"/>
            </w:tcBorders>
            <w:shd w:val="clear" w:color="auto" w:fill="auto"/>
            <w:vAlign w:val="center"/>
          </w:tcPr>
          <w:p w14:paraId="6F07EAD0">
            <w:pPr>
              <w:jc w:val="center"/>
              <w:rPr>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Ⅰ</w:t>
            </w:r>
          </w:p>
        </w:tc>
      </w:tr>
      <w:tr w14:paraId="0EB2E542">
        <w:tblPrEx>
          <w:tblCellMar>
            <w:top w:w="0" w:type="dxa"/>
            <w:left w:w="108" w:type="dxa"/>
            <w:bottom w:w="0" w:type="dxa"/>
            <w:right w:w="108" w:type="dxa"/>
          </w:tblCellMar>
        </w:tblPrEx>
        <w:trPr>
          <w:trHeight w:val="329" w:hRule="atLeast"/>
        </w:trPr>
        <w:tc>
          <w:tcPr>
            <w:tcW w:w="1264" w:type="dxa"/>
            <w:tcBorders>
              <w:top w:val="nil"/>
              <w:left w:val="single" w:color="auto" w:sz="8" w:space="0"/>
              <w:bottom w:val="single" w:color="auto" w:sz="8" w:space="0"/>
              <w:right w:val="single" w:color="auto" w:sz="8" w:space="0"/>
            </w:tcBorders>
            <w:shd w:val="clear" w:color="auto" w:fill="auto"/>
            <w:vAlign w:val="center"/>
          </w:tcPr>
          <w:p w14:paraId="62EDCAA7">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24</w:t>
            </w:r>
          </w:p>
        </w:tc>
        <w:tc>
          <w:tcPr>
            <w:tcW w:w="2552" w:type="dxa"/>
            <w:tcBorders>
              <w:top w:val="nil"/>
              <w:left w:val="nil"/>
              <w:bottom w:val="single" w:color="auto" w:sz="8" w:space="0"/>
              <w:right w:val="single" w:color="auto" w:sz="8" w:space="0"/>
            </w:tcBorders>
            <w:shd w:val="clear" w:color="auto" w:fill="auto"/>
            <w:vAlign w:val="center"/>
          </w:tcPr>
          <w:p w14:paraId="5D3F64B7">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粪大肠菌群</w:t>
            </w:r>
          </w:p>
        </w:tc>
        <w:tc>
          <w:tcPr>
            <w:tcW w:w="1592" w:type="dxa"/>
            <w:tcBorders>
              <w:top w:val="nil"/>
              <w:left w:val="nil"/>
              <w:bottom w:val="single" w:color="auto" w:sz="8" w:space="0"/>
              <w:right w:val="single" w:color="auto" w:sz="8" w:space="0"/>
            </w:tcBorders>
            <w:shd w:val="clear" w:color="auto" w:fill="auto"/>
            <w:vAlign w:val="center"/>
          </w:tcPr>
          <w:p w14:paraId="33609F3E">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个/L</w:t>
            </w:r>
          </w:p>
        </w:tc>
        <w:tc>
          <w:tcPr>
            <w:tcW w:w="1639" w:type="dxa"/>
            <w:tcBorders>
              <w:top w:val="nil"/>
              <w:left w:val="nil"/>
              <w:bottom w:val="single" w:color="auto" w:sz="8" w:space="0"/>
              <w:right w:val="single" w:color="auto" w:sz="8" w:space="0"/>
            </w:tcBorders>
            <w:shd w:val="clear" w:color="auto" w:fill="auto"/>
            <w:vAlign w:val="center"/>
          </w:tcPr>
          <w:p w14:paraId="475064A7">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2000</w:t>
            </w:r>
          </w:p>
        </w:tc>
        <w:tc>
          <w:tcPr>
            <w:tcW w:w="1264" w:type="dxa"/>
            <w:tcBorders>
              <w:top w:val="nil"/>
              <w:left w:val="nil"/>
              <w:bottom w:val="single" w:color="auto" w:sz="8" w:space="0"/>
              <w:right w:val="single" w:color="auto" w:sz="8" w:space="0"/>
            </w:tcBorders>
            <w:shd w:val="clear" w:color="auto" w:fill="auto"/>
            <w:vAlign w:val="center"/>
          </w:tcPr>
          <w:p w14:paraId="51A7EDFD">
            <w:pPr>
              <w:jc w:val="center"/>
              <w:rPr>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Ⅱ</w:t>
            </w:r>
          </w:p>
        </w:tc>
      </w:tr>
    </w:tbl>
    <w:p w14:paraId="511C2148">
      <w:pPr>
        <w:widowControl/>
        <w:spacing w:line="240" w:lineRule="auto"/>
        <w:jc w:val="left"/>
        <w:rPr>
          <w:rFonts w:eastAsia="仿宋"/>
          <w:sz w:val="28"/>
          <w:szCs w:val="28"/>
        </w:rPr>
      </w:pPr>
    </w:p>
    <w:sectPr>
      <w:pgSz w:w="11906" w:h="16838"/>
      <w:pgMar w:top="1440" w:right="1644" w:bottom="1440" w:left="1644" w:header="851" w:footer="992" w:gutter="0"/>
      <w:cols w:space="425" w:num="1"/>
      <w:docGrid w:type="linesAndChar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4150B112-AE88-4AE3-819E-68329BFDB0C2}"/>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embedRegular r:id="rId2" w:fontKey="{CBD90337-79C5-4C74-B17D-5932AA82BC9C}"/>
  </w:font>
  <w:font w:name="Cambria">
    <w:panose1 w:val="02040503050406030204"/>
    <w:charset w:val="00"/>
    <w:family w:val="roman"/>
    <w:pitch w:val="default"/>
    <w:sig w:usb0="E00006FF" w:usb1="420024FF" w:usb2="02000000" w:usb3="00000000" w:csb0="2000019F" w:csb1="00000000"/>
  </w:font>
  <w:font w:name="仿宋">
    <w:panose1 w:val="02010609060101010101"/>
    <w:charset w:val="86"/>
    <w:family w:val="modern"/>
    <w:pitch w:val="default"/>
    <w:sig w:usb0="800002BF" w:usb1="38CF7CFA" w:usb2="00000016" w:usb3="00000000" w:csb0="00040001" w:csb1="00000000"/>
    <w:embedRegular r:id="rId3" w:fontKey="{FD001F93-6B8E-4ED9-A7D6-76CAF93D5C74}"/>
  </w:font>
  <w:font w:name="方正小标宋简体">
    <w:panose1 w:val="02000000000000000000"/>
    <w:charset w:val="86"/>
    <w:family w:val="auto"/>
    <w:pitch w:val="default"/>
    <w:sig w:usb0="00000001" w:usb1="08000000" w:usb2="00000000" w:usb3="00000000" w:csb0="00040000" w:csb1="00000000"/>
    <w:embedRegular r:id="rId4" w:fontKey="{182E616F-BE38-4303-AFC5-3F72A8E98037}"/>
  </w:font>
  <w:font w:name="仿宋_GB2312">
    <w:altName w:val="仿宋"/>
    <w:panose1 w:val="02010609030101010101"/>
    <w:charset w:val="86"/>
    <w:family w:val="modern"/>
    <w:pitch w:val="default"/>
    <w:sig w:usb0="00000000" w:usb1="00000000" w:usb2="00000000" w:usb3="00000000" w:csb0="00040000" w:csb1="00000000"/>
    <w:embedRegular r:id="rId5" w:fontKey="{0F97DE7F-42BA-4939-A06F-5C2F44483226}"/>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148F36">
    <w:pPr>
      <w:pStyle w:val="7"/>
      <w:jc w:val="center"/>
    </w:pPr>
  </w:p>
  <w:p w14:paraId="0880A2E1">
    <w:pPr>
      <w:pStyle w:val="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311137940"/>
      <w:docPartObj>
        <w:docPartGallery w:val="autotext"/>
      </w:docPartObj>
    </w:sdtPr>
    <w:sdtContent>
      <w:p w14:paraId="4F7C1A27">
        <w:pPr>
          <w:pStyle w:val="7"/>
          <w:jc w:val="center"/>
        </w:pPr>
        <w:r>
          <w:fldChar w:fldCharType="begin"/>
        </w:r>
        <w:r>
          <w:instrText xml:space="preserve"> PAGE   \* MERGEFORMAT </w:instrText>
        </w:r>
        <w:r>
          <w:fldChar w:fldCharType="separate"/>
        </w:r>
        <w:r>
          <w:rPr>
            <w:lang w:val="zh-CN"/>
          </w:rPr>
          <w:t>2</w:t>
        </w:r>
        <w:r>
          <w:rPr>
            <w:lang w:val="zh-CN"/>
          </w:rPr>
          <w:fldChar w:fldCharType="end"/>
        </w:r>
      </w:p>
    </w:sdtContent>
  </w:sdt>
  <w:p w14:paraId="3B32254C">
    <w:pPr>
      <w:pStyle w:val="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311137941"/>
      <w:docPartObj>
        <w:docPartGallery w:val="autotext"/>
      </w:docPartObj>
    </w:sdtPr>
    <w:sdtContent>
      <w:p w14:paraId="5AE17677">
        <w:pPr>
          <w:pStyle w:val="7"/>
          <w:jc w:val="center"/>
        </w:pPr>
        <w:r>
          <w:fldChar w:fldCharType="begin"/>
        </w:r>
        <w:r>
          <w:instrText xml:space="preserve"> PAGE   \* MERGEFORMAT </w:instrText>
        </w:r>
        <w:r>
          <w:fldChar w:fldCharType="separate"/>
        </w:r>
        <w:r>
          <w:rPr>
            <w:lang w:val="zh-CN"/>
          </w:rPr>
          <w:t>18</w:t>
        </w:r>
        <w:r>
          <w:rPr>
            <w:lang w:val="zh-CN"/>
          </w:rPr>
          <w:fldChar w:fldCharType="end"/>
        </w:r>
      </w:p>
    </w:sdtContent>
  </w:sdt>
  <w:p w14:paraId="462BA0A0">
    <w:pPr>
      <w:pStyle w:val="7"/>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311137946"/>
      <w:docPartObj>
        <w:docPartGallery w:val="autotext"/>
      </w:docPartObj>
    </w:sdtPr>
    <w:sdtContent>
      <w:p w14:paraId="016D77ED">
        <w:pPr>
          <w:pStyle w:val="7"/>
          <w:jc w:val="center"/>
        </w:pPr>
        <w:r>
          <w:fldChar w:fldCharType="begin"/>
        </w:r>
        <w:r>
          <w:instrText xml:space="preserve"> PAGE   \* MERGEFORMAT </w:instrText>
        </w:r>
        <w:r>
          <w:fldChar w:fldCharType="separate"/>
        </w:r>
        <w:r>
          <w:rPr>
            <w:lang w:val="zh-CN"/>
          </w:rPr>
          <w:t>71</w:t>
        </w:r>
        <w:r>
          <w:rPr>
            <w:lang w:val="zh-CN"/>
          </w:rPr>
          <w:fldChar w:fldCharType="end"/>
        </w:r>
      </w:p>
    </w:sdtContent>
  </w:sdt>
  <w:p w14:paraId="0B9E3FFB">
    <w:pPr>
      <w:pStyle w:val="7"/>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853516">
    <w:pPr>
      <w:pStyle w:val="7"/>
      <w:jc w:val="center"/>
    </w:pPr>
    <w:r>
      <w:fldChar w:fldCharType="begin"/>
    </w:r>
    <w:r>
      <w:instrText xml:space="preserve">PAGE   \* MERGEFORMAT</w:instrText>
    </w:r>
    <w:r>
      <w:fldChar w:fldCharType="separate"/>
    </w:r>
    <w:r>
      <w:rPr>
        <w:lang w:val="zh-CN"/>
      </w:rPr>
      <w:t>13</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B8AAAC">
    <w:pPr>
      <w:pStyle w:val="8"/>
    </w:pPr>
    <w:r>
      <w:rPr>
        <w:rFonts w:hint="eastAsia"/>
      </w:rPr>
      <w:t>花溪区千人以上</w:t>
    </w:r>
    <w:r>
      <w:t>集中式饮用水水源地突发环境事件应急预案</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99506E">
    <w:pPr>
      <w:pStyle w:val="8"/>
      <w:pBdr>
        <w:bottom w:val="none" w:color="auto" w:sz="0" w:space="0"/>
      </w:pBd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mNhZDIxZTllNGNiNTc4YTAyYTYwMzY3NWQ0YmJlMWEifQ=="/>
  </w:docVars>
  <w:rsids>
    <w:rsidRoot w:val="0034676D"/>
    <w:rsid w:val="000149EC"/>
    <w:rsid w:val="0002073E"/>
    <w:rsid w:val="00023E7A"/>
    <w:rsid w:val="000356A6"/>
    <w:rsid w:val="0003670F"/>
    <w:rsid w:val="000408C6"/>
    <w:rsid w:val="0004226F"/>
    <w:rsid w:val="00045C53"/>
    <w:rsid w:val="0005122F"/>
    <w:rsid w:val="00052C75"/>
    <w:rsid w:val="00055686"/>
    <w:rsid w:val="0005615C"/>
    <w:rsid w:val="000569DF"/>
    <w:rsid w:val="000717D4"/>
    <w:rsid w:val="000735A6"/>
    <w:rsid w:val="00073A07"/>
    <w:rsid w:val="00077493"/>
    <w:rsid w:val="00090D18"/>
    <w:rsid w:val="000918EB"/>
    <w:rsid w:val="000931D6"/>
    <w:rsid w:val="000A0274"/>
    <w:rsid w:val="000A1B9E"/>
    <w:rsid w:val="000A7533"/>
    <w:rsid w:val="000B0203"/>
    <w:rsid w:val="000B27E0"/>
    <w:rsid w:val="000B2EAC"/>
    <w:rsid w:val="000B3E77"/>
    <w:rsid w:val="000B4EB4"/>
    <w:rsid w:val="000C51A5"/>
    <w:rsid w:val="000D2A9B"/>
    <w:rsid w:val="000D3CD0"/>
    <w:rsid w:val="000D476E"/>
    <w:rsid w:val="000E155F"/>
    <w:rsid w:val="000E34D9"/>
    <w:rsid w:val="000E5F06"/>
    <w:rsid w:val="000F1BEB"/>
    <w:rsid w:val="000F2CC1"/>
    <w:rsid w:val="00102805"/>
    <w:rsid w:val="00105A96"/>
    <w:rsid w:val="00106C39"/>
    <w:rsid w:val="001233EE"/>
    <w:rsid w:val="001353B5"/>
    <w:rsid w:val="00135C5D"/>
    <w:rsid w:val="0014728C"/>
    <w:rsid w:val="00154E03"/>
    <w:rsid w:val="00155429"/>
    <w:rsid w:val="00155F34"/>
    <w:rsid w:val="00160F26"/>
    <w:rsid w:val="00162C64"/>
    <w:rsid w:val="00164503"/>
    <w:rsid w:val="00170CCF"/>
    <w:rsid w:val="00171728"/>
    <w:rsid w:val="0018282B"/>
    <w:rsid w:val="00184D9B"/>
    <w:rsid w:val="0018522E"/>
    <w:rsid w:val="00190A62"/>
    <w:rsid w:val="001A3002"/>
    <w:rsid w:val="001A4681"/>
    <w:rsid w:val="001A520E"/>
    <w:rsid w:val="001B1AC1"/>
    <w:rsid w:val="001B70B5"/>
    <w:rsid w:val="001C15A0"/>
    <w:rsid w:val="001C38AC"/>
    <w:rsid w:val="001C5039"/>
    <w:rsid w:val="001C6229"/>
    <w:rsid w:val="001C7AFA"/>
    <w:rsid w:val="001D349C"/>
    <w:rsid w:val="001E2D85"/>
    <w:rsid w:val="001E406A"/>
    <w:rsid w:val="001F4344"/>
    <w:rsid w:val="001F5FC2"/>
    <w:rsid w:val="00200654"/>
    <w:rsid w:val="00201529"/>
    <w:rsid w:val="0020521C"/>
    <w:rsid w:val="00211EB2"/>
    <w:rsid w:val="00212E23"/>
    <w:rsid w:val="002148AC"/>
    <w:rsid w:val="00222142"/>
    <w:rsid w:val="00224416"/>
    <w:rsid w:val="00231D0B"/>
    <w:rsid w:val="002333C2"/>
    <w:rsid w:val="00236434"/>
    <w:rsid w:val="00240AEE"/>
    <w:rsid w:val="002439A1"/>
    <w:rsid w:val="0024403F"/>
    <w:rsid w:val="00245080"/>
    <w:rsid w:val="00250FB4"/>
    <w:rsid w:val="00257C26"/>
    <w:rsid w:val="00261F04"/>
    <w:rsid w:val="00263F04"/>
    <w:rsid w:val="002700A5"/>
    <w:rsid w:val="0027517A"/>
    <w:rsid w:val="00276622"/>
    <w:rsid w:val="00285F66"/>
    <w:rsid w:val="00287D7E"/>
    <w:rsid w:val="00294BA6"/>
    <w:rsid w:val="0029699A"/>
    <w:rsid w:val="002A16A2"/>
    <w:rsid w:val="002A27E7"/>
    <w:rsid w:val="002A298B"/>
    <w:rsid w:val="002A4ED2"/>
    <w:rsid w:val="002A6A65"/>
    <w:rsid w:val="002B1E99"/>
    <w:rsid w:val="002B2E69"/>
    <w:rsid w:val="002C2B5E"/>
    <w:rsid w:val="002C3D35"/>
    <w:rsid w:val="002C5E9D"/>
    <w:rsid w:val="002D5BDC"/>
    <w:rsid w:val="002E725F"/>
    <w:rsid w:val="002F3136"/>
    <w:rsid w:val="002F3402"/>
    <w:rsid w:val="00307255"/>
    <w:rsid w:val="00310E32"/>
    <w:rsid w:val="00315D0A"/>
    <w:rsid w:val="00316C24"/>
    <w:rsid w:val="00332562"/>
    <w:rsid w:val="00332812"/>
    <w:rsid w:val="00337B61"/>
    <w:rsid w:val="00337CDC"/>
    <w:rsid w:val="00341054"/>
    <w:rsid w:val="0034239D"/>
    <w:rsid w:val="00342DCF"/>
    <w:rsid w:val="0034676D"/>
    <w:rsid w:val="003501B0"/>
    <w:rsid w:val="0035156E"/>
    <w:rsid w:val="003517A5"/>
    <w:rsid w:val="00355151"/>
    <w:rsid w:val="0035575D"/>
    <w:rsid w:val="00357AA7"/>
    <w:rsid w:val="00357CC0"/>
    <w:rsid w:val="003602FE"/>
    <w:rsid w:val="00360EF5"/>
    <w:rsid w:val="00372324"/>
    <w:rsid w:val="0037534D"/>
    <w:rsid w:val="00382BE8"/>
    <w:rsid w:val="00382F53"/>
    <w:rsid w:val="00397615"/>
    <w:rsid w:val="003A1537"/>
    <w:rsid w:val="003A5804"/>
    <w:rsid w:val="003B405B"/>
    <w:rsid w:val="003C1A16"/>
    <w:rsid w:val="003C224B"/>
    <w:rsid w:val="003D7E42"/>
    <w:rsid w:val="003E4201"/>
    <w:rsid w:val="003F3C02"/>
    <w:rsid w:val="003F5CEF"/>
    <w:rsid w:val="00400B9B"/>
    <w:rsid w:val="00405D58"/>
    <w:rsid w:val="004063D7"/>
    <w:rsid w:val="00414038"/>
    <w:rsid w:val="00414922"/>
    <w:rsid w:val="00440E6B"/>
    <w:rsid w:val="004465A2"/>
    <w:rsid w:val="00454121"/>
    <w:rsid w:val="004607EB"/>
    <w:rsid w:val="00466BC8"/>
    <w:rsid w:val="00472C45"/>
    <w:rsid w:val="004870B5"/>
    <w:rsid w:val="00487D4D"/>
    <w:rsid w:val="004A425F"/>
    <w:rsid w:val="004A6F4D"/>
    <w:rsid w:val="004B2C2D"/>
    <w:rsid w:val="004B5F62"/>
    <w:rsid w:val="004B6A65"/>
    <w:rsid w:val="004C1D5C"/>
    <w:rsid w:val="004C78B0"/>
    <w:rsid w:val="004D4CDC"/>
    <w:rsid w:val="004D5B10"/>
    <w:rsid w:val="004D6278"/>
    <w:rsid w:val="004E3747"/>
    <w:rsid w:val="004E3753"/>
    <w:rsid w:val="004E5CB5"/>
    <w:rsid w:val="004E7362"/>
    <w:rsid w:val="004F11C3"/>
    <w:rsid w:val="005008D4"/>
    <w:rsid w:val="005117F0"/>
    <w:rsid w:val="00511DCE"/>
    <w:rsid w:val="005132C8"/>
    <w:rsid w:val="005165C3"/>
    <w:rsid w:val="00521849"/>
    <w:rsid w:val="00533DFC"/>
    <w:rsid w:val="00541DB2"/>
    <w:rsid w:val="00541EFB"/>
    <w:rsid w:val="0054475B"/>
    <w:rsid w:val="005519B0"/>
    <w:rsid w:val="00556840"/>
    <w:rsid w:val="0056133B"/>
    <w:rsid w:val="00564620"/>
    <w:rsid w:val="00565D09"/>
    <w:rsid w:val="00572AC8"/>
    <w:rsid w:val="005731A4"/>
    <w:rsid w:val="00575604"/>
    <w:rsid w:val="00586F1C"/>
    <w:rsid w:val="00593B13"/>
    <w:rsid w:val="005A066A"/>
    <w:rsid w:val="005A2689"/>
    <w:rsid w:val="005A5974"/>
    <w:rsid w:val="005B0C87"/>
    <w:rsid w:val="005B108F"/>
    <w:rsid w:val="005B5D3E"/>
    <w:rsid w:val="005C37D8"/>
    <w:rsid w:val="005C5C15"/>
    <w:rsid w:val="005D2FEE"/>
    <w:rsid w:val="005E2583"/>
    <w:rsid w:val="005E7B1D"/>
    <w:rsid w:val="005F2A92"/>
    <w:rsid w:val="005F69BB"/>
    <w:rsid w:val="00600B85"/>
    <w:rsid w:val="0060224D"/>
    <w:rsid w:val="00603392"/>
    <w:rsid w:val="00606A85"/>
    <w:rsid w:val="00610E9D"/>
    <w:rsid w:val="00617A7E"/>
    <w:rsid w:val="0062333A"/>
    <w:rsid w:val="00633616"/>
    <w:rsid w:val="00634061"/>
    <w:rsid w:val="0064497C"/>
    <w:rsid w:val="00655A86"/>
    <w:rsid w:val="00656E59"/>
    <w:rsid w:val="006576A1"/>
    <w:rsid w:val="00664167"/>
    <w:rsid w:val="00670230"/>
    <w:rsid w:val="00673B3E"/>
    <w:rsid w:val="00683BFC"/>
    <w:rsid w:val="00684126"/>
    <w:rsid w:val="00692339"/>
    <w:rsid w:val="006932E8"/>
    <w:rsid w:val="00694A8F"/>
    <w:rsid w:val="00696FBF"/>
    <w:rsid w:val="006A2FDF"/>
    <w:rsid w:val="006A334B"/>
    <w:rsid w:val="006A679B"/>
    <w:rsid w:val="006B32BE"/>
    <w:rsid w:val="006B3313"/>
    <w:rsid w:val="006B4751"/>
    <w:rsid w:val="006C52E5"/>
    <w:rsid w:val="006C5690"/>
    <w:rsid w:val="006D1D44"/>
    <w:rsid w:val="006D3219"/>
    <w:rsid w:val="006D3863"/>
    <w:rsid w:val="006E2AD6"/>
    <w:rsid w:val="006E5C19"/>
    <w:rsid w:val="006E67A1"/>
    <w:rsid w:val="006F2049"/>
    <w:rsid w:val="006F5D2A"/>
    <w:rsid w:val="00705CB9"/>
    <w:rsid w:val="00705DA9"/>
    <w:rsid w:val="00705E8C"/>
    <w:rsid w:val="00714B62"/>
    <w:rsid w:val="007218AB"/>
    <w:rsid w:val="007232FC"/>
    <w:rsid w:val="00725551"/>
    <w:rsid w:val="00726222"/>
    <w:rsid w:val="0073106F"/>
    <w:rsid w:val="00733904"/>
    <w:rsid w:val="00735847"/>
    <w:rsid w:val="007433AC"/>
    <w:rsid w:val="007459F7"/>
    <w:rsid w:val="0075050E"/>
    <w:rsid w:val="0075250F"/>
    <w:rsid w:val="00752BE1"/>
    <w:rsid w:val="007534F1"/>
    <w:rsid w:val="00753823"/>
    <w:rsid w:val="00754794"/>
    <w:rsid w:val="00761775"/>
    <w:rsid w:val="00762D95"/>
    <w:rsid w:val="00772B13"/>
    <w:rsid w:val="007745AC"/>
    <w:rsid w:val="00794754"/>
    <w:rsid w:val="00795C5C"/>
    <w:rsid w:val="007B4408"/>
    <w:rsid w:val="007B6B30"/>
    <w:rsid w:val="007C294D"/>
    <w:rsid w:val="007C4999"/>
    <w:rsid w:val="007C5498"/>
    <w:rsid w:val="007C7AA3"/>
    <w:rsid w:val="007D0218"/>
    <w:rsid w:val="007D0319"/>
    <w:rsid w:val="007D0A50"/>
    <w:rsid w:val="007E10CA"/>
    <w:rsid w:val="007E1CF1"/>
    <w:rsid w:val="007E5DB9"/>
    <w:rsid w:val="007E79B6"/>
    <w:rsid w:val="007F0190"/>
    <w:rsid w:val="007F4232"/>
    <w:rsid w:val="00801C02"/>
    <w:rsid w:val="00816CF5"/>
    <w:rsid w:val="00816EA3"/>
    <w:rsid w:val="00821C53"/>
    <w:rsid w:val="0082658F"/>
    <w:rsid w:val="00827F00"/>
    <w:rsid w:val="00830293"/>
    <w:rsid w:val="008314C1"/>
    <w:rsid w:val="008324B8"/>
    <w:rsid w:val="008353EA"/>
    <w:rsid w:val="00842BBC"/>
    <w:rsid w:val="008527E9"/>
    <w:rsid w:val="008555D6"/>
    <w:rsid w:val="00857319"/>
    <w:rsid w:val="00860945"/>
    <w:rsid w:val="00861D13"/>
    <w:rsid w:val="0086357B"/>
    <w:rsid w:val="00863D79"/>
    <w:rsid w:val="00863EB7"/>
    <w:rsid w:val="0087049B"/>
    <w:rsid w:val="00883944"/>
    <w:rsid w:val="00883EDD"/>
    <w:rsid w:val="008901DD"/>
    <w:rsid w:val="00892435"/>
    <w:rsid w:val="00894CBD"/>
    <w:rsid w:val="00897BA3"/>
    <w:rsid w:val="008A536A"/>
    <w:rsid w:val="008A7468"/>
    <w:rsid w:val="008B6974"/>
    <w:rsid w:val="008C788D"/>
    <w:rsid w:val="008D29FE"/>
    <w:rsid w:val="008E1C99"/>
    <w:rsid w:val="008F0519"/>
    <w:rsid w:val="008F3EE9"/>
    <w:rsid w:val="008F4655"/>
    <w:rsid w:val="008F5733"/>
    <w:rsid w:val="00902E3B"/>
    <w:rsid w:val="009032D4"/>
    <w:rsid w:val="00905777"/>
    <w:rsid w:val="00905EB9"/>
    <w:rsid w:val="0091137F"/>
    <w:rsid w:val="00922505"/>
    <w:rsid w:val="00922E77"/>
    <w:rsid w:val="00924D49"/>
    <w:rsid w:val="00925166"/>
    <w:rsid w:val="009343DF"/>
    <w:rsid w:val="00942E26"/>
    <w:rsid w:val="0094399C"/>
    <w:rsid w:val="009634A8"/>
    <w:rsid w:val="00964FA7"/>
    <w:rsid w:val="00966FF1"/>
    <w:rsid w:val="00971625"/>
    <w:rsid w:val="0097714C"/>
    <w:rsid w:val="00981C06"/>
    <w:rsid w:val="009824A4"/>
    <w:rsid w:val="00984294"/>
    <w:rsid w:val="00991503"/>
    <w:rsid w:val="009A5115"/>
    <w:rsid w:val="009A71DD"/>
    <w:rsid w:val="009B1210"/>
    <w:rsid w:val="009B51D7"/>
    <w:rsid w:val="009C139A"/>
    <w:rsid w:val="009C27F8"/>
    <w:rsid w:val="009C4607"/>
    <w:rsid w:val="009C4AE6"/>
    <w:rsid w:val="009C7493"/>
    <w:rsid w:val="009D0817"/>
    <w:rsid w:val="009D2003"/>
    <w:rsid w:val="009D5336"/>
    <w:rsid w:val="009D5CC1"/>
    <w:rsid w:val="009E567D"/>
    <w:rsid w:val="009E6989"/>
    <w:rsid w:val="00A037F3"/>
    <w:rsid w:val="00A0386A"/>
    <w:rsid w:val="00A158FC"/>
    <w:rsid w:val="00A22C32"/>
    <w:rsid w:val="00A22FFD"/>
    <w:rsid w:val="00A408CA"/>
    <w:rsid w:val="00A44EB9"/>
    <w:rsid w:val="00A46E3D"/>
    <w:rsid w:val="00A47F85"/>
    <w:rsid w:val="00A50D71"/>
    <w:rsid w:val="00A5424B"/>
    <w:rsid w:val="00A610E8"/>
    <w:rsid w:val="00A62487"/>
    <w:rsid w:val="00A64214"/>
    <w:rsid w:val="00A76D00"/>
    <w:rsid w:val="00A81794"/>
    <w:rsid w:val="00A82080"/>
    <w:rsid w:val="00A87064"/>
    <w:rsid w:val="00A912CF"/>
    <w:rsid w:val="00A9335F"/>
    <w:rsid w:val="00AA0DE2"/>
    <w:rsid w:val="00AA0F59"/>
    <w:rsid w:val="00AA3A1A"/>
    <w:rsid w:val="00AA48F4"/>
    <w:rsid w:val="00AB73E3"/>
    <w:rsid w:val="00AC324B"/>
    <w:rsid w:val="00AC3AE2"/>
    <w:rsid w:val="00AC67CA"/>
    <w:rsid w:val="00AD5F43"/>
    <w:rsid w:val="00AE685A"/>
    <w:rsid w:val="00AF2C38"/>
    <w:rsid w:val="00AF465B"/>
    <w:rsid w:val="00AF7F08"/>
    <w:rsid w:val="00B05425"/>
    <w:rsid w:val="00B05FF4"/>
    <w:rsid w:val="00B1063B"/>
    <w:rsid w:val="00B11CC5"/>
    <w:rsid w:val="00B15A96"/>
    <w:rsid w:val="00B170D6"/>
    <w:rsid w:val="00B31577"/>
    <w:rsid w:val="00B41A95"/>
    <w:rsid w:val="00B473AA"/>
    <w:rsid w:val="00B60CC5"/>
    <w:rsid w:val="00B628AE"/>
    <w:rsid w:val="00B63937"/>
    <w:rsid w:val="00B71C8B"/>
    <w:rsid w:val="00B73F51"/>
    <w:rsid w:val="00B74F95"/>
    <w:rsid w:val="00B80095"/>
    <w:rsid w:val="00B86429"/>
    <w:rsid w:val="00B92005"/>
    <w:rsid w:val="00B92CF9"/>
    <w:rsid w:val="00BA35A2"/>
    <w:rsid w:val="00BA4B8C"/>
    <w:rsid w:val="00BB261C"/>
    <w:rsid w:val="00BB4D06"/>
    <w:rsid w:val="00BB5683"/>
    <w:rsid w:val="00BC47C5"/>
    <w:rsid w:val="00BE6880"/>
    <w:rsid w:val="00BF3D29"/>
    <w:rsid w:val="00BF71E6"/>
    <w:rsid w:val="00BF7443"/>
    <w:rsid w:val="00C00FDC"/>
    <w:rsid w:val="00C0411F"/>
    <w:rsid w:val="00C053B0"/>
    <w:rsid w:val="00C05C37"/>
    <w:rsid w:val="00C06722"/>
    <w:rsid w:val="00C07356"/>
    <w:rsid w:val="00C109EE"/>
    <w:rsid w:val="00C10C5F"/>
    <w:rsid w:val="00C31A50"/>
    <w:rsid w:val="00C35DD2"/>
    <w:rsid w:val="00C361E1"/>
    <w:rsid w:val="00C406A9"/>
    <w:rsid w:val="00C60C9C"/>
    <w:rsid w:val="00C73F20"/>
    <w:rsid w:val="00C74DC2"/>
    <w:rsid w:val="00C8327A"/>
    <w:rsid w:val="00C84443"/>
    <w:rsid w:val="00C844BC"/>
    <w:rsid w:val="00C8743F"/>
    <w:rsid w:val="00C91F5D"/>
    <w:rsid w:val="00C963C6"/>
    <w:rsid w:val="00CA34E3"/>
    <w:rsid w:val="00CB126A"/>
    <w:rsid w:val="00CB3B01"/>
    <w:rsid w:val="00CB5436"/>
    <w:rsid w:val="00CC287D"/>
    <w:rsid w:val="00CD209F"/>
    <w:rsid w:val="00CE0B33"/>
    <w:rsid w:val="00CE0B3D"/>
    <w:rsid w:val="00D039F4"/>
    <w:rsid w:val="00D179BA"/>
    <w:rsid w:val="00D2155A"/>
    <w:rsid w:val="00D24191"/>
    <w:rsid w:val="00D32E4C"/>
    <w:rsid w:val="00D4020F"/>
    <w:rsid w:val="00D545DA"/>
    <w:rsid w:val="00D61EEF"/>
    <w:rsid w:val="00D64DEA"/>
    <w:rsid w:val="00D65EC5"/>
    <w:rsid w:val="00D730D1"/>
    <w:rsid w:val="00D77040"/>
    <w:rsid w:val="00D843BB"/>
    <w:rsid w:val="00D8488B"/>
    <w:rsid w:val="00DA0CBD"/>
    <w:rsid w:val="00DC03DF"/>
    <w:rsid w:val="00DC52FF"/>
    <w:rsid w:val="00DD3CBD"/>
    <w:rsid w:val="00DD51E8"/>
    <w:rsid w:val="00DE3E85"/>
    <w:rsid w:val="00DF0A07"/>
    <w:rsid w:val="00E14091"/>
    <w:rsid w:val="00E22A36"/>
    <w:rsid w:val="00E23568"/>
    <w:rsid w:val="00E34A4F"/>
    <w:rsid w:val="00E355E4"/>
    <w:rsid w:val="00E45535"/>
    <w:rsid w:val="00E45F8A"/>
    <w:rsid w:val="00E54B68"/>
    <w:rsid w:val="00E70C12"/>
    <w:rsid w:val="00E74F2C"/>
    <w:rsid w:val="00E80D2D"/>
    <w:rsid w:val="00E845FD"/>
    <w:rsid w:val="00E85F4C"/>
    <w:rsid w:val="00E90215"/>
    <w:rsid w:val="00E93E29"/>
    <w:rsid w:val="00E95D88"/>
    <w:rsid w:val="00EA162A"/>
    <w:rsid w:val="00EA1C10"/>
    <w:rsid w:val="00EA41A4"/>
    <w:rsid w:val="00EB004F"/>
    <w:rsid w:val="00EB6BF6"/>
    <w:rsid w:val="00EB6C75"/>
    <w:rsid w:val="00EC4A34"/>
    <w:rsid w:val="00EC548A"/>
    <w:rsid w:val="00ED38D7"/>
    <w:rsid w:val="00EE786D"/>
    <w:rsid w:val="00EF718A"/>
    <w:rsid w:val="00F0361F"/>
    <w:rsid w:val="00F11C5E"/>
    <w:rsid w:val="00F128FA"/>
    <w:rsid w:val="00F161DB"/>
    <w:rsid w:val="00F21156"/>
    <w:rsid w:val="00F254D2"/>
    <w:rsid w:val="00F36BC0"/>
    <w:rsid w:val="00F42C39"/>
    <w:rsid w:val="00F56876"/>
    <w:rsid w:val="00F63EE7"/>
    <w:rsid w:val="00F708C7"/>
    <w:rsid w:val="00F75353"/>
    <w:rsid w:val="00F753DA"/>
    <w:rsid w:val="00F76FAC"/>
    <w:rsid w:val="00F91AFA"/>
    <w:rsid w:val="00FA4A93"/>
    <w:rsid w:val="00FA6A73"/>
    <w:rsid w:val="00FD1B35"/>
    <w:rsid w:val="00FE1400"/>
    <w:rsid w:val="00FF15D1"/>
    <w:rsid w:val="00FF2EF4"/>
    <w:rsid w:val="00FF39C4"/>
    <w:rsid w:val="00FF57B2"/>
    <w:rsid w:val="00FF5CC1"/>
    <w:rsid w:val="13F04694"/>
    <w:rsid w:val="20ED7101"/>
    <w:rsid w:val="28EE0D04"/>
    <w:rsid w:val="2CC36A25"/>
    <w:rsid w:val="313873F8"/>
    <w:rsid w:val="36880103"/>
    <w:rsid w:val="42001BA6"/>
    <w:rsid w:val="47007F95"/>
    <w:rsid w:val="5BE308AA"/>
    <w:rsid w:val="6B465A13"/>
    <w:rsid w:val="6CB4034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0" w:semiHidden="0" w:name="Strong"/>
    <w:lsdException w:qFormat="1" w:unhideWhenUsed="0" w:uiPriority="20" w:semiHidden="0" w:name="Emphasis"/>
    <w:lsdException w:qFormat="1" w:uiPriority="99" w:name="Document Map"/>
    <w:lsdException w:uiPriority="99"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spacing w:line="360" w:lineRule="auto"/>
      <w:jc w:val="both"/>
    </w:pPr>
    <w:rPr>
      <w:rFonts w:ascii="Times New Roman" w:hAnsi="Times New Roman" w:eastAsia="宋体" w:cs="Times New Roman"/>
      <w:kern w:val="2"/>
      <w:sz w:val="24"/>
      <w:szCs w:val="22"/>
      <w:lang w:val="en-US" w:eastAsia="zh-CN" w:bidi="ar-SA"/>
    </w:rPr>
  </w:style>
  <w:style w:type="paragraph" w:styleId="3">
    <w:name w:val="heading 2"/>
    <w:basedOn w:val="1"/>
    <w:next w:val="1"/>
    <w:link w:val="19"/>
    <w:autoRedefine/>
    <w:qFormat/>
    <w:uiPriority w:val="9"/>
    <w:pPr>
      <w:keepNext/>
      <w:keepLines/>
      <w:jc w:val="left"/>
      <w:outlineLvl w:val="1"/>
    </w:pPr>
    <w:rPr>
      <w:b/>
      <w:bCs/>
      <w:sz w:val="28"/>
      <w:szCs w:val="32"/>
    </w:rPr>
  </w:style>
  <w:style w:type="paragraph" w:styleId="4">
    <w:name w:val="heading 3"/>
    <w:basedOn w:val="1"/>
    <w:next w:val="1"/>
    <w:link w:val="21"/>
    <w:semiHidden/>
    <w:unhideWhenUsed/>
    <w:qFormat/>
    <w:uiPriority w:val="9"/>
    <w:pPr>
      <w:keepNext/>
      <w:keepLines/>
      <w:spacing w:before="260" w:after="260" w:line="416" w:lineRule="auto"/>
      <w:outlineLvl w:val="2"/>
    </w:pPr>
    <w:rPr>
      <w:b/>
      <w:bCs/>
      <w:sz w:val="32"/>
      <w:szCs w:val="32"/>
    </w:rPr>
  </w:style>
  <w:style w:type="character" w:default="1" w:styleId="16">
    <w:name w:val="Default Paragraph Font"/>
    <w:autoRedefine/>
    <w:semiHidden/>
    <w:unhideWhenUsed/>
    <w:qFormat/>
    <w:uiPriority w:val="1"/>
  </w:style>
  <w:style w:type="table" w:default="1" w:styleId="14">
    <w:name w:val="Normal Table"/>
    <w:semiHidden/>
    <w:unhideWhenUsed/>
    <w:qFormat/>
    <w:uiPriority w:val="99"/>
    <w:tblPr>
      <w:tblCellMar>
        <w:top w:w="0" w:type="dxa"/>
        <w:left w:w="108" w:type="dxa"/>
        <w:bottom w:w="0" w:type="dxa"/>
        <w:right w:w="108" w:type="dxa"/>
      </w:tblCellMar>
    </w:tblPr>
  </w:style>
  <w:style w:type="paragraph" w:customStyle="1" w:styleId="2">
    <w:name w:val="正文-公1"/>
    <w:basedOn w:val="1"/>
    <w:autoRedefine/>
    <w:qFormat/>
    <w:uiPriority w:val="0"/>
    <w:pPr>
      <w:ind w:firstLine="200" w:firstLineChars="200"/>
    </w:pPr>
  </w:style>
  <w:style w:type="paragraph" w:styleId="5">
    <w:name w:val="Document Map"/>
    <w:basedOn w:val="1"/>
    <w:link w:val="20"/>
    <w:autoRedefine/>
    <w:semiHidden/>
    <w:unhideWhenUsed/>
    <w:qFormat/>
    <w:uiPriority w:val="99"/>
    <w:rPr>
      <w:rFonts w:ascii="宋体"/>
      <w:sz w:val="18"/>
      <w:szCs w:val="18"/>
    </w:rPr>
  </w:style>
  <w:style w:type="paragraph" w:styleId="6">
    <w:name w:val="Balloon Text"/>
    <w:basedOn w:val="1"/>
    <w:link w:val="22"/>
    <w:autoRedefine/>
    <w:semiHidden/>
    <w:unhideWhenUsed/>
    <w:qFormat/>
    <w:uiPriority w:val="99"/>
    <w:pPr>
      <w:spacing w:line="240" w:lineRule="auto"/>
    </w:pPr>
    <w:rPr>
      <w:sz w:val="18"/>
      <w:szCs w:val="18"/>
    </w:rPr>
  </w:style>
  <w:style w:type="paragraph" w:styleId="7">
    <w:name w:val="footer"/>
    <w:basedOn w:val="1"/>
    <w:link w:val="24"/>
    <w:autoRedefine/>
    <w:unhideWhenUsed/>
    <w:qFormat/>
    <w:uiPriority w:val="99"/>
    <w:pPr>
      <w:tabs>
        <w:tab w:val="center" w:pos="4153"/>
        <w:tab w:val="right" w:pos="8306"/>
      </w:tabs>
      <w:snapToGrid w:val="0"/>
      <w:spacing w:line="240" w:lineRule="auto"/>
      <w:jc w:val="left"/>
    </w:pPr>
    <w:rPr>
      <w:sz w:val="18"/>
      <w:szCs w:val="18"/>
    </w:rPr>
  </w:style>
  <w:style w:type="paragraph" w:styleId="8">
    <w:name w:val="header"/>
    <w:basedOn w:val="1"/>
    <w:link w:val="23"/>
    <w:autoRedefine/>
    <w:unhideWhenUsed/>
    <w:qFormat/>
    <w:uiPriority w:val="99"/>
    <w:pPr>
      <w:pBdr>
        <w:bottom w:val="single" w:color="auto" w:sz="6" w:space="1"/>
      </w:pBdr>
      <w:tabs>
        <w:tab w:val="center" w:pos="4153"/>
        <w:tab w:val="right" w:pos="8306"/>
      </w:tabs>
      <w:snapToGrid w:val="0"/>
      <w:spacing w:line="240" w:lineRule="auto"/>
      <w:jc w:val="center"/>
    </w:pPr>
    <w:rPr>
      <w:sz w:val="18"/>
      <w:szCs w:val="18"/>
    </w:rPr>
  </w:style>
  <w:style w:type="paragraph" w:styleId="9">
    <w:name w:val="toc 1"/>
    <w:basedOn w:val="1"/>
    <w:next w:val="1"/>
    <w:unhideWhenUsed/>
    <w:qFormat/>
    <w:uiPriority w:val="39"/>
  </w:style>
  <w:style w:type="paragraph" w:styleId="10">
    <w:name w:val="Subtitle"/>
    <w:basedOn w:val="1"/>
    <w:next w:val="1"/>
    <w:link w:val="28"/>
    <w:autoRedefine/>
    <w:qFormat/>
    <w:uiPriority w:val="11"/>
    <w:pPr>
      <w:spacing w:line="500" w:lineRule="exact"/>
      <w:ind w:firstLine="200" w:firstLineChars="200"/>
      <w:jc w:val="left"/>
      <w:outlineLvl w:val="1"/>
    </w:pPr>
    <w:rPr>
      <w:rFonts w:ascii="Cambria" w:hAnsi="Cambria"/>
      <w:b/>
      <w:bCs/>
      <w:kern w:val="28"/>
      <w:sz w:val="28"/>
      <w:szCs w:val="32"/>
    </w:rPr>
  </w:style>
  <w:style w:type="paragraph" w:styleId="11">
    <w:name w:val="toc 2"/>
    <w:basedOn w:val="1"/>
    <w:next w:val="1"/>
    <w:autoRedefine/>
    <w:unhideWhenUsed/>
    <w:qFormat/>
    <w:uiPriority w:val="39"/>
    <w:pPr>
      <w:ind w:left="420" w:leftChars="200"/>
    </w:pPr>
  </w:style>
  <w:style w:type="paragraph" w:styleId="12">
    <w:name w:val="Normal (Web)"/>
    <w:basedOn w:val="1"/>
    <w:autoRedefine/>
    <w:qFormat/>
    <w:uiPriority w:val="0"/>
    <w:pPr>
      <w:adjustRightInd w:val="0"/>
      <w:snapToGrid w:val="0"/>
      <w:spacing w:beforeAutospacing="1" w:afterAutospacing="1"/>
      <w:ind w:firstLine="200" w:firstLineChars="200"/>
      <w:jc w:val="left"/>
    </w:pPr>
    <w:rPr>
      <w:kern w:val="0"/>
      <w:szCs w:val="24"/>
    </w:rPr>
  </w:style>
  <w:style w:type="paragraph" w:styleId="13">
    <w:name w:val="Title"/>
    <w:basedOn w:val="1"/>
    <w:next w:val="1"/>
    <w:link w:val="25"/>
    <w:autoRedefine/>
    <w:qFormat/>
    <w:uiPriority w:val="0"/>
    <w:pPr>
      <w:spacing w:line="320" w:lineRule="exact"/>
      <w:jc w:val="center"/>
    </w:pPr>
    <w:rPr>
      <w:bCs/>
      <w:kern w:val="0"/>
      <w:sz w:val="21"/>
      <w:szCs w:val="32"/>
      <w:lang w:val="zh-CN"/>
    </w:rPr>
  </w:style>
  <w:style w:type="table" w:styleId="15">
    <w:name w:val="Table Grid"/>
    <w:basedOn w:val="14"/>
    <w:autoRedefine/>
    <w:qFormat/>
    <w:uiPriority w:val="59"/>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7">
    <w:name w:val="Strong"/>
    <w:qFormat/>
    <w:uiPriority w:val="0"/>
    <w:rPr>
      <w:rFonts w:cs="Times New Roman"/>
      <w:b/>
    </w:rPr>
  </w:style>
  <w:style w:type="character" w:styleId="18">
    <w:name w:val="Hyperlink"/>
    <w:basedOn w:val="16"/>
    <w:autoRedefine/>
    <w:unhideWhenUsed/>
    <w:qFormat/>
    <w:uiPriority w:val="99"/>
    <w:rPr>
      <w:color w:val="0000FF" w:themeColor="hyperlink"/>
      <w:u w:val="single"/>
      <w14:textFill>
        <w14:solidFill>
          <w14:schemeClr w14:val="hlink"/>
        </w14:solidFill>
      </w14:textFill>
    </w:rPr>
  </w:style>
  <w:style w:type="character" w:customStyle="1" w:styleId="19">
    <w:name w:val="标题 2 字符"/>
    <w:basedOn w:val="16"/>
    <w:link w:val="3"/>
    <w:autoRedefine/>
    <w:qFormat/>
    <w:uiPriority w:val="9"/>
    <w:rPr>
      <w:rFonts w:ascii="Times New Roman" w:hAnsi="Times New Roman" w:eastAsia="宋体" w:cs="Times New Roman"/>
      <w:b/>
      <w:bCs/>
      <w:sz w:val="28"/>
      <w:szCs w:val="32"/>
    </w:rPr>
  </w:style>
  <w:style w:type="character" w:customStyle="1" w:styleId="20">
    <w:name w:val="文档结构图 字符"/>
    <w:basedOn w:val="16"/>
    <w:link w:val="5"/>
    <w:semiHidden/>
    <w:qFormat/>
    <w:uiPriority w:val="99"/>
    <w:rPr>
      <w:rFonts w:ascii="宋体" w:hAnsi="Times New Roman" w:eastAsia="宋体" w:cs="Times New Roman"/>
      <w:sz w:val="18"/>
      <w:szCs w:val="18"/>
    </w:rPr>
  </w:style>
  <w:style w:type="character" w:customStyle="1" w:styleId="21">
    <w:name w:val="标题 3 字符"/>
    <w:basedOn w:val="16"/>
    <w:link w:val="4"/>
    <w:autoRedefine/>
    <w:semiHidden/>
    <w:qFormat/>
    <w:uiPriority w:val="9"/>
    <w:rPr>
      <w:rFonts w:ascii="Times New Roman" w:hAnsi="Times New Roman" w:eastAsia="宋体" w:cs="Times New Roman"/>
      <w:b/>
      <w:bCs/>
      <w:sz w:val="32"/>
      <w:szCs w:val="32"/>
    </w:rPr>
  </w:style>
  <w:style w:type="character" w:customStyle="1" w:styleId="22">
    <w:name w:val="批注框文本 字符"/>
    <w:basedOn w:val="16"/>
    <w:link w:val="6"/>
    <w:autoRedefine/>
    <w:semiHidden/>
    <w:qFormat/>
    <w:uiPriority w:val="99"/>
    <w:rPr>
      <w:rFonts w:ascii="Times New Roman" w:hAnsi="Times New Roman" w:eastAsia="宋体" w:cs="Times New Roman"/>
      <w:sz w:val="18"/>
      <w:szCs w:val="18"/>
    </w:rPr>
  </w:style>
  <w:style w:type="character" w:customStyle="1" w:styleId="23">
    <w:name w:val="页眉 字符"/>
    <w:basedOn w:val="16"/>
    <w:link w:val="8"/>
    <w:qFormat/>
    <w:uiPriority w:val="99"/>
    <w:rPr>
      <w:rFonts w:ascii="Times New Roman" w:hAnsi="Times New Roman" w:eastAsia="宋体" w:cs="Times New Roman"/>
      <w:sz w:val="18"/>
      <w:szCs w:val="18"/>
    </w:rPr>
  </w:style>
  <w:style w:type="character" w:customStyle="1" w:styleId="24">
    <w:name w:val="页脚 字符"/>
    <w:basedOn w:val="16"/>
    <w:link w:val="7"/>
    <w:autoRedefine/>
    <w:qFormat/>
    <w:uiPriority w:val="99"/>
    <w:rPr>
      <w:rFonts w:ascii="Times New Roman" w:hAnsi="Times New Roman" w:eastAsia="宋体" w:cs="Times New Roman"/>
      <w:sz w:val="18"/>
      <w:szCs w:val="18"/>
    </w:rPr>
  </w:style>
  <w:style w:type="character" w:customStyle="1" w:styleId="25">
    <w:name w:val="标题 字符"/>
    <w:basedOn w:val="16"/>
    <w:link w:val="13"/>
    <w:autoRedefine/>
    <w:qFormat/>
    <w:uiPriority w:val="0"/>
    <w:rPr>
      <w:rFonts w:ascii="Times New Roman" w:hAnsi="Times New Roman" w:eastAsia="宋体" w:cs="Times New Roman"/>
      <w:bCs/>
      <w:kern w:val="0"/>
      <w:szCs w:val="32"/>
      <w:lang w:val="zh-CN"/>
    </w:rPr>
  </w:style>
  <w:style w:type="character" w:customStyle="1" w:styleId="26">
    <w:name w:val="副标题 Char"/>
    <w:basedOn w:val="16"/>
    <w:autoRedefine/>
    <w:qFormat/>
    <w:uiPriority w:val="11"/>
    <w:rPr>
      <w:rFonts w:eastAsia="宋体" w:asciiTheme="majorHAnsi" w:hAnsiTheme="majorHAnsi" w:cstheme="majorBidi"/>
      <w:b/>
      <w:bCs/>
      <w:kern w:val="28"/>
      <w:sz w:val="32"/>
      <w:szCs w:val="32"/>
    </w:rPr>
  </w:style>
  <w:style w:type="paragraph" w:customStyle="1" w:styleId="27">
    <w:name w:val="Default"/>
    <w:qFormat/>
    <w:uiPriority w:val="0"/>
    <w:pPr>
      <w:widowControl w:val="0"/>
      <w:autoSpaceDE w:val="0"/>
      <w:autoSpaceDN w:val="0"/>
      <w:adjustRightInd w:val="0"/>
    </w:pPr>
    <w:rPr>
      <w:rFonts w:ascii="宋体" w:hAnsi="Times New Roman" w:eastAsia="宋体" w:cs="宋体"/>
      <w:color w:val="000000"/>
      <w:kern w:val="0"/>
      <w:sz w:val="24"/>
      <w:szCs w:val="24"/>
      <w:lang w:val="en-US" w:eastAsia="zh-CN" w:bidi="ar-SA"/>
    </w:rPr>
  </w:style>
  <w:style w:type="character" w:customStyle="1" w:styleId="28">
    <w:name w:val="副标题 字符"/>
    <w:basedOn w:val="16"/>
    <w:link w:val="10"/>
    <w:autoRedefine/>
    <w:qFormat/>
    <w:locked/>
    <w:uiPriority w:val="11"/>
    <w:rPr>
      <w:rFonts w:ascii="Cambria" w:hAnsi="Cambria" w:eastAsia="宋体" w:cs="Times New Roman"/>
      <w:b/>
      <w:bCs/>
      <w:kern w:val="28"/>
      <w:sz w:val="28"/>
      <w:szCs w:val="32"/>
    </w:rPr>
  </w:style>
  <w:style w:type="paragraph" w:customStyle="1" w:styleId="29">
    <w:name w:val="p0"/>
    <w:basedOn w:val="1"/>
    <w:autoRedefine/>
    <w:qFormat/>
    <w:uiPriority w:val="0"/>
    <w:pPr>
      <w:widowControl/>
      <w:spacing w:line="240" w:lineRule="auto"/>
    </w:pPr>
    <w:rPr>
      <w:kern w:val="0"/>
      <w:sz w:val="21"/>
      <w:szCs w:val="21"/>
    </w:rPr>
  </w:style>
</w:styles>
</file>

<file path=word/_rels/document.xml.rels><?xml version="1.0" encoding="UTF-8" standalone="yes"?>
<Relationships xmlns="http://schemas.openxmlformats.org/package/2006/relationships"><Relationship Id="rId99" Type="http://schemas.openxmlformats.org/officeDocument/2006/relationships/image" Target="media/image87.jpeg"/><Relationship Id="rId98" Type="http://schemas.openxmlformats.org/officeDocument/2006/relationships/image" Target="media/image86.jpeg"/><Relationship Id="rId97" Type="http://schemas.openxmlformats.org/officeDocument/2006/relationships/image" Target="media/image85.jpeg"/><Relationship Id="rId96" Type="http://schemas.openxmlformats.org/officeDocument/2006/relationships/image" Target="media/image84.jpeg"/><Relationship Id="rId95" Type="http://schemas.openxmlformats.org/officeDocument/2006/relationships/image" Target="media/image83.jpeg"/><Relationship Id="rId94" Type="http://schemas.openxmlformats.org/officeDocument/2006/relationships/image" Target="media/image82.jpeg"/><Relationship Id="rId93" Type="http://schemas.openxmlformats.org/officeDocument/2006/relationships/image" Target="media/image81.jpeg"/><Relationship Id="rId92" Type="http://schemas.openxmlformats.org/officeDocument/2006/relationships/image" Target="media/image80.jpeg"/><Relationship Id="rId91" Type="http://schemas.openxmlformats.org/officeDocument/2006/relationships/image" Target="media/image79.jpeg"/><Relationship Id="rId90" Type="http://schemas.openxmlformats.org/officeDocument/2006/relationships/image" Target="media/image78.jpeg"/><Relationship Id="rId9" Type="http://schemas.openxmlformats.org/officeDocument/2006/relationships/footer" Target="footer4.xml"/><Relationship Id="rId89" Type="http://schemas.openxmlformats.org/officeDocument/2006/relationships/image" Target="media/image77.jpeg"/><Relationship Id="rId88" Type="http://schemas.openxmlformats.org/officeDocument/2006/relationships/image" Target="media/image76.jpeg"/><Relationship Id="rId87" Type="http://schemas.openxmlformats.org/officeDocument/2006/relationships/image" Target="media/image75.jpeg"/><Relationship Id="rId86" Type="http://schemas.openxmlformats.org/officeDocument/2006/relationships/image" Target="media/image74.jpeg"/><Relationship Id="rId85" Type="http://schemas.openxmlformats.org/officeDocument/2006/relationships/image" Target="media/image73.jpeg"/><Relationship Id="rId84" Type="http://schemas.openxmlformats.org/officeDocument/2006/relationships/image" Target="media/image72.jpeg"/><Relationship Id="rId83" Type="http://schemas.openxmlformats.org/officeDocument/2006/relationships/image" Target="media/image71.jpeg"/><Relationship Id="rId82" Type="http://schemas.openxmlformats.org/officeDocument/2006/relationships/image" Target="media/image70.jpeg"/><Relationship Id="rId81" Type="http://schemas.openxmlformats.org/officeDocument/2006/relationships/image" Target="media/image69.jpeg"/><Relationship Id="rId80" Type="http://schemas.openxmlformats.org/officeDocument/2006/relationships/image" Target="media/image68.jpeg"/><Relationship Id="rId8" Type="http://schemas.openxmlformats.org/officeDocument/2006/relationships/footer" Target="footer3.xml"/><Relationship Id="rId79" Type="http://schemas.openxmlformats.org/officeDocument/2006/relationships/image" Target="media/image67.jpeg"/><Relationship Id="rId78" Type="http://schemas.openxmlformats.org/officeDocument/2006/relationships/image" Target="media/image66.jpeg"/><Relationship Id="rId77" Type="http://schemas.openxmlformats.org/officeDocument/2006/relationships/image" Target="media/image65.jpeg"/><Relationship Id="rId76" Type="http://schemas.openxmlformats.org/officeDocument/2006/relationships/image" Target="media/image64.jpeg"/><Relationship Id="rId75" Type="http://schemas.openxmlformats.org/officeDocument/2006/relationships/image" Target="media/image63.jpeg"/><Relationship Id="rId74" Type="http://schemas.openxmlformats.org/officeDocument/2006/relationships/image" Target="media/image62.jpeg"/><Relationship Id="rId73" Type="http://schemas.openxmlformats.org/officeDocument/2006/relationships/image" Target="media/image61.jpeg"/><Relationship Id="rId72" Type="http://schemas.openxmlformats.org/officeDocument/2006/relationships/image" Target="media/image60.jpeg"/><Relationship Id="rId71" Type="http://schemas.openxmlformats.org/officeDocument/2006/relationships/image" Target="media/image59.jpeg"/><Relationship Id="rId70" Type="http://schemas.openxmlformats.org/officeDocument/2006/relationships/image" Target="media/image58.jpeg"/><Relationship Id="rId7" Type="http://schemas.openxmlformats.org/officeDocument/2006/relationships/footer" Target="footer2.xml"/><Relationship Id="rId69" Type="http://schemas.openxmlformats.org/officeDocument/2006/relationships/image" Target="media/image57.jpeg"/><Relationship Id="rId68" Type="http://schemas.openxmlformats.org/officeDocument/2006/relationships/image" Target="media/image56.jpeg"/><Relationship Id="rId67" Type="http://schemas.openxmlformats.org/officeDocument/2006/relationships/image" Target="media/image55.jpeg"/><Relationship Id="rId66" Type="http://schemas.openxmlformats.org/officeDocument/2006/relationships/image" Target="media/image54.jpeg"/><Relationship Id="rId65" Type="http://schemas.openxmlformats.org/officeDocument/2006/relationships/image" Target="media/image53.jpeg"/><Relationship Id="rId64" Type="http://schemas.openxmlformats.org/officeDocument/2006/relationships/image" Target="media/image52.jpeg"/><Relationship Id="rId63" Type="http://schemas.openxmlformats.org/officeDocument/2006/relationships/image" Target="media/image51.png"/><Relationship Id="rId62" Type="http://schemas.openxmlformats.org/officeDocument/2006/relationships/image" Target="media/image50.jpeg"/><Relationship Id="rId61" Type="http://schemas.openxmlformats.org/officeDocument/2006/relationships/image" Target="media/image49.jpeg"/><Relationship Id="rId60" Type="http://schemas.openxmlformats.org/officeDocument/2006/relationships/image" Target="media/image48.jpeg"/><Relationship Id="rId6" Type="http://schemas.openxmlformats.org/officeDocument/2006/relationships/header" Target="header1.xml"/><Relationship Id="rId59" Type="http://schemas.openxmlformats.org/officeDocument/2006/relationships/image" Target="media/image47.jpeg"/><Relationship Id="rId58" Type="http://schemas.openxmlformats.org/officeDocument/2006/relationships/image" Target="media/image46.jpeg"/><Relationship Id="rId57" Type="http://schemas.openxmlformats.org/officeDocument/2006/relationships/image" Target="media/image45.jpeg"/><Relationship Id="rId56" Type="http://schemas.openxmlformats.org/officeDocument/2006/relationships/image" Target="media/image44.jpeg"/><Relationship Id="rId55" Type="http://schemas.openxmlformats.org/officeDocument/2006/relationships/image" Target="media/image43.jpeg"/><Relationship Id="rId54" Type="http://schemas.openxmlformats.org/officeDocument/2006/relationships/image" Target="media/image42.jpeg"/><Relationship Id="rId53" Type="http://schemas.openxmlformats.org/officeDocument/2006/relationships/image" Target="media/image41.jpeg"/><Relationship Id="rId52" Type="http://schemas.openxmlformats.org/officeDocument/2006/relationships/image" Target="media/image40.jpeg"/><Relationship Id="rId51" Type="http://schemas.openxmlformats.org/officeDocument/2006/relationships/image" Target="media/image39.jpeg"/><Relationship Id="rId50" Type="http://schemas.openxmlformats.org/officeDocument/2006/relationships/image" Target="media/image38.jpeg"/><Relationship Id="rId5" Type="http://schemas.openxmlformats.org/officeDocument/2006/relationships/footer" Target="footer1.xml"/><Relationship Id="rId49" Type="http://schemas.openxmlformats.org/officeDocument/2006/relationships/image" Target="media/image37.jpeg"/><Relationship Id="rId48" Type="http://schemas.openxmlformats.org/officeDocument/2006/relationships/image" Target="media/image36.jpeg"/><Relationship Id="rId47" Type="http://schemas.openxmlformats.org/officeDocument/2006/relationships/image" Target="media/image35.jpeg"/><Relationship Id="rId46" Type="http://schemas.openxmlformats.org/officeDocument/2006/relationships/image" Target="media/image34.jpeg"/><Relationship Id="rId45" Type="http://schemas.openxmlformats.org/officeDocument/2006/relationships/image" Target="media/image33.jpeg"/><Relationship Id="rId44" Type="http://schemas.openxmlformats.org/officeDocument/2006/relationships/image" Target="media/image32.jpeg"/><Relationship Id="rId43" Type="http://schemas.openxmlformats.org/officeDocument/2006/relationships/image" Target="media/image31.jpeg"/><Relationship Id="rId42" Type="http://schemas.openxmlformats.org/officeDocument/2006/relationships/image" Target="media/image30.jpeg"/><Relationship Id="rId41" Type="http://schemas.openxmlformats.org/officeDocument/2006/relationships/image" Target="media/image29.jpeg"/><Relationship Id="rId40" Type="http://schemas.openxmlformats.org/officeDocument/2006/relationships/image" Target="media/image28.jpeg"/><Relationship Id="rId4" Type="http://schemas.openxmlformats.org/officeDocument/2006/relationships/endnotes" Target="endnotes.xml"/><Relationship Id="rId39" Type="http://schemas.openxmlformats.org/officeDocument/2006/relationships/image" Target="media/image27.jpeg"/><Relationship Id="rId38" Type="http://schemas.openxmlformats.org/officeDocument/2006/relationships/image" Target="media/image26.jpeg"/><Relationship Id="rId37" Type="http://schemas.openxmlformats.org/officeDocument/2006/relationships/image" Target="media/image25.jpeg"/><Relationship Id="rId36" Type="http://schemas.openxmlformats.org/officeDocument/2006/relationships/image" Target="media/image24.jpeg"/><Relationship Id="rId35" Type="http://schemas.openxmlformats.org/officeDocument/2006/relationships/image" Target="media/image23.jpeg"/><Relationship Id="rId34" Type="http://schemas.openxmlformats.org/officeDocument/2006/relationships/image" Target="media/image22.jpeg"/><Relationship Id="rId33" Type="http://schemas.openxmlformats.org/officeDocument/2006/relationships/image" Target="media/image21.jpeg"/><Relationship Id="rId32" Type="http://schemas.openxmlformats.org/officeDocument/2006/relationships/image" Target="media/image20.jpeg"/><Relationship Id="rId31" Type="http://schemas.openxmlformats.org/officeDocument/2006/relationships/image" Target="media/image19.jpeg"/><Relationship Id="rId30" Type="http://schemas.openxmlformats.org/officeDocument/2006/relationships/image" Target="media/image18.jpeg"/><Relationship Id="rId3" Type="http://schemas.openxmlformats.org/officeDocument/2006/relationships/footnotes" Target="footnotes.xml"/><Relationship Id="rId29" Type="http://schemas.openxmlformats.org/officeDocument/2006/relationships/image" Target="media/image17.png"/><Relationship Id="rId28" Type="http://schemas.openxmlformats.org/officeDocument/2006/relationships/image" Target="media/image16.jpeg"/><Relationship Id="rId27" Type="http://schemas.openxmlformats.org/officeDocument/2006/relationships/image" Target="media/image15.jpeg"/><Relationship Id="rId26" Type="http://schemas.openxmlformats.org/officeDocument/2006/relationships/image" Target="media/image14.jpeg"/><Relationship Id="rId25" Type="http://schemas.openxmlformats.org/officeDocument/2006/relationships/image" Target="media/image13.jpeg"/><Relationship Id="rId24" Type="http://schemas.openxmlformats.org/officeDocument/2006/relationships/image" Target="media/image12.jpeg"/><Relationship Id="rId23" Type="http://schemas.openxmlformats.org/officeDocument/2006/relationships/image" Target="media/image11.jpeg"/><Relationship Id="rId22" Type="http://schemas.openxmlformats.org/officeDocument/2006/relationships/image" Target="media/image10.jpeg"/><Relationship Id="rId21" Type="http://schemas.openxmlformats.org/officeDocument/2006/relationships/image" Target="media/image9.jpeg"/><Relationship Id="rId20" Type="http://schemas.openxmlformats.org/officeDocument/2006/relationships/image" Target="media/image8.jpeg"/><Relationship Id="rId2" Type="http://schemas.openxmlformats.org/officeDocument/2006/relationships/settings" Target="settings.xml"/><Relationship Id="rId19" Type="http://schemas.openxmlformats.org/officeDocument/2006/relationships/image" Target="media/image7.jpeg"/><Relationship Id="rId18" Type="http://schemas.openxmlformats.org/officeDocument/2006/relationships/image" Target="media/image6.jpeg"/><Relationship Id="rId17" Type="http://schemas.openxmlformats.org/officeDocument/2006/relationships/image" Target="media/image5.jpeg"/><Relationship Id="rId16" Type="http://schemas.openxmlformats.org/officeDocument/2006/relationships/image" Target="media/image4.jpeg"/><Relationship Id="rId15" Type="http://schemas.openxmlformats.org/officeDocument/2006/relationships/image" Target="media/image3.png"/><Relationship Id="rId14" Type="http://schemas.openxmlformats.org/officeDocument/2006/relationships/image" Target="media/image2.jpeg"/><Relationship Id="rId13" Type="http://schemas.openxmlformats.org/officeDocument/2006/relationships/image" Target="media/image1.jpeg"/><Relationship Id="rId120" Type="http://schemas.openxmlformats.org/officeDocument/2006/relationships/fontTable" Target="fontTable.xml"/><Relationship Id="rId12" Type="http://schemas.openxmlformats.org/officeDocument/2006/relationships/theme" Target="theme/theme1.xml"/><Relationship Id="rId119" Type="http://schemas.openxmlformats.org/officeDocument/2006/relationships/customXml" Target="../customXml/item1.xml"/><Relationship Id="rId118" Type="http://schemas.openxmlformats.org/officeDocument/2006/relationships/image" Target="media/image106.png"/><Relationship Id="rId117" Type="http://schemas.openxmlformats.org/officeDocument/2006/relationships/image" Target="media/image105.jpeg"/><Relationship Id="rId116" Type="http://schemas.openxmlformats.org/officeDocument/2006/relationships/image" Target="media/image104.jpeg"/><Relationship Id="rId115" Type="http://schemas.openxmlformats.org/officeDocument/2006/relationships/image" Target="media/image103.jpeg"/><Relationship Id="rId114" Type="http://schemas.openxmlformats.org/officeDocument/2006/relationships/image" Target="media/image102.jpeg"/><Relationship Id="rId113" Type="http://schemas.openxmlformats.org/officeDocument/2006/relationships/image" Target="media/image101.jpeg"/><Relationship Id="rId112" Type="http://schemas.openxmlformats.org/officeDocument/2006/relationships/image" Target="media/image100.jpeg"/><Relationship Id="rId111" Type="http://schemas.openxmlformats.org/officeDocument/2006/relationships/image" Target="media/image99.jpeg"/><Relationship Id="rId110" Type="http://schemas.openxmlformats.org/officeDocument/2006/relationships/image" Target="media/image98.jpeg"/><Relationship Id="rId11" Type="http://schemas.openxmlformats.org/officeDocument/2006/relationships/footer" Target="footer5.xml"/><Relationship Id="rId109" Type="http://schemas.openxmlformats.org/officeDocument/2006/relationships/image" Target="media/image97.jpeg"/><Relationship Id="rId108" Type="http://schemas.openxmlformats.org/officeDocument/2006/relationships/image" Target="media/image96.jpeg"/><Relationship Id="rId107" Type="http://schemas.openxmlformats.org/officeDocument/2006/relationships/image" Target="media/image95.jpeg"/><Relationship Id="rId106" Type="http://schemas.openxmlformats.org/officeDocument/2006/relationships/image" Target="media/image94.jpeg"/><Relationship Id="rId105" Type="http://schemas.openxmlformats.org/officeDocument/2006/relationships/image" Target="media/image93.jpeg"/><Relationship Id="rId104" Type="http://schemas.openxmlformats.org/officeDocument/2006/relationships/image" Target="media/image92.jpeg"/><Relationship Id="rId103" Type="http://schemas.openxmlformats.org/officeDocument/2006/relationships/image" Target="media/image91.jpeg"/><Relationship Id="rId102" Type="http://schemas.openxmlformats.org/officeDocument/2006/relationships/image" Target="media/image90.jpeg"/><Relationship Id="rId101" Type="http://schemas.openxmlformats.org/officeDocument/2006/relationships/image" Target="media/image89.jpeg"/><Relationship Id="rId100" Type="http://schemas.openxmlformats.org/officeDocument/2006/relationships/image" Target="media/image88.jpeg"/><Relationship Id="rId10" Type="http://schemas.openxmlformats.org/officeDocument/2006/relationships/header" Target="header2.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180</Pages>
  <Words>680</Words>
  <Characters>882</Characters>
  <Lines>501</Lines>
  <Paragraphs>141</Paragraphs>
  <TotalTime>21</TotalTime>
  <ScaleCrop>false</ScaleCrop>
  <LinksUpToDate>false</LinksUpToDate>
  <CharactersWithSpaces>984</CharactersWithSpaces>
  <Application>WPS Office_12.1.0.19302_F1E327BC-269C-435d-A152-05C5408002CA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2021-04-07T08:50:00Z</dcterms:created>
  <dc:creator>HUAWEI</dc:creator>
  <cp:lastModifiedBy>Shimmer</cp:lastModifiedBy>
  <cp:lastPrinted>2021-07-14T06:52:00Z</cp:lastPrinted>
  <dcterms:modified xsi:type="dcterms:W3CDTF">2024-12-27T02:25:45Z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ICV">
    <vt:lpwstr>DBA667D709EB46E3BCD2E81E6F54F24D_13</vt:lpwstr>
  </property>
  <property fmtid="{D5CDD505-2E9C-101B-9397-08002B2CF9AE}" pid="4" name="KSOTemplateDocerSaveRecord">
    <vt:lpwstr>eyJoZGlkIjoiYWRiNzgxOTI1MDdkYjU2ZGFjZjY5MzgwMjQwNjA5YjQiLCJ1c2VySWQiOiIzOTU2MTUxNzAifQ==</vt:lpwstr>
  </property>
</Properties>
</file>