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rPr>
          <w:rFonts w:hint="eastAsia" w:ascii="方正小标宋简体" w:eastAsia="方正小标宋简体"/>
          <w:b w:val="0"/>
          <w:bCs w:val="0"/>
          <w:i w:val="0"/>
          <w:iCs w:val="0"/>
          <w:caps w:val="0"/>
          <w:smallCaps w:val="0"/>
          <w:vanish w:val="0"/>
          <w:color w:val="333333"/>
          <w:spacing w:val="0"/>
          <w:sz w:val="32"/>
          <w:szCs w:val="32"/>
          <w:lang w:eastAsia="zh-CN"/>
        </w:rPr>
      </w:pPr>
      <w:r>
        <w:rPr>
          <w:rFonts w:ascii="方正小标宋简体" w:eastAsia="方正小标宋简体"/>
          <w:b w:val="0"/>
          <w:bCs w:val="0"/>
          <w:i w:val="0"/>
          <w:iCs w:val="0"/>
          <w:caps w:val="0"/>
          <w:smallCaps w:val="0"/>
          <w:vanish w:val="0"/>
          <w:color w:val="333333"/>
          <w:spacing w:val="0"/>
          <w:sz w:val="32"/>
          <w:szCs w:val="32"/>
        </w:rPr>
        <w:t>附件</w:t>
      </w:r>
      <w:r>
        <w:rPr>
          <w:rFonts w:hint="eastAsia" w:ascii="方正小标宋简体" w:eastAsia="方正小标宋简体"/>
          <w:b w:val="0"/>
          <w:bCs w:val="0"/>
          <w:i w:val="0"/>
          <w:iCs w:val="0"/>
          <w:caps w:val="0"/>
          <w:smallCaps w:val="0"/>
          <w:vanish w:val="0"/>
          <w:color w:val="333333"/>
          <w:spacing w:val="0"/>
          <w:sz w:val="32"/>
          <w:szCs w:val="32"/>
          <w:lang w:val="en-US" w:eastAsia="zh-CN"/>
        </w:rPr>
        <w:t>2</w:t>
      </w:r>
      <w:bookmarkStart w:id="0" w:name="_GoBack"/>
      <w:bookmarkEnd w:id="0"/>
      <w:r>
        <w:rPr>
          <w:rFonts w:hint="eastAsia" w:ascii="方正小标宋简体" w:eastAsia="方正小标宋简体"/>
          <w:b w:val="0"/>
          <w:bCs w:val="0"/>
          <w:i w:val="0"/>
          <w:iCs w:val="0"/>
          <w:caps w:val="0"/>
          <w:smallCaps w:val="0"/>
          <w:vanish w:val="0"/>
          <w:color w:val="333333"/>
          <w:spacing w:val="0"/>
          <w:sz w:val="32"/>
          <w:szCs w:val="32"/>
          <w:lang w:eastAsia="zh-CN"/>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eastAsia" w:ascii="方正小标宋简体" w:eastAsia="方正小标宋简体"/>
          <w:b w:val="0"/>
          <w:bCs w:val="0"/>
          <w:i w:val="0"/>
          <w:iCs w:val="0"/>
          <w:caps w:val="0"/>
          <w:smallCaps w:val="0"/>
          <w:vanish w:val="0"/>
          <w:color w:val="333333"/>
          <w:spacing w:val="0"/>
          <w:sz w:val="32"/>
          <w:szCs w:val="32"/>
        </w:rPr>
      </w:pP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ascii="Helvetica Neue" w:hAnsi="Helvetica Neue"/>
          <w:b w:val="0"/>
          <w:bCs w:val="0"/>
          <w:i w:val="0"/>
          <w:iCs w:val="0"/>
          <w:caps w:val="0"/>
          <w:smallCaps w:val="0"/>
          <w:vanish w:val="0"/>
          <w:color w:val="333333"/>
          <w:spacing w:val="0"/>
          <w:sz w:val="21"/>
          <w:szCs w:val="21"/>
        </w:rPr>
      </w:pPr>
      <w:r>
        <w:rPr>
          <w:rFonts w:hint="eastAsia" w:ascii="方正小标宋简体" w:eastAsia="方正小标宋简体"/>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方正小标宋简体" w:eastAsia="方正小标宋简体"/>
          <w:b w:val="0"/>
          <w:bCs w:val="0"/>
          <w:i w:val="0"/>
          <w:iCs w:val="0"/>
          <w:caps w:val="0"/>
          <w:smallCaps w:val="0"/>
          <w:vanish w:val="0"/>
          <w:color w:val="333333"/>
          <w:spacing w:val="0"/>
          <w:sz w:val="32"/>
          <w:szCs w:val="32"/>
        </w:rPr>
        <w:t>年人事考试新冠肺炎疫情防控要求（第四版）</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凡报名参加由贵州省人力资源和社会保障厅考试院（贵州省公务员考试测评中心）组织实施的</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一、疫情防控要求</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根据国务院联防联控机制综合组印发《新型冠状病毒肺炎防控方案（第九版）》和贵州省最新疫情防控规定，对参加贵州省各项人事考试的考生防疫要求如下：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处于康复或隔离期的病例、无症状感染者不得进入考点参加考试。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处于集中隔离、居家隔离、居家健康监测期间的人员不得进入考点参加考试。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（六）</w:t>
      </w:r>
      <w:r>
        <w:rPr>
          <w:rFonts w:hint="eastAsia" w:ascii="仿宋_GB2312" w:eastAsia="仿宋_GB2312"/>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（七）</w:t>
      </w:r>
      <w:r>
        <w:rPr>
          <w:rFonts w:hint="eastAsia" w:ascii="仿宋_GB2312" w:eastAsia="仿宋_GB2312"/>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天内有中高风险区旅居史的考生，不得进入考点参加考试。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（八）</w:t>
      </w:r>
      <w:r>
        <w:rPr>
          <w:rFonts w:hint="eastAsia" w:ascii="仿宋_GB2312" w:eastAsia="仿宋_GB2312"/>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hint="eastAsia" w:ascii="仿宋_GB2312" w:eastAsia="仿宋_GB2312"/>
          <w:b w:val="0"/>
          <w:bCs w:val="0"/>
          <w:i w:val="0"/>
          <w:iCs w:val="0"/>
          <w:caps w:val="0"/>
          <w:smallCaps w:val="0"/>
          <w:vanish w:val="0"/>
          <w:color w:val="333333"/>
          <w:spacing w:val="0"/>
          <w:sz w:val="32"/>
          <w:szCs w:val="32"/>
        </w:rPr>
        <w:t>次核酸检测”，未达到解除条件的考生不得进入考点参加考试。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hint="eastAsia" w:ascii="仿宋_GB2312" w:eastAsia="仿宋_GB2312"/>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hint="eastAsia" w:ascii="仿宋_GB2312" w:eastAsia="仿宋_GB2312"/>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hint="eastAsia" w:ascii="仿宋_GB2312" w:eastAsia="仿宋_GB2312"/>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次核酸采样的，不得进入考点参加考试。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w:t>
      </w:r>
      <w:r>
        <w:rPr>
          <w:rFonts w:hint="eastAsia" w:ascii="仿宋_GB2312" w:eastAsia="仿宋_GB2312"/>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（十一）</w:t>
      </w:r>
      <w:r>
        <w:rPr>
          <w:rFonts w:hint="eastAsia" w:ascii="仿宋_GB2312" w:eastAsia="仿宋_GB2312"/>
          <w:b w:val="0"/>
          <w:bCs w:val="0"/>
          <w:i w:val="0"/>
          <w:iCs w:val="0"/>
          <w:caps w:val="0"/>
          <w:smallCaps w:val="0"/>
          <w:vanish w:val="0"/>
          <w:color w:val="333333"/>
          <w:spacing w:val="0"/>
          <w:sz w:val="32"/>
          <w:szCs w:val="32"/>
        </w:rPr>
        <w:t>除符合其他防疫要求外，</w:t>
      </w:r>
      <w:r>
        <w:rPr>
          <w:rStyle w:val="8"/>
          <w:rFonts w:hint="eastAsia" w:ascii="黑体" w:eastAsia="黑体"/>
          <w:b/>
          <w:bCs w:val="0"/>
          <w:i w:val="0"/>
          <w:iCs w:val="0"/>
          <w:caps w:val="0"/>
          <w:smallCaps w:val="0"/>
          <w:vanish w:val="0"/>
          <w:color w:val="333333"/>
          <w:spacing w:val="0"/>
          <w:sz w:val="32"/>
          <w:szCs w:val="32"/>
        </w:rPr>
        <w:t>所有考生均须提供考前48小时内1次核酸检测阴性证明</w:t>
      </w:r>
      <w:r>
        <w:rPr>
          <w:rStyle w:val="8"/>
          <w:rFonts w:hint="eastAsia" w:ascii="仿宋_GB2312" w:eastAsia="仿宋_GB2312"/>
          <w:b/>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（十二）</w:t>
      </w:r>
      <w:r>
        <w:rPr>
          <w:rFonts w:hint="eastAsia" w:ascii="仿宋_GB2312" w:eastAsia="仿宋_GB2312"/>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（十三）</w:t>
      </w:r>
      <w:r>
        <w:rPr>
          <w:rFonts w:hint="eastAsia" w:ascii="仿宋_GB2312" w:eastAsia="仿宋_GB2312"/>
          <w:b w:val="0"/>
          <w:bCs w:val="0"/>
          <w:i w:val="0"/>
          <w:iCs w:val="0"/>
          <w:caps w:val="0"/>
          <w:smallCaps w:val="0"/>
          <w:vanish w:val="0"/>
          <w:color w:val="333333"/>
          <w:spacing w:val="0"/>
          <w:sz w:val="32"/>
          <w:szCs w:val="32"/>
        </w:rPr>
        <w:t>各科目开考前</w:t>
      </w:r>
      <w:r>
        <w:rPr>
          <w:rFonts w:ascii="Times New Roman" w:hAnsi="Times New Roman"/>
          <w:b w:val="0"/>
          <w:bCs w:val="0"/>
          <w:i w:val="0"/>
          <w:iCs w:val="0"/>
          <w:caps w:val="0"/>
          <w:smallCaps w:val="0"/>
          <w:vanish w:val="0"/>
          <w:color w:val="333333"/>
          <w:spacing w:val="0"/>
          <w:sz w:val="32"/>
          <w:szCs w:val="32"/>
        </w:rPr>
        <w:t>100</w:t>
      </w:r>
      <w:r>
        <w:rPr>
          <w:rFonts w:hint="eastAsia" w:ascii="仿宋_GB2312" w:eastAsia="仿宋_GB2312"/>
          <w:b w:val="0"/>
          <w:bCs w:val="0"/>
          <w:i w:val="0"/>
          <w:iCs w:val="0"/>
          <w:caps w:val="0"/>
          <w:smallCaps w:val="0"/>
          <w:vanish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（十四）</w:t>
      </w:r>
      <w:r>
        <w:rPr>
          <w:rFonts w:hint="eastAsia" w:ascii="仿宋_GB2312" w:eastAsia="仿宋_GB2312"/>
          <w:b w:val="0"/>
          <w:bCs w:val="0"/>
          <w:i w:val="0"/>
          <w:iCs w:val="0"/>
          <w:caps w:val="0"/>
          <w:smallCaps w:val="0"/>
          <w:vanish w:val="0"/>
          <w:color w:val="333333"/>
          <w:spacing w:val="0"/>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（十五）</w:t>
      </w:r>
      <w:r>
        <w:rPr>
          <w:rFonts w:hint="eastAsia" w:ascii="仿宋_GB2312" w:eastAsia="仿宋_GB2312"/>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（十六）</w:t>
      </w:r>
      <w:r>
        <w:rPr>
          <w:rFonts w:hint="eastAsia" w:ascii="仿宋_GB2312" w:eastAsia="仿宋_GB2312"/>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二、入场检测规定</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入场检测时，考生须同时符合以下全部要求，方可进入考点参加考试：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本人“贵州健康码”绿码；</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佩戴一次性使用医用口罩；</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Style w:val="8"/>
          <w:rFonts w:hint="eastAsia" w:ascii="黑体" w:eastAsia="黑体"/>
          <w:b/>
          <w:bCs w:val="0"/>
          <w:i w:val="0"/>
          <w:iCs w:val="0"/>
          <w:caps w:val="0"/>
          <w:smallCaps w:val="0"/>
          <w:vanish w:val="0"/>
          <w:color w:val="333333"/>
          <w:spacing w:val="0"/>
          <w:sz w:val="32"/>
          <w:szCs w:val="32"/>
        </w:rPr>
        <w:t>提供考前48小时内1次核酸检测阴性证明</w:t>
      </w:r>
      <w:r>
        <w:rPr>
          <w:rFonts w:hint="eastAsia" w:ascii="黑体" w:eastAsia="黑体"/>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检”的人员，须按规定提供相应次数的核酸采样证明。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三、入场检测步骤</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（一）特殊检测通道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要求完成的相应次数的核酸采样证明”、</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（二）常规检测通道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其余考生进入常规检测通道，具体检测步骤如下：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考生到常规检测通道提交考试当天本人“贵州健康码绿码”、</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检”的考生，立即转入特殊检测通道检测。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（三）临时隔离检查点</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hint="eastAsia" w:ascii="仿宋_GB2312" w:eastAsia="仿宋_GB2312"/>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年人事考试新冠肺炎疫情防控要求（第三版）》停止使用。</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pPr>
    </w:p>
    <w:sectPr>
      <w:pgSz w:w="11907" w:h="16840"/>
      <w:pgMar w:top="2098" w:right="1474" w:bottom="1985" w:left="1588"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MGQ3NGQyYzAxYmMzYWYwMDcxYTY4OWRlZmMzMzc0ZjcifQ=="/>
  </w:docVars>
  <w:rsids>
    <w:rsidRoot w:val="00000000"/>
    <w:rsid w:val="00916ED0"/>
    <w:rsid w:val="5A1617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character" w:styleId="8">
    <w:name w:val="Strong"/>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2942</Words>
  <Characters>2995</Characters>
  <Lines>135</Lines>
  <Paragraphs>44</Paragraphs>
  <TotalTime>3</TotalTime>
  <ScaleCrop>false</ScaleCrop>
  <LinksUpToDate>false</LinksUpToDate>
  <CharactersWithSpaces>2998</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2022-07-11T10:40:00Z</dcterms:created>
  <dc:creator>ysgz</dc:creator>
  <cp:lastModifiedBy>EvinJae</cp:lastModifiedBy>
  <dcterms:modified xsi:type="dcterms:W3CDTF">2022-08-08T09:48:11Z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30A8E052CCCA4D119339263098571C39</vt:lpwstr>
  </property>
</Properties>
</file>