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bookmarkStart w:id="0" w:name="bookmark1"/>
      <w:bookmarkStart w:id="1" w:name="bookmark2"/>
      <w:bookmarkStart w:id="2" w:name="bookmark0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花溪区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财政支出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绩效情况的报告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推进全面实施预算绩效管理改革，以深化部门整体预算绩效管理为抓手，健全完善全过程预算绩效管理各项环节，促进绩效管理与预算编制不断融合，充分运用预算绩效管理手段，推动财政资金聚力增效。现将预算绩效管理工作及重点项目绩效评价情况报告如下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一、2021年预算绩效管理工作开展情况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（一）聚焦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以制度建设为指导，建立党委领导、各方共同参与的组织体系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highlight w:val="none"/>
          <w:shd w:val="clear" w:color="050000" w:fill="auto"/>
          <w:lang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eastAsia="仿宋_GB2312" w:cs="Times New Roman"/>
          <w:color w:val="000000" w:themeColor="text1"/>
          <w:spacing w:val="0"/>
          <w:position w:val="0"/>
          <w:sz w:val="32"/>
          <w:highlight w:val="none"/>
          <w:shd w:val="clear" w:color="050000" w:fill="auto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highlight w:val="none"/>
          <w:shd w:val="clear" w:color="050000" w:fill="auto"/>
          <w:lang w:eastAsia="zh-CN"/>
          <w14:textFill>
            <w14:solidFill>
              <w14:schemeClr w14:val="tx1"/>
            </w14:solidFill>
          </w14:textFill>
        </w:rPr>
        <w:t>出台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《中共花溪区委 花溪区人民政府关于全面实施预算绩效管理的意见（试行）》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《花溪区区级预算支出绩效目标管理实施办法》等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highlight w:val="none"/>
          <w:shd w:val="clear" w:color="050000" w:fill="auto"/>
          <w:lang w:val="en-US" w:eastAsia="zh-CN"/>
          <w14:textFill>
            <w14:solidFill>
              <w14:schemeClr w14:val="tx1"/>
            </w14:solidFill>
          </w14:textFill>
        </w:rPr>
        <w:t>政策的基础上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出台了《花溪区区级预算部门（单位）整体绩效管理办法》（试行）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highlight w:val="none"/>
          <w:shd w:val="clear" w:color="050000" w:fill="auto"/>
          <w:lang w:val="en-US" w:eastAsia="zh-CN"/>
          <w14:textFill>
            <w14:solidFill>
              <w14:schemeClr w14:val="tx1"/>
            </w14:solidFill>
          </w14:textFill>
        </w:rPr>
        <w:t>（花财预库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，推动部门整体绩效管理工作，提高财政资源配置效率和使用效益。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（二）聚焦绩效目标管理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依托预算一体化系统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，从资金性质、项目金额、重点实施程度等方面不断扩大绩效目标管理范围，建立绩效目标与预算资金“同步申报、同步审核、同步批复”的机制，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家区级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一级预算部门紧紧围绕工作职责和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“六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稳”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“六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保”，科学设置部门整体绩效目标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个项目按照规范化、科学化、可执行、可量化的原则编制了绩效目标，涉及资金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94,572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（三）聚焦绩效运行监控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对绩效目标实现程度和预算执行进度实行“双监控”，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方面强化资金全程监管，确保资金规范安全使用；另一方面通过对项目支出绩效目标执行以及预算执行情况监控，在调整预算时对部门预算或项目进行调整，同时在绩效目标监控方面，要求部门根据调整后的预算资金重新申报预算绩效目标，及时纠正偏差，确保预算与绩效目标的匹配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（四）聚焦绩效评价结果应用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组织开展部门整体和项目支出绩效评价，实现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预算资金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全覆盖。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年通过委托第三方机构，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年财政资金涉及的全区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个部门、乡（镇）、街道办进行了部门整体绩效评价、对项目支出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万元及以上的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个项目进行了重点绩效评价，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月取得阶段性的评价成果，及时将评价结果与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的年初预算安排挂钩。同时，为加强绩效考核监督问效，深化结果应用，将预算绩效管理工作考核情况反馈至区督办督查局，督促部门整体提升预算绩效管理工作水平，强化财政资金使用效益，有效促进工作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（五）聚焦绩效信息公开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方面强化部门绩效信息公开，要求部门在部门预算公开时同步对部门整体支出绩效目标情况、重点项目支出绩效目标情况进行公开，内容涵盖项目基本信息、项目资金信息、项目绩效目标等，主动接受社会监督。另一方面，在2021年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向区人大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常委会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提交审议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的《花溪区2020年财政决算（草案）报告》中汇报了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10个区级重点项目支出绩效自评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评价总金额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12,777</w:t>
      </w:r>
      <w:r>
        <w:rPr>
          <w:rFonts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并将部门项目自评报告随同财政决算（草案）报告进行公开。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部门整体绩效评价情况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对2021年财政资金评价的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个部门（其中：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个部门、9个乡镇和4个街道办）整体绩效评价报告结果均在“良”及以上，评价最高分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分，最低分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80.2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分，详见下表。</w:t>
      </w:r>
      <w:bookmarkStart w:id="3" w:name="_GoBack"/>
      <w:bookmarkEnd w:id="3"/>
    </w:p>
    <w:tbl>
      <w:tblPr>
        <w:tblStyle w:val="7"/>
        <w:tblpPr w:leftFromText="180" w:rightFromText="180" w:vertAnchor="text" w:horzAnchor="page" w:tblpX="1672" w:tblpY="526"/>
        <w:tblOverlap w:val="never"/>
        <w:tblW w:w="8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4294"/>
        <w:gridCol w:w="987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评价机构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被评单位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北京信府科技有限责任公司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中共贵阳市花溪区委党史研究室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85.41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贵阳市花溪区教育局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83.21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中共贵阳市花溪区委党校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贵州汇隆会计师事务所有限公司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中国人民政治协商会议贵阳市花溪区委员会办公室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中共贵阳市花溪区委机构编制委员会办公室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贵阳市花溪区民族宗教事务局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中共贵阳市花溪区直属机关工作委员会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中共贵阳市花溪区委宣传部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中共贵阳市花溪区委统一战线工作部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85.50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贵阳市花溪区工商业联合会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89.00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贵阳市花溪区妇女联合会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中国共产主义青年团贵阳市花溪区委员会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88.68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贵阳市花溪区科学技术协会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花溪区文学艺术界联合会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88.00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贵阳市花溪文化旅游创新区管理委员会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贵阳市花溪区文体广电旅游局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89.50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贵阳市花溪区融媒体中心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90.19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贵阳市花溪区综合行政执法局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贵阳市花溪区自然资源局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87.34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贵阳市花溪区督办督查局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贵州恒正信德会计师事务所有限公司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中共贵阳市花溪区委办公室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贵阳市花溪区人民政府办公室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中共贵阳市花溪区纪律检查委员会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贵阳市花溪区工业和信息化局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84.94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贵阳市花溪区产业园区管理委员会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89.50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贵阳市花溪区贵筑街道办事处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贵阳市花溪区溪北街道办事处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贵阳市花溪区阳光街道办事处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85.60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贵阳市花溪区清溪街道办事处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80.40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花溪区青岩镇人民政府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83.00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贵阳市花溪区高坡苗族乡人民政府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80.35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贵阳市花溪区燕楼镇人民政府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84.00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贵阳市花溪区石板镇人民政府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83.50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贵阳市花溪区黔陶布依族苗族乡人民政府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83.41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贵阳市花溪区麦坪镇人民政府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84.50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贵阳市花溪区马铃布依族苗族乡人民政府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82.38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贵阳市花溪区久安乡人民政府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82.46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贵阳市花溪区孟关苗族布依族乡人民政府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贵州普诚舜天会计师事务所有限责任公司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贵阳市花溪区人民代表大会常务委员会办公室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95.50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贵阳市花溪区财政局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96.00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贵阳市花溪区统计局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中共贵阳市花溪区委政法委员会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87.10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中共贵阳市花溪区委组织部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95.50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中共贵阳市花溪区委老干部局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贵阳市花溪区信访局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贵阳市花溪区发展和改革局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87.32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贵阳市花溪区供销合作社联合社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贵阳市花溪区交通运输局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89.80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贵阳市花溪区商务和投资促进局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80.34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贵阳市花溪区住房和城乡建设局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贵阳市花溪区总工会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贵阳市花溪区档案馆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88.76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贵州诚隆会计师事务所有限公司</w:t>
            </w: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贵阳市公安局花溪分局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贵阳市花溪区司法局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贵阳市花溪区应急管理局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贵阳市花溪区退役军人事务局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贵阳市花溪区医疗保障局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贵阳市花溪区人力资源和社会保障局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92.50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贵阳市花溪区民政局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93.50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贵阳市花溪区残疾人联合会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贵阳市花溪区水务管理局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贵阳市花溪国家城市湿地公园管理处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贵阳市花溪区科学技术局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89.50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贵阳市花溪区卫生健康局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88.40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贵阳市花溪区市场监督管理局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90.50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贵阳市花溪区农业农村局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86.00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22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贵阳市花溪区机关事务管理局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三、29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个重点项目支出绩效评价情况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按照建立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方位、全过程、全覆盖”的预算绩效管理体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求，我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推进预算绩效信息公开透明，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级重点项目支出绩效目标，主要聚焦社会关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度高、影响面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大、公益性强的重点项目。各预算主管部门按照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定开展了绩效自评工作并完成自评报告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，并由第三方机构进行重点绩效评价。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个项目评价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资金总额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9,299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绩效自评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得分均在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分以上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，第三方机构评价等级为“优”的项目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个，评价等级为“良”的项目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（评价结果详见下表）</w:t>
      </w:r>
    </w:p>
    <w:tbl>
      <w:tblPr>
        <w:tblStyle w:val="7"/>
        <w:tblpPr w:leftFromText="180" w:rightFromText="180" w:vertAnchor="text" w:horzAnchor="page" w:tblpX="1489" w:tblpY="544"/>
        <w:tblOverlap w:val="never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940"/>
        <w:gridCol w:w="1470"/>
        <w:gridCol w:w="1305"/>
        <w:gridCol w:w="139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年度项目资金（万元）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自评得分（分）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第三方机构评分（分）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区、乡两级人民代表大会换届选举工作经费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103.16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三感社区专项工作经费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政法队伍教育整顿工作经费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黔陶乡至高坡乡农村道路改造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幼儿园公办率及普惠率达标经费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476.604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幼儿园公办率及普惠率达标经费（经开区）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556.892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班氏民居修缮项目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残疾儿童康复救助补助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残疾儿童康复救助补助（经开区）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国家卫生城市复审经费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二级妇幼保健院创建经费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园区发展专项资金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燕楼镇污水管网工程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行政中心设施设备维修维护工作经费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446.35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融媒体建设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花溪区土地征收信息管理系统建设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2021年度地方财政森林生态效益补偿基金（县级匹配部分）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98.86676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花溪区2021年优化提升营商环境专项工作经费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区级储备粮财政补贴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项目前期费及评审费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无物业保洁小区生活垃圾收运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295.7082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市政道路及路灯等维修维护项目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公路大中修、养护、维护及生命安全防护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2021年花溪区农村公路养护区级匹配资金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花溪区惠民生鲜超市匹配资金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巩固脱贫攻坚衔接乡村振兴项目管理费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巩固脱贫攻坚衔接乡村振兴项目资金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巩固脱贫攻坚衔接乡村振兴项目资金（青岩镇2021年优垦花卉生产示范基地温室建设项目）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花溪区农业产业扶持资金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花溪区挖煤冲水库扩建工程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花溪区中心城区老旧管网疏通改造项目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消防业务经费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农村生活污水处理设施运行维护经费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重点项目支出绩效评价情况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从重点项目绩效评价情况看，民生类项目主要回应人民关切的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教育卫生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社会救助、市政服务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等问题，发挥财政资金的保障作用，不断满足人民对美好生活向往的需要。如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幼儿园公办率及普惠率达标经费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华文仿宋" w:eastAsia="仿宋_GB2312" w:cs="宋体"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财政预算资金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1,033.50</w:t>
      </w:r>
      <w:r>
        <w:rPr>
          <w:rFonts w:hint="eastAsia" w:ascii="仿宋_GB2312" w:hAnsi="华文仿宋" w:eastAsia="仿宋_GB2312" w:cs="宋体"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华文仿宋" w:eastAsia="仿宋_GB2312" w:cs="宋体"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区公办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园体制机制改革，进一步规范办园行为、增强办园活力、提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升管理水平、提高保教质量、促进学前教育健康发展，保障适龄幼儿就近接受公益普惠优质的学前教育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，该项目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资金绩效评价综合得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91.13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评价等级为“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残疾儿童康复救助补助项目，安排预算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140.08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残联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康复救助机构合作，为残疾儿童提供康复救助，通过残疾儿童申请，由合作康复机构进行康复需求评估，确定康复救助对象符合听力残疾、言语残疾、肢体残疾、智力残疾、精神残疾及孤独症救助标准，再由合作医院按康复计划进行康复训练，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项目评价得分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95.74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，评价等级为“优”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发展类项目主要聚焦城市发展的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基础设施建设、产业扶持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等方面，发挥财政资金的引导作用，激励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仿宋_GB2312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做优做大做强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，推动我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区乡村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振兴发展目标。如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花溪区农业产业扶持资金，围绕花溪区特色农业产业（茶叶、蔬菜、水果、食用菌、花卉等）基地建设、品牌创建、营销推广等进行扶持补助，促进就业，增加农民收入，巩固脱贫攻坚成果，做优做强花溪区农业产业，推进乡村振兴，评价得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95.92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分，评价等级为“优”。成功打造了“花小莓”这一品牌，提升了品牌知名度，促进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特色产业发展；产业基地建设，提高产业发展的基础条件，增加工作岗位，增加农民收入，解决了农村大量闲置劳动力；提高了稳粮供保能力，保障了粮食及蔬菜的供给。为加快打造特色农业产业，发展全域旅游，打造“爽爽贵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秀美花溪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IP提供有力支撑。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绩效评价工作有力促进了各预算部门牢固树立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“讲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绩效，重绩效，用绩效”的财政资金绩效管理理念和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“用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钱必问效，无效必问责”的责任主体意识，绩效评价结果将作为完善政策、安排预算、改进管理的重要依据，推动建立以绩效为导向的预算管理机制，切实提高财政资金使用效益。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（二）存在的问题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个重点项目支出绩效评价工作开展情况看,各部门绩效意识有所加强，预算绩效管理水平也有所提升，但仍存在一些问题，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部分项目绩效目标设置质量有待提高，项目对应的关键指标不够全面、合理，绩效指标欠缺当年任务全局性的整体考量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对绩效目标预算编制方法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及内涵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掌握不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够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宋体" w:eastAsia="仿宋_GB2312" w:cs="宋体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 w:cs="宋体"/>
          <w:bCs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对预算绩效管理相关理论、政策要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求等的理解有待提高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部分绩效指标未能以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项目支出绩效评价共性指标体系框架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基础，结合年初预算批复项目支出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及项目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自身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特点补充设计个性指标。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部分项目在实施中发生变化，未能及时调整年初设定的绩效目标和指标，导致产出和效益指标缺乏对应性、关联性。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i/>
          <w:iCs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2022年预算绩效管理工作打算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（一）抓制度建设，夯实管理基础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以预算部门绩效管理制度建设为重点，各预算部门要建立部门和单位预算绩效管理制度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制定适合本部门的具体实施办法与工作流程，建立和完善部门整体绩效评价、部门整体绩效自评制度、部门整体绩效报告制度和部门绩效责任制度，健全分行业、分领域、分层次的绩效目标和考核评价标准体系，不断提升部门绩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（二）抓</w:t>
      </w: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纵横沟通，营造共建氛围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树立全区一盘棋思想，强化沟通联系，横纵向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双联动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，形成工作合力。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纵向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加强与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省市财政部门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的沟通联系，及时汇报情况、反馈问题，争取指导，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了解最新制度政策以及一体化系统各绩效功能模块上线情况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。横向注重与预算单位、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第三方机构等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各个层面的沟通协调，畅通流程环节，及时收集意见建议，争取理解和支持，为业务开展和系统运行创造有利条件。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（三）抓事前绩效评估，强化成本控制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大事前绩效评估力度，促进事前绩效评估与项目库评审等工作的融合，从政策（项目）依据的充分性和规范性、政策（项目）制定的明确性和合理性、政策（项目）资金投入的可行性和合理性等方面进行政策（项目）事前评估，充分论证项目的科学性、可行性、合理性，提前压缩和削减低效、无效支出，以促进公共资源配置合理，推动财政资金的高效合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（四）抓绩效运行监控，及时纠偏止损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yellow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根据预算一体化系统绩效管理模块监控功能上线情况，加强对与预算绩效运行的监控力度，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以绩效目标执行情况为重点，</w:t>
      </w:r>
      <w:r>
        <w:rPr>
          <w:rFonts w:hint="eastAsia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强化绩效目标运行监控，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用定量和定性分析相结合的方式，将实现情况与预期目标相比较，从而对目标完成、预算执行、组织实施、资金管理等情况进行分析评判</w:t>
      </w:r>
      <w:r>
        <w:rPr>
          <w:rFonts w:hint="eastAsia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采取部门日常监控和财政重点监控“双监控”结合的方式，及时发现资金使用过程中的绩效偏差，对发现的问题跟踪整改</w:t>
      </w:r>
      <w:r>
        <w:rPr>
          <w:rFonts w:hint="eastAsia" w:eastAsia="仿宋_GB2312" w:cs="Times New Roman"/>
          <w:b w:val="0"/>
          <w:bCs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，促进绩效目标的顺利实现，不断完善该项工作。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（五）抓绩效评价结果应用，强化结果转化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绩效评价结果的反馈和应用是全过程预算绩效管理的保障和落脚点，目前已完成对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年财政资金涉及的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个部门、乡（镇）、街道办整体和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个项目财政重点绩效评价工作，评价结果将应用于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年调整预算以及下一年度预算编制中，以实现绩效评价结果的约束和激励作用。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E3F6D"/>
    <w:rsid w:val="000C1B86"/>
    <w:rsid w:val="00876672"/>
    <w:rsid w:val="0125624A"/>
    <w:rsid w:val="042D1F9D"/>
    <w:rsid w:val="07E51F4B"/>
    <w:rsid w:val="07E60F21"/>
    <w:rsid w:val="093439BE"/>
    <w:rsid w:val="0C5752FC"/>
    <w:rsid w:val="13516DCC"/>
    <w:rsid w:val="13805F18"/>
    <w:rsid w:val="183508A0"/>
    <w:rsid w:val="19374853"/>
    <w:rsid w:val="19C21099"/>
    <w:rsid w:val="21595B9E"/>
    <w:rsid w:val="21A71FE4"/>
    <w:rsid w:val="2D300DB6"/>
    <w:rsid w:val="2EDF22D2"/>
    <w:rsid w:val="3357260D"/>
    <w:rsid w:val="33912103"/>
    <w:rsid w:val="34F02D7A"/>
    <w:rsid w:val="3A7C5884"/>
    <w:rsid w:val="3D771AD6"/>
    <w:rsid w:val="41861DC7"/>
    <w:rsid w:val="466E566A"/>
    <w:rsid w:val="496D1E53"/>
    <w:rsid w:val="49734DC4"/>
    <w:rsid w:val="49BC54AD"/>
    <w:rsid w:val="4A8A10AC"/>
    <w:rsid w:val="4B8C29B7"/>
    <w:rsid w:val="4C7B2C80"/>
    <w:rsid w:val="4D7C1FEC"/>
    <w:rsid w:val="4F1D4F50"/>
    <w:rsid w:val="54DA435A"/>
    <w:rsid w:val="58660F85"/>
    <w:rsid w:val="611902C4"/>
    <w:rsid w:val="63842B32"/>
    <w:rsid w:val="65C02D50"/>
    <w:rsid w:val="66022B59"/>
    <w:rsid w:val="67E30710"/>
    <w:rsid w:val="6A7B6A06"/>
    <w:rsid w:val="6B74569C"/>
    <w:rsid w:val="6F1E3F6D"/>
    <w:rsid w:val="70961176"/>
    <w:rsid w:val="711B3D88"/>
    <w:rsid w:val="781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520" w:line="619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2022-07-26T04:35:00Z</dcterms:created>
  <dc:creator>Lenovo</dc:creator>
  <cp:lastModifiedBy>Lenovo</cp:lastModifiedBy>
  <cp:lastPrinted>2022-07-29T03:50:00Z</cp:lastPrinted>
  <dcterms:modified xsi:type="dcterms:W3CDTF">2022-08-19T00:35:42Z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5CCC42F2DFC243B7B7CE3D6740F7E0EE</vt:lpwstr>
  </property>
</Properties>
</file>