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firstLine="236" w:firstLineChars="100"/>
        <w:jc w:val="left"/>
        <w:textAlignment w:val="auto"/>
        <w:rPr>
          <w:rFonts w:hint="eastAsia"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新宋体" w:hAnsi="新宋体" w:eastAsia="新宋体" w:cs="新宋体"/>
          <w:b/>
          <w:bCs w:val="0"/>
          <w:color w:val="FF0000"/>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color w:val="FF0000"/>
          <w:sz w:val="52"/>
          <w:szCs w:val="52"/>
          <w:lang w:eastAsia="zh-CN"/>
        </w:rPr>
        <w:t>贵阳市花溪区医疗保障局</w:t>
      </w:r>
      <w:r>
        <w:rPr>
          <w:rFonts w:hint="eastAsia" w:ascii="方正小标宋_GBK" w:hAnsi="方正小标宋_GBK" w:eastAsia="方正小标宋_GBK" w:cs="方正小标宋_GBK"/>
          <w:b w:val="0"/>
          <w:bCs/>
          <w:sz w:val="52"/>
          <w:szCs w:val="52"/>
        </w:rPr>
        <w:t>20</w:t>
      </w:r>
      <w:r>
        <w:rPr>
          <w:rFonts w:hint="eastAsia" w:ascii="方正小标宋_GBK" w:hAnsi="方正小标宋_GBK" w:eastAsia="方正小标宋_GBK" w:cs="方正小标宋_GBK"/>
          <w:b w:val="0"/>
          <w:bCs/>
          <w:sz w:val="52"/>
          <w:szCs w:val="52"/>
          <w:lang w:val="en-US" w:eastAsia="zh-CN"/>
        </w:rPr>
        <w:t>20</w:t>
      </w:r>
      <w:r>
        <w:rPr>
          <w:rFonts w:hint="eastAsia" w:ascii="方正小标宋_GBK" w:hAnsi="方正小标宋_GBK" w:eastAsia="方正小标宋_GBK" w:cs="方正小标宋_GBK"/>
          <w:b w:val="0"/>
          <w:bCs/>
          <w:sz w:val="52"/>
          <w:szCs w:val="52"/>
        </w:rPr>
        <w:t>年部门预算及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“三公”经费预算</w:t>
      </w:r>
      <w:r>
        <w:rPr>
          <w:rFonts w:hint="eastAsia" w:ascii="方正小标宋_GBK" w:hAnsi="方正小标宋_GBK" w:eastAsia="方正小标宋_GBK" w:cs="方正小标宋_GBK"/>
          <w:b w:val="0"/>
          <w:bCs/>
          <w:sz w:val="52"/>
          <w:szCs w:val="52"/>
          <w:lang w:eastAsia="zh-CN"/>
        </w:rPr>
        <w:t>公开情况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新宋体" w:hAnsi="新宋体" w:eastAsia="新宋体" w:cs="新宋体"/>
          <w:b/>
          <w:bCs w:val="0"/>
          <w:sz w:val="32"/>
          <w:szCs w:val="52"/>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hint="eastAsia" w:ascii="新宋体" w:hAnsi="新宋体" w:eastAsia="新宋体" w:cs="新宋体"/>
          <w:b/>
          <w:bCs w:val="0"/>
          <w:sz w:val="32"/>
          <w:szCs w:val="52"/>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b/>
          <w:sz w:val="2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目 录</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一、部门概况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（一）部门主要职</w:t>
      </w:r>
      <w:r>
        <w:rPr>
          <w:rFonts w:hint="eastAsia" w:ascii="仿宋_GB2312" w:hAnsi="仿宋_GB2312" w:eastAsia="仿宋_GB2312" w:cs="仿宋_GB2312"/>
          <w:b w:val="0"/>
          <w:bCs/>
          <w:sz w:val="32"/>
          <w:szCs w:val="32"/>
          <w:lang w:eastAsia="zh-CN"/>
        </w:rPr>
        <w:t>能</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二、部门主要工作任务和政策依据</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、部门预算安排情况说明</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（一）部门收支总体情况（详见表1）</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（二）部门收入总体情况（详见表</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（三）部门支出总体情况（详见表</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（四）财政拨款收支总体情况（详见表</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（五）一般公共预算支出情况（详见表</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（六）一般公共预算基本支出情况（详见表</w:t>
      </w:r>
      <w:r>
        <w:rPr>
          <w:rFonts w:hint="eastAsia" w:ascii="仿宋_GB2312" w:hAnsi="仿宋_GB2312" w:eastAsia="仿宋_GB2312" w:cs="仿宋_GB2312"/>
          <w:b w:val="0"/>
          <w:bCs/>
          <w:sz w:val="32"/>
          <w:szCs w:val="32"/>
          <w:lang w:val="en-US" w:eastAsia="zh-CN"/>
        </w:rPr>
        <w:t>6、7</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（七）一般公共预算“三公”经费支出</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（详见表</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八</w:t>
      </w:r>
      <w:r>
        <w:rPr>
          <w:rFonts w:hint="eastAsia" w:ascii="仿宋_GB2312" w:hAnsi="仿宋_GB2312" w:eastAsia="仿宋_GB2312" w:cs="仿宋_GB2312"/>
          <w:b w:val="0"/>
          <w:bCs/>
          <w:sz w:val="32"/>
          <w:szCs w:val="32"/>
        </w:rPr>
        <w:t>）政府性基金预算支出</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（详见表</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（九）</w:t>
      </w:r>
      <w:r>
        <w:rPr>
          <w:rFonts w:hint="eastAsia" w:ascii="仿宋_GB2312" w:hAnsi="仿宋_GB2312" w:eastAsia="仿宋_GB2312" w:cs="仿宋_GB2312"/>
          <w:b w:val="0"/>
          <w:bCs/>
          <w:sz w:val="32"/>
          <w:szCs w:val="32"/>
        </w:rPr>
        <w:t>部门整体支出绩效目标情况（详见表</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十</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重点</w:t>
      </w:r>
      <w:r>
        <w:rPr>
          <w:rFonts w:hint="eastAsia" w:ascii="仿宋_GB2312" w:hAnsi="仿宋_GB2312" w:eastAsia="仿宋_GB2312" w:cs="仿宋_GB2312"/>
          <w:b w:val="0"/>
          <w:bCs/>
          <w:sz w:val="32"/>
          <w:szCs w:val="32"/>
        </w:rPr>
        <w:t>项目支出绩效目标</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（详见表</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、其他重要事项说明</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（一）机关运行经费</w:t>
      </w:r>
      <w:r>
        <w:rPr>
          <w:rFonts w:hint="eastAsia" w:ascii="仿宋_GB2312" w:hAnsi="仿宋_GB2312" w:eastAsia="仿宋_GB2312" w:cs="仿宋_GB2312"/>
          <w:b w:val="0"/>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）国有资本经营预算</w:t>
      </w:r>
      <w:r>
        <w:rPr>
          <w:rFonts w:hint="eastAsia" w:ascii="仿宋_GB2312" w:hAnsi="仿宋_GB2312" w:eastAsia="仿宋_GB2312" w:cs="仿宋_GB2312"/>
          <w:b w:val="0"/>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）部分专有名词解释</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2020 年部门预算及“三公”经费预算报表</w:t>
      </w:r>
      <w:r>
        <w:rPr>
          <w:rFonts w:hint="eastAsia" w:ascii="黑体" w:hAnsi="黑体" w:eastAsia="黑体" w:cs="黑体"/>
          <w:b w:val="0"/>
          <w:bCs/>
          <w:sz w:val="32"/>
          <w:szCs w:val="32"/>
          <w:lang w:eastAsia="zh-CN"/>
        </w:rPr>
        <w:t>（详见附件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eastAsia="仿宋"/>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color w:val="0D0D0D" w:themeColor="text1" w:themeTint="F2"/>
          <w:sz w:val="32"/>
          <w:szCs w:val="32"/>
          <w14:textFill>
            <w14:solidFill>
              <w14:schemeClr w14:val="tx1">
                <w14:lumMod w14:val="95000"/>
                <w14:lumOff w14:val="5000"/>
              </w14:schemeClr>
            </w14:solidFill>
          </w14:textFill>
        </w:rPr>
        <w:t>）部门主要职能：</w:t>
      </w: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贯彻执行国家、省、市医疗保障法律法规及政策、规划和标准，组织执行医疗保险、生育保险、医疗救助等有关的地方性法规、规章、政策、规划和标准，制定部门管理规范并组织实施。</w:t>
      </w:r>
      <w:bookmarkStart w:id="0" w:name="a_二_贯彻落实省和贵阳市医疗保障基金监督管理办法_建立健全医疗保障基_金安全防"/>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贯彻执行省、市医疗保障基金监督管理办法，建立健全医疗保障基金安全防控机制，推进医疗保障基金支付方式改革；承担医疗保障基金监督管理工作；指导监督全区医疗保障经办机构做好医疗保障基金管理相关工作。</w:t>
      </w:r>
      <w:bookmarkEnd w:id="0"/>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贯彻落实省、市医疗保障筹资和待遇政策，落实全市城乡医疗保障待遇标准。贯彻落实贵阳市长期护理保障制度改革相关工作。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贯彻执行省、市城乡统一的药品、医用耗材、医疗服务项目、医疗服务设施等医保目录和支付标准，建立动态监管、反馈机制；贯彻落实省、市药品、医用耗材价格和医疗服务项目、医疗服务设施收费等政策；贯彻落实省、市药品、医用耗材的招标采购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组织实施定点医药机构协议和支付管理办法，建立健全医疗保障信用评价体系和信息披露制度，监督管理纳入医保范围内的医疗服务行为和医疗费用，依法查处医疗保障领域违法违规行为。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组织实施医疗保障经办管理、公共服务体系和信息化建设；贯彻执行省、市异地就医管理和费用结算政策;落实医疗保障关系转移接续制度；开展医疗保障领域对外交流合作。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val="en-US" w:eastAsia="zh-CN"/>
          <w14:textFill>
            <w14:solidFill>
              <w14:schemeClr w14:val="tx1">
                <w14:lumMod w14:val="95000"/>
                <w14:lumOff w14:val="5000"/>
              </w14:schemeClr>
            </w14:solidFill>
          </w14:textFill>
        </w:rPr>
        <w:t>7、</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职责调整。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将区人力资源和社会保障局及下属单位的城镇职工和城镇居民基本医疗保险、生育保险职责，原区卫生和计划生育局的新型农村合作医疗职责，区发展和改革局的药品和医疗服务价格管理职责，区民政局的医疗救助职责等划入区医疗保障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val="0"/>
          <w:bCs/>
          <w:color w:val="0D0D0D" w:themeColor="text1" w:themeTint="F2"/>
          <w:sz w:val="32"/>
          <w:szCs w:val="32"/>
          <w14:textFill>
            <w14:solidFill>
              <w14:schemeClr w14:val="tx1">
                <w14:lumMod w14:val="95000"/>
                <w14:lumOff w14:val="5000"/>
              </w14:schemeClr>
            </w14:solidFill>
          </w14:textFill>
        </w:rPr>
        <w:t>部门预算单位构成：</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花溪区医疗保障局是机构改革中新成立的区政府工作部门，承担了区人力资源和社会保障局及下属单位的城镇职工和城镇居民基本医疗保险、生育保险职责，原区卫生和计划生育局的新型农村合作医疗职责，区发展和改革局的药品和医疗服务价格管理职责，区民政局的医疗救助职责等工作。区医保局下设内设机构：办公室（医药服务管理科、待遇保障科）和基金财务监督管理科（药品价格和医疗服务管理科）。行政即局机关单位1个，下属事业单位因为机改未完成尚未明确单位性质及名称，但是根据职能划分部分工作及经费已于2019年7月31日由区卫生健康局及民政局划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D0D0D" w:themeColor="text1" w:themeTint="F2"/>
          <w:sz w:val="32"/>
          <w:szCs w:val="32"/>
          <w14:textFill>
            <w14:solidFill>
              <w14:schemeClr w14:val="tx1">
                <w14:lumMod w14:val="95000"/>
                <w14:lumOff w14:val="5000"/>
              </w14:schemeClr>
            </w14:solidFill>
          </w14:textFill>
        </w:rPr>
      </w:pPr>
      <w:r>
        <w:rPr>
          <w:rFonts w:hint="eastAsia" w:ascii="楷体_GB2312" w:hAnsi="楷体_GB2312" w:eastAsia="楷体_GB2312" w:cs="楷体_GB2312"/>
          <w:b w:val="0"/>
          <w:bCs/>
          <w:color w:val="0D0D0D" w:themeColor="text1" w:themeTint="F2"/>
          <w:sz w:val="32"/>
          <w:szCs w:val="32"/>
          <w14:textFill>
            <w14:solidFill>
              <w14:schemeClr w14:val="tx1">
                <w14:lumMod w14:val="95000"/>
                <w14:lumOff w14:val="5000"/>
              </w14:schemeClr>
            </w14:solidFill>
          </w14:textFill>
        </w:rPr>
        <w:t>部门人员构成：</w:t>
      </w:r>
      <w:r>
        <w:rPr>
          <w:rFonts w:hint="eastAsia" w:ascii="仿宋_GB2312" w:hAnsi="仿宋_GB2312" w:eastAsia="仿宋_GB2312" w:cs="仿宋_GB2312"/>
          <w:b w:val="0"/>
          <w:bCs/>
          <w:color w:val="0D0D0D" w:themeColor="text1" w:themeTint="F2"/>
          <w:sz w:val="32"/>
          <w:szCs w:val="32"/>
          <w:lang w:eastAsia="zh-CN"/>
          <w14:textFill>
            <w14:solidFill>
              <w14:schemeClr w14:val="tx1">
                <w14:lumMod w14:val="95000"/>
                <w14:lumOff w14:val="5000"/>
              </w14:schemeClr>
            </w14:solidFill>
          </w14:textFill>
        </w:rPr>
        <w:t>本单位目前只有行政编制 5人，目前编制内实有人数3人，其中在职人员3人。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二、部门主要工作任务和政策依据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强化基金监管，确保基金安全。一是持续开展打击欺诈骗保专项工作。以打击欺诈骗保专项治理为工作重点，定期对辖区内定点医药机构进行检查，实现定点医药机构现场检查全覆盖。认真核实举报投诉线索，加大案件查处力度，严肃查处欺诈骗保行为。二是开展对医保定点医疗机构和定点药店的监督检查，监督管理纳入医保范围内的医疗服务行为和医疗费用，依法查处医疗保障领域违法违规行为。三是开展医疗保障基金监督管理工作，定期开展基金运行分析和研判，确保基金安全稳定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加强医药价格和医疗服务管理。落实医保药品目录政策，提高医药服务水平，加强特殊药品使用管理，保障参保人员医疗保险特殊药品的用药待遇。根据国家医保药品目录调整情况及时更新全区医保基金支付范围。深化医药服务价格改革，落实价格与药品及高值耗材管理、医保支付的政策衔接工作机制。落实好深化医疗服务价格改革，继续推进医疗服务价格动态调整，落实上级医保部门完善“互联网+医疗”的服务价格政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开展医疗保障扶贫工作。严格落实国家、省、市的要求，实行医保扶贫保障对象动态参保管理，精准核准建档立卡贫困人口参保情况，做到应保尽保；全面落实基本医保、大病保险、医疗救助三重医疗保障政策，减轻医保扶贫对象医疗费用负担。落实建档立卡贫困人口、特困人员等人员个人缴费参保资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开展城镇职工医保、生育保险、城乡居民基本医疗保险一档、二档参保登记、信息变更、医保关系转移接续；个人医疗账户计息清退、返还；特殊病种（大病门诊）申办及年审；IC卡相关业务、异地备案、转诊转院等窗口服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（五）按照国家、省、市安排部署及要求，开展医疗保障相关改革工作。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黑体" w:hAnsi="黑体" w:eastAsia="黑体" w:cs="黑体"/>
          <w:b w:val="0"/>
          <w:bCs/>
          <w:color w:val="auto"/>
          <w:sz w:val="32"/>
          <w:szCs w:val="32"/>
        </w:rPr>
        <w:t>部门预算安排情况说明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（一）部门收支总体情况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FF0000"/>
          <w:sz w:val="32"/>
          <w:szCs w:val="32"/>
        </w:rPr>
      </w:pPr>
      <w:r>
        <w:rPr>
          <w:rFonts w:hint="eastAsia" w:ascii="仿宋_GB2312" w:hAnsi="华文仿宋" w:eastAsia="仿宋_GB2312" w:cs="华文仿宋"/>
          <w:sz w:val="32"/>
          <w:szCs w:val="32"/>
          <w:lang w:val="en-US" w:eastAsia="zh-CN"/>
        </w:rPr>
        <w:t>本预算调整包括本单位2020年部门预算总收入1701.76万元， 其中：一般公共预算财政拨款收入1174.69万元，上年结转527.07万元。部门预算总支出1701.76万元, 其中：基本支出61.91万元，项目支出1639.85万元。2020年总体收支较上年增加1262.76万元</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（二）部门收入总体情况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2</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华文仿宋" w:eastAsia="仿宋_GB2312" w:cs="华文仿宋"/>
          <w:sz w:val="32"/>
          <w:szCs w:val="32"/>
          <w:lang w:val="en-US" w:eastAsia="zh-CN"/>
        </w:rPr>
        <w:t>2020年部门预算总收入1701.76万元，其中：一般公共预算财政拨款收入1174.69万元，上年结转527.07万元</w:t>
      </w:r>
      <w:r>
        <w:rPr>
          <w:rFonts w:hint="eastAsia" w:ascii="仿宋_GB2312" w:hAnsi="仿宋_GB2312" w:eastAsia="仿宋_GB2312" w:cs="仿宋_GB2312"/>
          <w:b w:val="0"/>
          <w:bCs/>
          <w:sz w:val="32"/>
          <w:szCs w:val="32"/>
        </w:rPr>
        <w:t>。</w:t>
      </w:r>
      <w:r>
        <w:rPr>
          <w:rFonts w:hint="eastAsia" w:ascii="仿宋_GB2312" w:hAnsi="华文仿宋" w:eastAsia="仿宋_GB2312" w:cs="华文仿宋"/>
          <w:sz w:val="32"/>
          <w:szCs w:val="32"/>
          <w:lang w:val="en-US" w:eastAsia="zh-CN"/>
        </w:rPr>
        <w:t>2020年收入较上年增加1262.76万元</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（三）部门支出总体情况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3</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b w:val="0"/>
          <w:bCs/>
          <w:sz w:val="32"/>
          <w:szCs w:val="32"/>
          <w:lang w:val="en-US"/>
        </w:rPr>
      </w:pPr>
      <w:r>
        <w:rPr>
          <w:rFonts w:hint="eastAsia" w:ascii="仿宋_GB2312" w:hAnsi="华文仿宋" w:eastAsia="仿宋_GB2312" w:cs="华文仿宋"/>
          <w:sz w:val="32"/>
          <w:szCs w:val="32"/>
          <w:lang w:val="en-US" w:eastAsia="zh-CN"/>
        </w:rPr>
        <w:t>2020年部门预算总支出1701.76万元,按支出功能分类具体为：基本支出61.91万元（人员经费53.11万元,公用经费8.8万元，其中事业公用经费5万元，行政公用经费3.8万元），项目支出1639.85万元。2020年总支出较上年增加1262.76万元，其中基本支出增加33.38万元，项目支出增加1229.38万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（四）财政拨款收支总体情况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4</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华文仿宋" w:eastAsia="仿宋_GB2312" w:cs="华文仿宋"/>
          <w:sz w:val="32"/>
          <w:szCs w:val="32"/>
          <w:lang w:val="en-US" w:eastAsia="zh-CN"/>
        </w:rPr>
        <w:t>2020年财政拨款收支总预算1701.76万元，其中：一般公共预算财政拨款收入1174.69万元，上年结转527.07万元。社会保障和就业支出6.22万元，卫生健康支出1657.54万元，其他支出38万元。2020年财政拨款收支较上年增加1262.76万元</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（五）一般公共预算支出情况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华文仿宋" w:eastAsia="仿宋_GB2312" w:cs="华文仿宋"/>
          <w:sz w:val="32"/>
          <w:szCs w:val="32"/>
          <w:lang w:val="en-US" w:eastAsia="zh-CN"/>
        </w:rPr>
      </w:pPr>
      <w:r>
        <w:rPr>
          <w:rFonts w:hint="eastAsia" w:ascii="仿宋_GB2312" w:hAnsi="华文仿宋" w:eastAsia="仿宋_GB2312" w:cs="华文仿宋"/>
          <w:sz w:val="32"/>
          <w:szCs w:val="32"/>
          <w:lang w:val="en-US" w:eastAsia="zh-CN"/>
        </w:rPr>
        <w:t>2020年部门预算一般公共预算拨款支出总额1663.76万元，其中：基本支出61.91万元，项目支出1601.85万元。基本支出较上年增加33.38万元，项目支出较上年增加1191.38万元。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（六）一般公共预算基本支出情况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6、7</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华文仿宋" w:eastAsia="仿宋_GB2312" w:cs="华文仿宋"/>
          <w:sz w:val="32"/>
          <w:szCs w:val="32"/>
          <w:lang w:val="en-US" w:eastAsia="zh-CN"/>
        </w:rPr>
        <w:t>2020年部门预算一般公共预14.15万元</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（七）一般公共预算“三公”经费支出情况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8</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华文仿宋" w:eastAsia="仿宋_GB2312" w:cs="华文仿宋"/>
          <w:sz w:val="32"/>
          <w:szCs w:val="32"/>
          <w:lang w:val="en-US" w:eastAsia="zh-CN"/>
        </w:rPr>
        <w:t>2020年部门预算一般公共预算“三公”经费支出预算合计0.85万元，</w:t>
      </w:r>
      <w:r>
        <w:rPr>
          <w:rFonts w:hint="eastAsia" w:ascii="仿宋_GB2312" w:hAnsi="仿宋_GB2312" w:eastAsia="仿宋_GB2312" w:cs="仿宋_GB2312"/>
          <w:b w:val="0"/>
          <w:bCs/>
          <w:sz w:val="32"/>
          <w:szCs w:val="32"/>
        </w:rPr>
        <w:t>其中，公务用车运行维护费</w:t>
      </w:r>
      <w:r>
        <w:rPr>
          <w:rFonts w:hint="eastAsia" w:ascii="仿宋_GB2312" w:hAnsi="仿宋_GB2312" w:eastAsia="仿宋_GB2312" w:cs="仿宋_GB2312"/>
          <w:b w:val="0"/>
          <w:bCs/>
          <w:sz w:val="32"/>
          <w:szCs w:val="32"/>
          <w:lang w:val="en-US" w:eastAsia="zh-CN"/>
        </w:rPr>
        <w:t>0.85万元，</w:t>
      </w:r>
      <w:r>
        <w:rPr>
          <w:rFonts w:hint="eastAsia" w:ascii="仿宋_GB2312" w:hAnsi="仿宋_GB2312" w:eastAsia="仿宋_GB2312" w:cs="仿宋_GB2312"/>
          <w:b w:val="0"/>
          <w:bCs/>
          <w:sz w:val="32"/>
          <w:szCs w:val="32"/>
        </w:rPr>
        <w:t>公务接待费</w:t>
      </w:r>
      <w:r>
        <w:rPr>
          <w:rFonts w:hint="eastAsia" w:ascii="仿宋_GB2312" w:hAnsi="仿宋_GB2312" w:eastAsia="仿宋_GB2312" w:cs="仿宋_GB2312"/>
          <w:b w:val="0"/>
          <w:bCs/>
          <w:sz w:val="32"/>
          <w:szCs w:val="32"/>
          <w:lang w:val="en-US" w:eastAsia="zh-CN"/>
        </w:rPr>
        <w:t>0元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一般公共预算“三公”经费支出</w:t>
      </w:r>
      <w:r>
        <w:rPr>
          <w:rFonts w:hint="eastAsia" w:ascii="仿宋_GB2312" w:hAnsi="华文仿宋" w:eastAsia="仿宋_GB2312" w:cs="华文仿宋"/>
          <w:sz w:val="32"/>
          <w:szCs w:val="32"/>
          <w:lang w:val="en-US" w:eastAsia="zh-CN"/>
        </w:rPr>
        <w:t>与上年度预算相比无变化</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（八）政府性基金预算支出情况</w:t>
      </w:r>
      <w:r>
        <w:rPr>
          <w:rFonts w:hint="eastAsia" w:ascii="楷体_GB2312" w:hAnsi="楷体_GB2312" w:eastAsia="楷体_GB2312" w:cs="楷体_GB2312"/>
          <w:b w:val="0"/>
          <w:bCs/>
          <w:sz w:val="32"/>
          <w:szCs w:val="32"/>
          <w:lang w:eastAsia="zh-CN"/>
        </w:rPr>
        <w:t>（详见表</w:t>
      </w:r>
      <w:r>
        <w:rPr>
          <w:rFonts w:hint="eastAsia" w:ascii="楷体_GB2312" w:hAnsi="楷体_GB2312" w:eastAsia="楷体_GB2312" w:cs="楷体_GB2312"/>
          <w:b w:val="0"/>
          <w:bCs/>
          <w:sz w:val="32"/>
          <w:szCs w:val="32"/>
          <w:lang w:val="en-US" w:eastAsia="zh-CN"/>
        </w:rPr>
        <w:t>9</w:t>
      </w:r>
      <w:r>
        <w:rPr>
          <w:rFonts w:hint="eastAsia" w:ascii="楷体_GB2312" w:hAnsi="楷体_GB2312" w:eastAsia="楷体_GB2312" w:cs="楷体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2020年</w:t>
      </w:r>
      <w:r>
        <w:rPr>
          <w:rFonts w:hint="eastAsia" w:ascii="仿宋_GB2312" w:hAnsi="仿宋_GB2312" w:eastAsia="仿宋_GB2312" w:cs="仿宋_GB2312"/>
          <w:b w:val="0"/>
          <w:bCs/>
          <w:color w:val="000000"/>
          <w:sz w:val="32"/>
          <w:szCs w:val="32"/>
        </w:rPr>
        <w:t>政府性基金支出</w:t>
      </w:r>
      <w:r>
        <w:rPr>
          <w:rFonts w:hint="eastAsia" w:ascii="仿宋_GB2312" w:hAnsi="仿宋_GB2312" w:eastAsia="仿宋_GB2312" w:cs="仿宋_GB2312"/>
          <w:b w:val="0"/>
          <w:bCs/>
          <w:color w:val="000000"/>
          <w:sz w:val="32"/>
          <w:szCs w:val="32"/>
          <w:lang w:val="en-US" w:eastAsia="zh-CN"/>
        </w:rPr>
        <w:t>38万元</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（九）</w:t>
      </w:r>
      <w:r>
        <w:rPr>
          <w:rFonts w:hint="eastAsia" w:ascii="楷体_GB2312" w:hAnsi="楷体_GB2312" w:eastAsia="楷体_GB2312" w:cs="楷体_GB2312"/>
          <w:b w:val="0"/>
          <w:bCs/>
          <w:sz w:val="32"/>
          <w:szCs w:val="32"/>
        </w:rPr>
        <w:t>部门整体支出绩效目标情况（详见表</w:t>
      </w:r>
      <w:r>
        <w:rPr>
          <w:rFonts w:hint="eastAsia" w:ascii="楷体_GB2312" w:hAnsi="楷体_GB2312" w:eastAsia="楷体_GB2312" w:cs="楷体_GB2312"/>
          <w:b w:val="0"/>
          <w:bCs/>
          <w:sz w:val="32"/>
          <w:szCs w:val="32"/>
          <w:lang w:val="en-US" w:eastAsia="zh-CN"/>
        </w:rPr>
        <w:t>10</w:t>
      </w:r>
      <w:r>
        <w:rPr>
          <w:rFonts w:hint="eastAsia" w:ascii="楷体_GB2312" w:hAnsi="楷体_GB2312" w:eastAsia="楷体_GB2312" w:cs="楷体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sz w:val="32"/>
          <w:szCs w:val="32"/>
          <w:lang w:val="en-US" w:eastAsia="zh-CN"/>
        </w:rPr>
        <w:t>2020</w:t>
      </w:r>
      <w:r>
        <w:rPr>
          <w:rFonts w:hint="eastAsia" w:ascii="仿宋_GB2312" w:hAnsi="仿宋_GB2312" w:eastAsia="仿宋_GB2312" w:cs="仿宋_GB2312"/>
          <w:b w:val="0"/>
          <w:bCs/>
          <w:sz w:val="32"/>
          <w:szCs w:val="32"/>
        </w:rPr>
        <w:t>部门整体支出绩效目标</w:t>
      </w:r>
      <w:r>
        <w:rPr>
          <w:rFonts w:hint="eastAsia" w:ascii="仿宋_GB2312" w:hAnsi="仿宋_GB2312" w:eastAsia="仿宋_GB2312" w:cs="仿宋_GB2312"/>
          <w:b w:val="0"/>
          <w:bCs/>
          <w:sz w:val="32"/>
          <w:szCs w:val="32"/>
          <w:lang w:val="en-US" w:eastAsia="zh-CN"/>
        </w:rPr>
        <w:t>1174.69万元，其中基本支出54.41万元，项目支出1120.28万元</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十</w:t>
      </w:r>
      <w:r>
        <w:rPr>
          <w:rFonts w:hint="eastAsia" w:ascii="楷体_GB2312" w:hAnsi="楷体_GB2312" w:eastAsia="楷体_GB2312" w:cs="楷体_GB2312"/>
          <w:b w:val="0"/>
          <w:bCs/>
          <w:sz w:val="32"/>
          <w:szCs w:val="32"/>
        </w:rPr>
        <w:t>）重点项目支出绩效目标情况（详见表</w:t>
      </w:r>
      <w:r>
        <w:rPr>
          <w:rFonts w:hint="eastAsia" w:ascii="楷体_GB2312" w:hAnsi="楷体_GB2312" w:eastAsia="楷体_GB2312" w:cs="楷体_GB2312"/>
          <w:b w:val="0"/>
          <w:bCs/>
          <w:sz w:val="32"/>
          <w:szCs w:val="32"/>
          <w:lang w:val="en-US" w:eastAsia="zh-CN"/>
        </w:rPr>
        <w:t>11</w:t>
      </w:r>
      <w:r>
        <w:rPr>
          <w:rFonts w:hint="eastAsia" w:ascii="楷体_GB2312" w:hAnsi="楷体_GB2312" w:eastAsia="楷体_GB2312" w:cs="楷体_GB2312"/>
          <w:b w:val="0"/>
          <w:bCs/>
          <w:sz w:val="32"/>
          <w:szCs w:val="32"/>
        </w:rPr>
        <w:t>）</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left"/>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本单位</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及二级单位实行绩效目标管理的项目</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个，涉及财政拨款预算</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951.64</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万元。</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部门重点项目预算绩效目标情况表</w:t>
      </w:r>
    </w:p>
    <w:tbl>
      <w:tblPr>
        <w:tblStyle w:val="7"/>
        <w:tblW w:w="8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444"/>
        <w:gridCol w:w="163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序号</w:t>
            </w:r>
          </w:p>
        </w:tc>
        <w:tc>
          <w:tcPr>
            <w:tcW w:w="2444"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项目名称</w:t>
            </w:r>
          </w:p>
        </w:tc>
        <w:tc>
          <w:tcPr>
            <w:tcW w:w="1632"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2019年预算数（万元）</w:t>
            </w:r>
          </w:p>
        </w:tc>
        <w:tc>
          <w:tcPr>
            <w:tcW w:w="2040"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p>
        </w:tc>
        <w:tc>
          <w:tcPr>
            <w:tcW w:w="2444"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城乡医疗救助</w:t>
            </w:r>
          </w:p>
        </w:tc>
        <w:tc>
          <w:tcPr>
            <w:tcW w:w="1632"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55.63</w:t>
            </w:r>
          </w:p>
        </w:tc>
        <w:tc>
          <w:tcPr>
            <w:tcW w:w="2040"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p>
        </w:tc>
        <w:tc>
          <w:tcPr>
            <w:tcW w:w="2444"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新农合专项经费</w:t>
            </w:r>
          </w:p>
        </w:tc>
        <w:tc>
          <w:tcPr>
            <w:tcW w:w="1632"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559.44</w:t>
            </w:r>
          </w:p>
        </w:tc>
        <w:tc>
          <w:tcPr>
            <w:tcW w:w="2040"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p>
        </w:tc>
        <w:tc>
          <w:tcPr>
            <w:tcW w:w="2444"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城镇居民医疗补助</w:t>
            </w:r>
          </w:p>
        </w:tc>
        <w:tc>
          <w:tcPr>
            <w:tcW w:w="1632"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271.57</w:t>
            </w:r>
          </w:p>
        </w:tc>
        <w:tc>
          <w:tcPr>
            <w:tcW w:w="2040"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038"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p>
        </w:tc>
        <w:tc>
          <w:tcPr>
            <w:tcW w:w="2444"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临聘人员工资及运转（经开区）</w:t>
            </w:r>
          </w:p>
        </w:tc>
        <w:tc>
          <w:tcPr>
            <w:tcW w:w="1632"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65</w:t>
            </w:r>
          </w:p>
        </w:tc>
        <w:tc>
          <w:tcPr>
            <w:tcW w:w="2040" w:type="dxa"/>
            <w:vAlign w:val="center"/>
          </w:tcPr>
          <w:p>
            <w:pPr>
              <w:pStyle w:val="4"/>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、其他重要事项说明（</w:t>
      </w:r>
      <w:r>
        <w:rPr>
          <w:rFonts w:hint="eastAsia" w:ascii="黑体" w:hAnsi="黑体" w:eastAsia="黑体" w:cs="黑体"/>
          <w:b w:val="0"/>
          <w:bCs/>
          <w:sz w:val="32"/>
          <w:szCs w:val="32"/>
          <w:lang w:val="en-US" w:eastAsia="zh-CN"/>
        </w:rPr>
        <w:t>*</w:t>
      </w:r>
      <w:r>
        <w:rPr>
          <w:rFonts w:hint="eastAsia" w:ascii="黑体" w:hAnsi="黑体" w:eastAsia="黑体" w:cs="黑体"/>
          <w:b w:val="0"/>
          <w:bCs/>
          <w:sz w:val="32"/>
          <w:szCs w:val="32"/>
          <w:lang w:eastAsia="zh-CN"/>
        </w:rPr>
        <w:t>每一项</w:t>
      </w:r>
      <w:r>
        <w:rPr>
          <w:rFonts w:hint="eastAsia" w:ascii="黑体" w:hAnsi="黑体" w:eastAsia="黑体" w:cs="黑体"/>
          <w:b w:val="0"/>
          <w:bCs/>
          <w:sz w:val="32"/>
          <w:szCs w:val="32"/>
        </w:rPr>
        <w:t>必须说明）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rPr>
        <w:tab/>
      </w:r>
      <w:r>
        <w:rPr>
          <w:rFonts w:hint="eastAsia" w:ascii="楷体_GB2312" w:hAnsi="楷体_GB2312" w:eastAsia="楷体_GB2312" w:cs="楷体_GB2312"/>
          <w:b w:val="0"/>
          <w:bCs/>
          <w:sz w:val="32"/>
          <w:szCs w:val="32"/>
        </w:rPr>
        <w:t>机关运行经费情况：</w:t>
      </w:r>
      <w:r>
        <w:rPr>
          <w:rFonts w:hint="eastAsia" w:ascii="仿宋_GB2312" w:hAnsi="仿宋_GB2312" w:eastAsia="仿宋_GB2312" w:cs="仿宋_GB2312"/>
          <w:b w:val="0"/>
          <w:bCs/>
          <w:sz w:val="32"/>
          <w:szCs w:val="32"/>
          <w:lang w:eastAsia="zh-CN"/>
        </w:rPr>
        <w:t>2020</w:t>
      </w:r>
      <w:r>
        <w:rPr>
          <w:rFonts w:hint="eastAsia" w:ascii="仿宋_GB2312" w:hAnsi="仿宋_GB2312" w:eastAsia="仿宋_GB2312" w:cs="仿宋_GB2312"/>
          <w:b w:val="0"/>
          <w:bCs/>
          <w:sz w:val="32"/>
          <w:szCs w:val="32"/>
        </w:rPr>
        <w:t>年我机关本级及二级单位的机关运行经费财政拨款预算</w:t>
      </w:r>
      <w:r>
        <w:rPr>
          <w:rFonts w:hint="eastAsia" w:ascii="仿宋_GB2312" w:hAnsi="仿宋_GB2312" w:eastAsia="仿宋_GB2312" w:cs="仿宋_GB2312"/>
          <w:b w:val="0"/>
          <w:bCs/>
          <w:sz w:val="32"/>
          <w:szCs w:val="32"/>
          <w:lang w:val="en-US" w:eastAsia="zh-CN"/>
        </w:rPr>
        <w:t>14.15</w:t>
      </w:r>
      <w:r>
        <w:rPr>
          <w:rFonts w:hint="eastAsia" w:ascii="仿宋_GB2312" w:hAnsi="仿宋_GB2312" w:eastAsia="仿宋_GB2312" w:cs="仿宋_GB2312"/>
          <w:b w:val="0"/>
          <w:bCs/>
          <w:sz w:val="32"/>
          <w:szCs w:val="32"/>
        </w:rPr>
        <w:t>万元，比 201</w:t>
      </w:r>
      <w:r>
        <w:rPr>
          <w:rFonts w:hint="eastAsia" w:ascii="仿宋_GB2312" w:hAnsi="仿宋_GB2312" w:eastAsia="仿宋_GB2312" w:cs="仿宋_GB2312"/>
          <w:b w:val="0"/>
          <w:bCs/>
          <w:sz w:val="32"/>
          <w:szCs w:val="32"/>
          <w:lang w:val="en-US" w:eastAsia="zh-CN"/>
        </w:rPr>
        <w:t>9</w:t>
      </w:r>
      <w:r>
        <w:rPr>
          <w:rFonts w:hint="eastAsia" w:ascii="仿宋_GB2312" w:hAnsi="仿宋_GB2312" w:eastAsia="仿宋_GB2312" w:cs="仿宋_GB2312"/>
          <w:b w:val="0"/>
          <w:bCs/>
          <w:sz w:val="32"/>
          <w:szCs w:val="32"/>
        </w:rPr>
        <w:t>年预算</w:t>
      </w:r>
      <w:r>
        <w:rPr>
          <w:rFonts w:hint="eastAsia" w:ascii="仿宋_GB2312" w:hAnsi="仿宋_GB2312" w:eastAsia="仿宋_GB2312" w:cs="仿宋_GB2312"/>
          <w:b w:val="0"/>
          <w:bCs/>
          <w:sz w:val="32"/>
          <w:szCs w:val="32"/>
          <w:lang w:val="en-US" w:eastAsia="zh-CN"/>
        </w:rPr>
        <w:t>增加13.15</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val="en-US" w:eastAsia="zh-CN"/>
        </w:rPr>
        <w:t>上升1315</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sz w:val="32"/>
          <w:szCs w:val="32"/>
        </w:rPr>
        <w:t>（二）</w:t>
      </w:r>
      <w:r>
        <w:rPr>
          <w:rFonts w:hint="eastAsia" w:ascii="楷体_GB2312" w:hAnsi="楷体_GB2312" w:eastAsia="楷体_GB2312" w:cs="楷体_GB2312"/>
          <w:b w:val="0"/>
          <w:bCs/>
          <w:sz w:val="32"/>
          <w:szCs w:val="32"/>
        </w:rPr>
        <w:tab/>
      </w:r>
      <w:r>
        <w:rPr>
          <w:rFonts w:hint="eastAsia" w:ascii="楷体_GB2312" w:hAnsi="楷体_GB2312" w:eastAsia="楷体_GB2312" w:cs="楷体_GB2312"/>
          <w:b w:val="0"/>
          <w:bCs/>
          <w:sz w:val="32"/>
          <w:szCs w:val="32"/>
        </w:rPr>
        <w:t>政府采购情况：</w:t>
      </w:r>
      <w:r>
        <w:rPr>
          <w:rFonts w:hint="eastAsia" w:ascii="仿宋_GB2312" w:hAnsi="仿宋_GB2312" w:eastAsia="仿宋_GB2312" w:cs="仿宋_GB2312"/>
          <w:b w:val="0"/>
          <w:bCs/>
          <w:sz w:val="32"/>
          <w:szCs w:val="32"/>
          <w:lang w:eastAsia="zh-CN"/>
        </w:rPr>
        <w:t>2020</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本</w:t>
      </w:r>
      <w:r>
        <w:rPr>
          <w:rFonts w:hint="eastAsia" w:ascii="仿宋_GB2312" w:hAnsi="仿宋_GB2312" w:eastAsia="仿宋_GB2312" w:cs="仿宋_GB2312"/>
          <w:b w:val="0"/>
          <w:bCs/>
          <w:sz w:val="32"/>
          <w:szCs w:val="32"/>
        </w:rPr>
        <w:t xml:space="preserve">单位政府采购预算总额  </w:t>
      </w:r>
      <w:r>
        <w:rPr>
          <w:rFonts w:hint="eastAsia" w:ascii="仿宋_GB2312" w:hAnsi="仿宋_GB2312" w:eastAsia="仿宋_GB2312" w:cs="仿宋_GB2312"/>
          <w:b w:val="0"/>
          <w:bCs/>
          <w:sz w:val="32"/>
          <w:szCs w:val="32"/>
          <w:lang w:val="en-US" w:eastAsia="zh-CN"/>
        </w:rPr>
        <w:t>9.898</w:t>
      </w:r>
      <w:r>
        <w:rPr>
          <w:rFonts w:hint="eastAsia" w:ascii="仿宋_GB2312" w:hAnsi="仿宋_GB2312" w:eastAsia="仿宋_GB2312" w:cs="仿宋_GB2312"/>
          <w:b w:val="0"/>
          <w:bCs/>
          <w:sz w:val="32"/>
          <w:szCs w:val="32"/>
        </w:rPr>
        <w:t>万元，其中：政府采购货物预算</w:t>
      </w:r>
      <w:r>
        <w:rPr>
          <w:rFonts w:hint="eastAsia" w:ascii="仿宋_GB2312" w:hAnsi="仿宋_GB2312" w:eastAsia="仿宋_GB2312" w:cs="仿宋_GB2312"/>
          <w:b w:val="0"/>
          <w:bCs/>
          <w:sz w:val="32"/>
          <w:szCs w:val="32"/>
          <w:lang w:val="en-US" w:eastAsia="zh-CN"/>
        </w:rPr>
        <w:t>9.898</w:t>
      </w:r>
      <w:r>
        <w:rPr>
          <w:rFonts w:hint="eastAsia" w:ascii="仿宋_GB2312" w:hAnsi="仿宋_GB2312" w:eastAsia="仿宋_GB2312" w:cs="仿宋_GB2312"/>
          <w:b w:val="0"/>
          <w:bCs/>
          <w:sz w:val="32"/>
          <w:szCs w:val="32"/>
        </w:rPr>
        <w:t xml:space="preserve">万元，政府采购工程预算 </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万元，政府采购服务预算</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rPr>
        <w:tab/>
      </w:r>
      <w:r>
        <w:rPr>
          <w:rFonts w:hint="eastAsia" w:ascii="楷体_GB2312" w:hAnsi="楷体_GB2312" w:eastAsia="楷体_GB2312" w:cs="楷体_GB2312"/>
          <w:b w:val="0"/>
          <w:bCs/>
          <w:sz w:val="32"/>
          <w:szCs w:val="32"/>
        </w:rPr>
        <w:t>国有资产占有使用情况：</w:t>
      </w:r>
      <w:r>
        <w:rPr>
          <w:rFonts w:hint="eastAsia" w:ascii="仿宋_GB2312" w:hAnsi="仿宋_GB2312" w:eastAsia="仿宋_GB2312" w:cs="仿宋_GB2312"/>
          <w:b w:val="0"/>
          <w:bCs/>
          <w:sz w:val="32"/>
          <w:szCs w:val="32"/>
          <w:lang w:eastAsia="zh-CN"/>
        </w:rPr>
        <w:t>截至2020年年初</w:t>
      </w:r>
      <w:r>
        <w:rPr>
          <w:rFonts w:hint="eastAsia" w:ascii="仿宋_GB2312" w:hAnsi="仿宋_GB2312" w:eastAsia="仿宋_GB2312" w:cs="仿宋_GB2312"/>
          <w:b w:val="0"/>
          <w:bCs/>
          <w:sz w:val="32"/>
          <w:szCs w:val="32"/>
        </w:rPr>
        <w:t>，单位国有资产合计</w:t>
      </w:r>
      <w:r>
        <w:rPr>
          <w:rFonts w:hint="eastAsia" w:ascii="仿宋_GB2312" w:hAnsi="仿宋_GB2312" w:eastAsia="仿宋_GB2312" w:cs="仿宋_GB2312"/>
          <w:b w:val="0"/>
          <w:bCs/>
          <w:sz w:val="32"/>
          <w:szCs w:val="32"/>
          <w:lang w:val="en-US" w:eastAsia="zh-CN"/>
        </w:rPr>
        <w:t>551.84</w:t>
      </w:r>
      <w:r>
        <w:rPr>
          <w:rFonts w:hint="eastAsia" w:ascii="仿宋_GB2312" w:hAnsi="仿宋_GB2312" w:eastAsia="仿宋_GB2312" w:cs="仿宋_GB2312"/>
          <w:b w:val="0"/>
          <w:bCs/>
          <w:sz w:val="32"/>
          <w:szCs w:val="32"/>
        </w:rPr>
        <w:t>万元，其中流动资产</w:t>
      </w:r>
      <w:r>
        <w:rPr>
          <w:rFonts w:hint="eastAsia" w:ascii="仿宋_GB2312" w:hAnsi="仿宋_GB2312" w:eastAsia="仿宋_GB2312" w:cs="仿宋_GB2312"/>
          <w:b w:val="0"/>
          <w:bCs/>
          <w:sz w:val="32"/>
          <w:szCs w:val="32"/>
          <w:lang w:val="en-US" w:eastAsia="zh-CN"/>
        </w:rPr>
        <w:t>531.88</w:t>
      </w:r>
      <w:r>
        <w:rPr>
          <w:rFonts w:hint="eastAsia" w:ascii="仿宋_GB2312" w:hAnsi="仿宋_GB2312" w:eastAsia="仿宋_GB2312" w:cs="仿宋_GB2312"/>
          <w:b w:val="0"/>
          <w:bCs/>
          <w:sz w:val="32"/>
          <w:szCs w:val="32"/>
        </w:rPr>
        <w:t>万元，固定资产</w:t>
      </w:r>
      <w:r>
        <w:rPr>
          <w:rFonts w:hint="eastAsia" w:ascii="仿宋_GB2312" w:hAnsi="仿宋_GB2312" w:eastAsia="仿宋_GB2312" w:cs="仿宋_GB2312"/>
          <w:b w:val="0"/>
          <w:bCs/>
          <w:sz w:val="32"/>
          <w:szCs w:val="32"/>
          <w:lang w:val="en-US" w:eastAsia="zh-CN"/>
        </w:rPr>
        <w:t>19.96</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本单位</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及二级单位</w:t>
      </w:r>
      <w:r>
        <w:rPr>
          <w:rFonts w:hint="eastAsia" w:ascii="仿宋_GB2312" w:hAnsi="仿宋_GB2312" w:eastAsia="仿宋_GB2312" w:cs="仿宋_GB2312"/>
          <w:b w:val="0"/>
          <w:bCs/>
          <w:sz w:val="32"/>
          <w:szCs w:val="32"/>
        </w:rPr>
        <w:t>共有车辆</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辆，其中，一般公务用车</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辆、一般执法执勤用车</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辆、特种专业技术用车</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辆、其他用车</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辆。单位价值200 万元以上大型设备</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台（套）。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rPr>
        <w:t>）国有资本经营预算</w:t>
      </w:r>
      <w:r>
        <w:rPr>
          <w:rFonts w:hint="eastAsia" w:ascii="楷体_GB2312" w:hAnsi="楷体_GB2312" w:eastAsia="楷体_GB2312" w:cs="楷体_GB2312"/>
          <w:b w:val="0"/>
          <w:bCs/>
          <w:sz w:val="32"/>
          <w:szCs w:val="32"/>
          <w:lang w:eastAsia="zh-CN"/>
        </w:rPr>
        <w:t>情况</w:t>
      </w:r>
      <w:r>
        <w:rPr>
          <w:rFonts w:hint="eastAsia" w:ascii="楷体_GB2312" w:hAnsi="楷体_GB2312" w:eastAsia="楷体_GB2312" w:cs="楷体_GB2312"/>
          <w:b w:val="0"/>
          <w:bCs/>
          <w:sz w:val="32"/>
          <w:szCs w:val="32"/>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本</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单位</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及二级单位无国有资本经营预算拨款</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楷体_GB2312" w:cs="仿宋_GB2312"/>
          <w:b w:val="0"/>
          <w:bCs/>
          <w:color w:val="000000"/>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部分</w:t>
      </w:r>
      <w:r>
        <w:rPr>
          <w:rFonts w:hint="eastAsia" w:ascii="楷体_GB2312" w:hAnsi="楷体_GB2312" w:eastAsia="楷体_GB2312" w:cs="楷体_GB2312"/>
          <w:b w:val="0"/>
          <w:bCs/>
          <w:sz w:val="32"/>
          <w:szCs w:val="32"/>
        </w:rPr>
        <w:t>专有名词解释</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一般公共</w:t>
      </w:r>
      <w:r>
        <w:rPr>
          <w:rFonts w:hint="eastAsia" w:ascii="仿宋_GB2312" w:hAnsi="仿宋_GB2312" w:eastAsia="仿宋_GB2312" w:cs="仿宋_GB2312"/>
          <w:b w:val="0"/>
          <w:bCs/>
          <w:sz w:val="32"/>
          <w:szCs w:val="32"/>
        </w:rPr>
        <w:t>预算拨款收入：指财政部门当年核拨给单位的财政预算资金。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一般公共服务(类)财政事务(款)行政运行(项)：指财政局机关及下属二级事业单位用于保障机构正常运行、开展日常工作的基本支出。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一般公共服务(类)财政事务(款)一般行政管理事务(项)：指财政局机关及下属事业单位开展非税改革及票据印刷、资产清查、农村综合改革、会计工作管理等未单独设置项级科目的其他项目支出。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一般公共服务(类)财政事务(款)预算改革业务(项)：指财政局开展预算改革、研究制定相关政策的项目支出。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一般公共服务(类)财政事务(款)财政国库业务(项)：指财政局用于财政国库集中收付业务方面的项目支出。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rPr>
        <w:t>一般公共服务(类)财政事务(款)财政监察(项)：指财政局开展财政监察、执法检查等专项事务的支出。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农林水支出(类)农业综合开发(款)其他农业综合开发支出(项)：指财政局开展农业综合开发项目评审方面的支出。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val="en-US" w:eastAsia="zh-CN"/>
        </w:rPr>
        <w:t>8.</w:t>
      </w:r>
      <w:r>
        <w:rPr>
          <w:rFonts w:hint="eastAsia" w:ascii="仿宋_GB2312" w:hAnsi="仿宋_GB2312" w:eastAsia="仿宋_GB2312" w:cs="仿宋_GB2312"/>
          <w:b w:val="0"/>
          <w:bCs/>
          <w:sz w:val="32"/>
          <w:szCs w:val="32"/>
        </w:rPr>
        <w:t>住房保障支出(类)住房改革支出(款)住房公积金(项)：指按照《住房公积金管理条例》的规定，由单位为职工缴纳的住房公积金。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sz w:val="32"/>
          <w:szCs w:val="32"/>
        </w:rPr>
        <w:t>项目支出：指在基本支出以外为完成特定行政任务和事业发展目标所发生的支出。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val="en-US" w:eastAsia="zh-CN"/>
        </w:rPr>
        <w:t>11.</w:t>
      </w:r>
      <w:r>
        <w:rPr>
          <w:rFonts w:hint="eastAsia" w:ascii="仿宋_GB2312" w:hAnsi="仿宋_GB2312" w:eastAsia="仿宋_GB2312" w:cs="仿宋_GB2312"/>
          <w:b w:val="0"/>
          <w:bCs/>
          <w:sz w:val="32"/>
          <w:szCs w:val="32"/>
        </w:rPr>
        <w:t>“三公”经费：纳入财政预决算管理的“三公”经费是指用财政拨款安排的因公出国(境)费、公务用车购置及运行维护费和公务接待费。其中，因公出国(境)费反映单位因公出国(境)的住宿费、旅费、伙食补助费、杂费、培训费等支出;公务用车购置及运行维护费反映单位公务用车购置费及租用费、燃料费、过路过桥费、保险费、安全奖励费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2020 年部门预算及“三公”经费预算报表</w:t>
      </w:r>
      <w:r>
        <w:rPr>
          <w:rFonts w:hint="eastAsia" w:ascii="黑体" w:hAnsi="黑体" w:eastAsia="黑体" w:cs="黑体"/>
          <w:b w:val="0"/>
          <w:bCs/>
          <w:sz w:val="32"/>
          <w:szCs w:val="32"/>
          <w:lang w:eastAsia="zh-CN"/>
        </w:rPr>
        <w:t>（详见附件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16" w:firstLineChars="100"/>
        <w:jc w:val="lef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eastAsia="仿宋"/>
          <w:sz w:val="32"/>
          <w:szCs w:val="32"/>
        </w:rPr>
      </w:pPr>
    </w:p>
    <w:sectPr>
      <w:footerReference r:id="rId3" w:type="default"/>
      <w:footerReference r:id="rId4" w:type="even"/>
      <w:pgSz w:w="11906" w:h="16838"/>
      <w:pgMar w:top="2098" w:right="1474" w:bottom="1984" w:left="1587" w:header="851" w:footer="1587" w:gutter="0"/>
      <w:pgNumType w:fmt="numberInDash"/>
      <w:cols w:equalWidth="0" w:num="1">
        <w:col w:w="8306"/>
      </w:cols>
      <w:rtlGutter w:val="0"/>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7280" w:firstLineChars="26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pnywtcAAAAHAQAADwAAAAAAAAABACAAAAAiAAAAZHJzL2Rvd25yZXYu&#10;eG1sUEsBAhQAFAAAAAgAh07iQMppoPA1AgAAYAQAAA4AAAAAAAAAAQAgAAAAJgEAAGRycy9lMm9E&#10;b2MueG1sUEsFBgAAAAAGAAYAWQEAAM0FAAAAAA==&#10;">
              <v:fill on="f" focussize="0,0"/>
              <v:stroke on="f" weight="0.5pt"/>
              <v:imagedata o:title=""/>
              <o:lock v:ext="edit" aspectratio="f"/>
              <v:textbox inset="0mm,0mm,0mm,0mm">
                <w:txbxContent>
                  <w:p>
                    <w:pPr>
                      <w:pStyle w:val="2"/>
                      <w:ind w:firstLine="7280" w:firstLineChars="26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hmbWTXAAAABwEAAA8AAAAAAAAAAQAgAAAAIgAAAGRycy9kb3ducmV2&#10;LnhtbFBLAQIUABQAAAAIAIdO4kASCEOnNgIAAGAEAAAOAAAAAAAAAAEAIAAAACYBAABkcnMvZTJv&#10;RG9jLnhtbFBLBQYAAAAABgAGAFkBAADOBQ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一</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F9BD"/>
    <w:multiLevelType w:val="singleLevel"/>
    <w:tmpl w:val="0FCFF9BD"/>
    <w:lvl w:ilvl="0" w:tentative="0">
      <w:start w:val="2"/>
      <w:numFmt w:val="chineseCounting"/>
      <w:suff w:val="nothing"/>
      <w:lvlText w:val="（%1）"/>
      <w:lvlJc w:val="left"/>
      <w:rPr>
        <w:rFonts w:hint="eastAsia"/>
      </w:rPr>
    </w:lvl>
  </w:abstractNum>
  <w:abstractNum w:abstractNumId="1">
    <w:nsid w:val="5EE18CE9"/>
    <w:multiLevelType w:val="singleLevel"/>
    <w:tmpl w:val="5EE18CE9"/>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WMxNDM0OTg0ZTE5YzE4ODQ3ODA5MDQwMDFhMDMzZWUifQ=="/>
  </w:docVars>
  <w:rsids>
    <w:rsidRoot w:val="00000000"/>
    <w:rsid w:val="00CA6509"/>
    <w:rsid w:val="015C44B3"/>
    <w:rsid w:val="017A64BE"/>
    <w:rsid w:val="019B0331"/>
    <w:rsid w:val="048B4CCD"/>
    <w:rsid w:val="05057EB4"/>
    <w:rsid w:val="058E0BB0"/>
    <w:rsid w:val="06760D48"/>
    <w:rsid w:val="06DF53E3"/>
    <w:rsid w:val="089A14F6"/>
    <w:rsid w:val="08BB3F46"/>
    <w:rsid w:val="08C616B7"/>
    <w:rsid w:val="09184A84"/>
    <w:rsid w:val="0AF23873"/>
    <w:rsid w:val="0B426DA1"/>
    <w:rsid w:val="0D233A80"/>
    <w:rsid w:val="0DB4279E"/>
    <w:rsid w:val="0E1E24E9"/>
    <w:rsid w:val="0EEE5065"/>
    <w:rsid w:val="0F4D094A"/>
    <w:rsid w:val="11BD3FB4"/>
    <w:rsid w:val="1271057B"/>
    <w:rsid w:val="131F30E1"/>
    <w:rsid w:val="13CD2E74"/>
    <w:rsid w:val="160F0897"/>
    <w:rsid w:val="181B5328"/>
    <w:rsid w:val="188C0EEC"/>
    <w:rsid w:val="188F2832"/>
    <w:rsid w:val="194567B4"/>
    <w:rsid w:val="1ACC4FDD"/>
    <w:rsid w:val="1B980572"/>
    <w:rsid w:val="1BD75E53"/>
    <w:rsid w:val="1BEC7F24"/>
    <w:rsid w:val="1C616EA1"/>
    <w:rsid w:val="1F506DE4"/>
    <w:rsid w:val="21E25116"/>
    <w:rsid w:val="21E973A1"/>
    <w:rsid w:val="226B76DE"/>
    <w:rsid w:val="22CE3D23"/>
    <w:rsid w:val="25AB7A13"/>
    <w:rsid w:val="263B0190"/>
    <w:rsid w:val="265B486A"/>
    <w:rsid w:val="283D4D57"/>
    <w:rsid w:val="28C16B31"/>
    <w:rsid w:val="29655D55"/>
    <w:rsid w:val="29831395"/>
    <w:rsid w:val="299F132A"/>
    <w:rsid w:val="2A766026"/>
    <w:rsid w:val="2A845212"/>
    <w:rsid w:val="2ADF3A0C"/>
    <w:rsid w:val="2B1C248B"/>
    <w:rsid w:val="2B6335F6"/>
    <w:rsid w:val="2BBC200F"/>
    <w:rsid w:val="2BCE7FDF"/>
    <w:rsid w:val="2C35443F"/>
    <w:rsid w:val="2C7653DA"/>
    <w:rsid w:val="2DF038D1"/>
    <w:rsid w:val="2E3D106A"/>
    <w:rsid w:val="2F4E6856"/>
    <w:rsid w:val="2FFC6672"/>
    <w:rsid w:val="30303F89"/>
    <w:rsid w:val="30F87C0A"/>
    <w:rsid w:val="326E42D3"/>
    <w:rsid w:val="3300669F"/>
    <w:rsid w:val="34AC6A5F"/>
    <w:rsid w:val="351E616D"/>
    <w:rsid w:val="355F534F"/>
    <w:rsid w:val="35B164D0"/>
    <w:rsid w:val="36D67942"/>
    <w:rsid w:val="388A54E9"/>
    <w:rsid w:val="3D32083E"/>
    <w:rsid w:val="3D7A14EE"/>
    <w:rsid w:val="3E0B5319"/>
    <w:rsid w:val="3F1F5A17"/>
    <w:rsid w:val="3F6E0B8E"/>
    <w:rsid w:val="40154D98"/>
    <w:rsid w:val="40EE6EEC"/>
    <w:rsid w:val="41FC680C"/>
    <w:rsid w:val="438F6F73"/>
    <w:rsid w:val="43D80B3F"/>
    <w:rsid w:val="46160E9A"/>
    <w:rsid w:val="46824BFC"/>
    <w:rsid w:val="46CB5FCB"/>
    <w:rsid w:val="497E1B39"/>
    <w:rsid w:val="4A16249F"/>
    <w:rsid w:val="4AEA49AC"/>
    <w:rsid w:val="4B5749B0"/>
    <w:rsid w:val="4EA37040"/>
    <w:rsid w:val="4F3A65AB"/>
    <w:rsid w:val="507767B3"/>
    <w:rsid w:val="50A33CA1"/>
    <w:rsid w:val="54867038"/>
    <w:rsid w:val="54DD6287"/>
    <w:rsid w:val="54E46EC4"/>
    <w:rsid w:val="55481EE5"/>
    <w:rsid w:val="56227BDC"/>
    <w:rsid w:val="57AE4111"/>
    <w:rsid w:val="57BB1AEF"/>
    <w:rsid w:val="58A8281B"/>
    <w:rsid w:val="5B160421"/>
    <w:rsid w:val="5B1D7908"/>
    <w:rsid w:val="5C2727D3"/>
    <w:rsid w:val="5C3E0408"/>
    <w:rsid w:val="5D671A23"/>
    <w:rsid w:val="5DB61A89"/>
    <w:rsid w:val="5E3A195D"/>
    <w:rsid w:val="5E5E023C"/>
    <w:rsid w:val="5EC15D06"/>
    <w:rsid w:val="5FCF5DB3"/>
    <w:rsid w:val="5FEA28F4"/>
    <w:rsid w:val="621004B9"/>
    <w:rsid w:val="6245436F"/>
    <w:rsid w:val="65FD0D9C"/>
    <w:rsid w:val="66A37243"/>
    <w:rsid w:val="678D79DF"/>
    <w:rsid w:val="67BA5E3C"/>
    <w:rsid w:val="6898301A"/>
    <w:rsid w:val="697F71D7"/>
    <w:rsid w:val="698D107A"/>
    <w:rsid w:val="6B72725F"/>
    <w:rsid w:val="6C540744"/>
    <w:rsid w:val="6C5E7517"/>
    <w:rsid w:val="6CE36B31"/>
    <w:rsid w:val="6D2E41C2"/>
    <w:rsid w:val="6ED028B6"/>
    <w:rsid w:val="713F4D9B"/>
    <w:rsid w:val="71D0273F"/>
    <w:rsid w:val="73601AA0"/>
    <w:rsid w:val="736851EA"/>
    <w:rsid w:val="746E2BD7"/>
    <w:rsid w:val="74C42D12"/>
    <w:rsid w:val="74FC4FB2"/>
    <w:rsid w:val="753D68E3"/>
    <w:rsid w:val="767A68A9"/>
    <w:rsid w:val="76AA2F8D"/>
    <w:rsid w:val="770E5F4C"/>
    <w:rsid w:val="783E1927"/>
    <w:rsid w:val="7A0D116A"/>
    <w:rsid w:val="7A137ED4"/>
    <w:rsid w:val="7A1E09D9"/>
    <w:rsid w:val="7A6B5763"/>
    <w:rsid w:val="7A8B470C"/>
    <w:rsid w:val="7B817A31"/>
    <w:rsid w:val="7B926E8F"/>
    <w:rsid w:val="7D43468F"/>
    <w:rsid w:val="7D8739F6"/>
    <w:rsid w:val="7D9C27B2"/>
    <w:rsid w:val="7F921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0"/>
    <w:pPr>
      <w:ind w:firstLine="200" w:firstLineChars="200"/>
    </w:pPr>
  </w:style>
  <w:style w:type="character" w:customStyle="1" w:styleId="10">
    <w:name w:val="font31"/>
    <w:basedOn w:val="8"/>
    <w:qFormat/>
    <w:uiPriority w:val="0"/>
    <w:rPr>
      <w:rFonts w:ascii="黑体" w:hAnsi="宋体" w:eastAsia="黑体" w:cs="黑体"/>
      <w:color w:val="000000"/>
      <w:sz w:val="40"/>
      <w:szCs w:val="40"/>
      <w:u w:val="none"/>
    </w:rPr>
  </w:style>
  <w:style w:type="character" w:customStyle="1" w:styleId="11">
    <w:name w:val="font21"/>
    <w:basedOn w:val="8"/>
    <w:qFormat/>
    <w:uiPriority w:val="0"/>
    <w:rPr>
      <w:rFonts w:hint="eastAsia" w:ascii="宋体" w:hAnsi="宋体" w:eastAsia="宋体" w:cs="宋体"/>
      <w:b/>
      <w:color w:val="000000"/>
      <w:sz w:val="32"/>
      <w:szCs w:val="32"/>
      <w:u w:val="none"/>
    </w:rPr>
  </w:style>
  <w:style w:type="character" w:customStyle="1" w:styleId="12">
    <w:name w:val="font81"/>
    <w:basedOn w:val="8"/>
    <w:qFormat/>
    <w:uiPriority w:val="0"/>
    <w:rPr>
      <w:rFonts w:ascii="黑体" w:hAnsi="宋体" w:eastAsia="黑体" w:cs="黑体"/>
      <w:color w:val="000000"/>
      <w:sz w:val="40"/>
      <w:szCs w:val="40"/>
      <w:u w:val="none"/>
    </w:rPr>
  </w:style>
  <w:style w:type="character" w:customStyle="1" w:styleId="13">
    <w:name w:val="font11"/>
    <w:basedOn w:val="8"/>
    <w:qFormat/>
    <w:uiPriority w:val="0"/>
    <w:rPr>
      <w:rFonts w:ascii="黑体" w:hAnsi="宋体" w:eastAsia="黑体" w:cs="黑体"/>
      <w:color w:val="000000"/>
      <w:sz w:val="36"/>
      <w:szCs w:val="36"/>
      <w:u w:val="none"/>
    </w:rPr>
  </w:style>
  <w:style w:type="character" w:customStyle="1" w:styleId="14">
    <w:name w:val="font41"/>
    <w:basedOn w:val="8"/>
    <w:qFormat/>
    <w:uiPriority w:val="0"/>
    <w:rPr>
      <w:rFonts w:ascii="黑体" w:hAnsi="宋体" w:eastAsia="黑体" w:cs="黑体"/>
      <w:color w:val="000000"/>
      <w:sz w:val="36"/>
      <w:szCs w:val="36"/>
      <w:u w:val="none"/>
    </w:rPr>
  </w:style>
  <w:style w:type="character" w:customStyle="1" w:styleId="15">
    <w:name w:val="font112"/>
    <w:basedOn w:val="8"/>
    <w:qFormat/>
    <w:uiPriority w:val="0"/>
    <w:rPr>
      <w:rFonts w:hint="default" w:ascii="Times New Roman" w:hAnsi="Times New Roman" w:cs="Times New Roman"/>
      <w:color w:val="000000"/>
      <w:sz w:val="24"/>
      <w:szCs w:val="24"/>
      <w:u w:val="none"/>
    </w:rPr>
  </w:style>
  <w:style w:type="paragraph" w:customStyle="1" w:styleId="16">
    <w:name w:val="MM Title"/>
    <w:basedOn w:val="5"/>
    <w:qFormat/>
    <w:uiPriority w:val="0"/>
  </w:style>
  <w:style w:type="paragraph" w:customStyle="1" w:styleId="17">
    <w:name w:val="MM Relationship"/>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3981</Words>
  <Characters>4310</Characters>
  <Lines>1</Lines>
  <Paragraphs>0</Paragraphs>
  <TotalTime>5</TotalTime>
  <ScaleCrop>false</ScaleCrop>
  <LinksUpToDate>false</LinksUpToDate>
  <CharactersWithSpaces>4326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le享人生</cp:lastModifiedBy>
  <cp:lastPrinted>2020-06-05T07:23:00Z</cp:lastPrinted>
  <dcterms:modified xsi:type="dcterms:W3CDTF">2022-05-26T03:01:17Z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D2FE845475C44A008FBF7BA60149EEF4</vt:lpwstr>
  </property>
</Properties>
</file>