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33748">
      <w:pPr>
        <w:jc w:val="left"/>
        <w:rPr>
          <w:rFonts w:hint="eastAsia" w:ascii="黑体" w:hAnsi="黑体" w:eastAsia="黑体" w:cs="黑体"/>
          <w:bCs/>
          <w:color w:val="auto"/>
          <w:sz w:val="32"/>
          <w:szCs w:val="32"/>
          <w:highlight w:val="none"/>
        </w:rPr>
      </w:pPr>
    </w:p>
    <w:p w14:paraId="00B3640D">
      <w:pPr>
        <w:jc w:val="left"/>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附件1</w:t>
      </w:r>
    </w:p>
    <w:p w14:paraId="4EC7C192">
      <w:pPr>
        <w:ind w:firstLine="236" w:firstLineChars="100"/>
        <w:jc w:val="left"/>
        <w:rPr>
          <w:rFonts w:ascii="宋体"/>
          <w:b/>
          <w:color w:val="auto"/>
          <w:sz w:val="24"/>
          <w:szCs w:val="44"/>
          <w:highlight w:val="none"/>
        </w:rPr>
      </w:pPr>
    </w:p>
    <w:p w14:paraId="6D3F233B">
      <w:pPr>
        <w:ind w:firstLine="236" w:firstLineChars="100"/>
        <w:jc w:val="left"/>
        <w:rPr>
          <w:rFonts w:ascii="宋体"/>
          <w:b/>
          <w:color w:val="auto"/>
          <w:sz w:val="24"/>
          <w:szCs w:val="44"/>
          <w:highlight w:val="none"/>
        </w:rPr>
      </w:pPr>
    </w:p>
    <w:p w14:paraId="74E35287">
      <w:pPr>
        <w:ind w:firstLine="236" w:firstLineChars="100"/>
        <w:jc w:val="left"/>
        <w:rPr>
          <w:rFonts w:ascii="宋体"/>
          <w:b/>
          <w:color w:val="auto"/>
          <w:sz w:val="24"/>
          <w:szCs w:val="44"/>
          <w:highlight w:val="none"/>
        </w:rPr>
      </w:pPr>
    </w:p>
    <w:p w14:paraId="62BCDE55">
      <w:pPr>
        <w:ind w:firstLine="236" w:firstLineChars="100"/>
        <w:jc w:val="left"/>
        <w:rPr>
          <w:rFonts w:ascii="宋体"/>
          <w:b/>
          <w:color w:val="auto"/>
          <w:sz w:val="24"/>
          <w:szCs w:val="44"/>
          <w:highlight w:val="none"/>
        </w:rPr>
      </w:pPr>
    </w:p>
    <w:p w14:paraId="49F2942F">
      <w:pPr>
        <w:ind w:firstLine="516" w:firstLineChars="100"/>
        <w:jc w:val="left"/>
        <w:rPr>
          <w:rFonts w:ascii="新宋体" w:hAnsi="新宋体" w:eastAsia="新宋体" w:cs="新宋体"/>
          <w:b/>
          <w:color w:val="auto"/>
          <w:sz w:val="32"/>
          <w:szCs w:val="52"/>
          <w:highlight w:val="none"/>
        </w:rPr>
      </w:pPr>
      <w:r>
        <w:rPr>
          <w:rFonts w:hint="eastAsia" w:ascii="方正小标宋_GBK" w:hAnsi="方正小标宋_GBK" w:eastAsia="方正小标宋_GBK" w:cs="方正小标宋_GBK"/>
          <w:bCs/>
          <w:color w:val="auto"/>
          <w:sz w:val="52"/>
          <w:szCs w:val="52"/>
          <w:highlight w:val="none"/>
        </w:rPr>
        <w:t>（</w:t>
      </w:r>
      <w:r>
        <w:rPr>
          <w:rFonts w:hint="eastAsia" w:ascii="方正小标宋_GBK" w:hAnsi="方正小标宋_GBK" w:eastAsia="方正小标宋_GBK" w:cs="方正小标宋_GBK"/>
          <w:bCs/>
          <w:color w:val="auto"/>
          <w:sz w:val="52"/>
          <w:szCs w:val="52"/>
          <w:highlight w:val="none"/>
          <w:lang w:val="en-US" w:eastAsia="zh-CN"/>
        </w:rPr>
        <w:t>贵阳市花溪区档案馆</w:t>
      </w:r>
      <w:r>
        <w:rPr>
          <w:rFonts w:hint="eastAsia" w:ascii="方正小标宋_GBK" w:hAnsi="方正小标宋_GBK" w:eastAsia="方正小标宋_GBK" w:cs="方正小标宋_GBK"/>
          <w:bCs/>
          <w:color w:val="auto"/>
          <w:sz w:val="52"/>
          <w:szCs w:val="52"/>
          <w:highlight w:val="none"/>
        </w:rPr>
        <w:t>）202</w:t>
      </w:r>
      <w:r>
        <w:rPr>
          <w:rFonts w:hint="eastAsia" w:ascii="方正小标宋_GBK" w:hAnsi="方正小标宋_GBK" w:eastAsia="方正小标宋_GBK" w:cs="方正小标宋_GBK"/>
          <w:bCs/>
          <w:color w:val="auto"/>
          <w:sz w:val="52"/>
          <w:szCs w:val="52"/>
          <w:highlight w:val="none"/>
          <w:lang w:val="en-US" w:eastAsia="zh-CN"/>
        </w:rPr>
        <w:t>4</w:t>
      </w:r>
      <w:r>
        <w:rPr>
          <w:rFonts w:hint="eastAsia" w:ascii="方正小标宋_GBK" w:hAnsi="方正小标宋_GBK" w:eastAsia="方正小标宋_GBK" w:cs="方正小标宋_GBK"/>
          <w:bCs/>
          <w:color w:val="auto"/>
          <w:sz w:val="52"/>
          <w:szCs w:val="52"/>
          <w:highlight w:val="none"/>
        </w:rPr>
        <w:t>年部门调整预算及“三公”经费预算说明</w:t>
      </w:r>
    </w:p>
    <w:p w14:paraId="6885FFA4">
      <w:pPr>
        <w:jc w:val="left"/>
        <w:rPr>
          <w:rFonts w:ascii="新宋体" w:hAnsi="新宋体" w:eastAsia="新宋体" w:cs="新宋体"/>
          <w:b/>
          <w:color w:val="auto"/>
          <w:sz w:val="32"/>
          <w:szCs w:val="52"/>
          <w:highlight w:val="none"/>
        </w:rPr>
      </w:pPr>
    </w:p>
    <w:p w14:paraId="21D58253">
      <w:pPr>
        <w:jc w:val="left"/>
        <w:rPr>
          <w:rFonts w:ascii="宋体"/>
          <w:b/>
          <w:color w:val="auto"/>
          <w:sz w:val="24"/>
          <w:szCs w:val="44"/>
          <w:highlight w:val="none"/>
        </w:rPr>
      </w:pPr>
    </w:p>
    <w:p w14:paraId="0AE16445">
      <w:pPr>
        <w:jc w:val="left"/>
        <w:rPr>
          <w:rFonts w:ascii="宋体"/>
          <w:b/>
          <w:color w:val="auto"/>
          <w:sz w:val="24"/>
          <w:szCs w:val="44"/>
          <w:highlight w:val="none"/>
        </w:rPr>
      </w:pPr>
    </w:p>
    <w:p w14:paraId="23EC8A50">
      <w:pPr>
        <w:jc w:val="left"/>
        <w:rPr>
          <w:rFonts w:ascii="宋体"/>
          <w:b/>
          <w:color w:val="auto"/>
          <w:sz w:val="24"/>
          <w:szCs w:val="44"/>
          <w:highlight w:val="none"/>
        </w:rPr>
      </w:pPr>
    </w:p>
    <w:p w14:paraId="70240EB8">
      <w:pPr>
        <w:jc w:val="left"/>
        <w:rPr>
          <w:rFonts w:ascii="宋体"/>
          <w:b/>
          <w:color w:val="auto"/>
          <w:sz w:val="24"/>
          <w:szCs w:val="44"/>
          <w:highlight w:val="none"/>
        </w:rPr>
      </w:pPr>
    </w:p>
    <w:p w14:paraId="071F1F7F">
      <w:pPr>
        <w:jc w:val="left"/>
        <w:rPr>
          <w:rFonts w:ascii="宋体"/>
          <w:b/>
          <w:color w:val="auto"/>
          <w:sz w:val="24"/>
          <w:szCs w:val="44"/>
          <w:highlight w:val="none"/>
        </w:rPr>
      </w:pPr>
    </w:p>
    <w:p w14:paraId="0DF91A8A">
      <w:pPr>
        <w:jc w:val="left"/>
        <w:rPr>
          <w:rFonts w:ascii="宋体"/>
          <w:b/>
          <w:color w:val="auto"/>
          <w:sz w:val="24"/>
          <w:szCs w:val="44"/>
          <w:highlight w:val="none"/>
        </w:rPr>
      </w:pPr>
    </w:p>
    <w:p w14:paraId="27036140">
      <w:pPr>
        <w:jc w:val="left"/>
        <w:rPr>
          <w:rFonts w:ascii="宋体"/>
          <w:b/>
          <w:color w:val="auto"/>
          <w:sz w:val="24"/>
          <w:szCs w:val="44"/>
          <w:highlight w:val="none"/>
        </w:rPr>
      </w:pPr>
    </w:p>
    <w:p w14:paraId="13331212">
      <w:pPr>
        <w:jc w:val="left"/>
        <w:rPr>
          <w:rFonts w:ascii="宋体"/>
          <w:b/>
          <w:color w:val="auto"/>
          <w:sz w:val="24"/>
          <w:szCs w:val="44"/>
          <w:highlight w:val="none"/>
        </w:rPr>
      </w:pPr>
    </w:p>
    <w:p w14:paraId="6D7096F4">
      <w:pPr>
        <w:keepNext w:val="0"/>
        <w:keepLines w:val="0"/>
        <w:pageBreakBefore/>
        <w:widowControl w:val="0"/>
        <w:kinsoku/>
        <w:wordWrap/>
        <w:overflowPunct/>
        <w:topLinePunct w:val="0"/>
        <w:autoSpaceDE/>
        <w:autoSpaceDN/>
        <w:bidi w:val="0"/>
        <w:adjustRightInd/>
        <w:snapToGrid/>
        <w:jc w:val="center"/>
        <w:textAlignment w:val="auto"/>
        <w:rPr>
          <w:rFonts w:ascii="方正小标宋_GBK" w:hAnsi="方正小标宋_GBK" w:eastAsia="方正小标宋_GBK" w:cs="方正小标宋_GBK"/>
          <w:bCs/>
          <w:color w:val="auto"/>
          <w:sz w:val="36"/>
          <w:szCs w:val="36"/>
          <w:highlight w:val="none"/>
        </w:rPr>
      </w:pPr>
      <w:r>
        <w:rPr>
          <w:rFonts w:hint="eastAsia" w:ascii="方正小标宋_GBK" w:hAnsi="方正小标宋_GBK" w:eastAsia="方正小标宋_GBK" w:cs="方正小标宋_GBK"/>
          <w:bCs/>
          <w:color w:val="auto"/>
          <w:sz w:val="36"/>
          <w:szCs w:val="36"/>
          <w:highlight w:val="none"/>
        </w:rPr>
        <w:t>目</w:t>
      </w:r>
      <w:r>
        <w:rPr>
          <w:rFonts w:hint="eastAsia" w:ascii="方正小标宋_GBK" w:hAnsi="方正小标宋_GBK" w:eastAsia="方正小标宋_GBK" w:cs="方正小标宋_GBK"/>
          <w:bCs/>
          <w:color w:val="auto"/>
          <w:sz w:val="36"/>
          <w:szCs w:val="36"/>
          <w:highlight w:val="none"/>
          <w:lang w:val="en-US" w:eastAsia="zh-CN"/>
        </w:rPr>
        <w:t xml:space="preserve"> </w:t>
      </w:r>
      <w:r>
        <w:rPr>
          <w:rFonts w:hint="eastAsia" w:ascii="方正小标宋_GBK" w:hAnsi="方正小标宋_GBK" w:eastAsia="方正小标宋_GBK" w:cs="方正小标宋_GBK"/>
          <w:bCs/>
          <w:color w:val="auto"/>
          <w:sz w:val="36"/>
          <w:szCs w:val="36"/>
          <w:highlight w:val="none"/>
        </w:rPr>
        <w:t xml:space="preserve"> 录</w:t>
      </w:r>
    </w:p>
    <w:p w14:paraId="6F73191B">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一、部门（单位）概况</w:t>
      </w:r>
    </w:p>
    <w:p w14:paraId="71DF36B3">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（一）部门（单位）主要职能</w:t>
      </w:r>
    </w:p>
    <w:p w14:paraId="56DC3CCC">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（二）部门预算单位构成</w:t>
      </w:r>
    </w:p>
    <w:p w14:paraId="1D7EDD7F">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（三）部门人员构成</w:t>
      </w:r>
    </w:p>
    <w:p w14:paraId="75BE370F">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二、部门主要工作任务和政策依据</w:t>
      </w:r>
    </w:p>
    <w:p w14:paraId="0AF2BBEB">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三</w:t>
      </w:r>
      <w:r>
        <w:rPr>
          <w:rFonts w:ascii="黑体" w:hAnsi="黑体" w:eastAsia="黑体" w:cs="黑体"/>
          <w:bCs/>
          <w:color w:val="auto"/>
          <w:sz w:val="32"/>
          <w:szCs w:val="32"/>
          <w:highlight w:val="none"/>
        </w:rPr>
        <w:t>、</w:t>
      </w:r>
      <w:r>
        <w:rPr>
          <w:rFonts w:hint="eastAsia" w:ascii="黑体" w:hAnsi="黑体" w:eastAsia="黑体" w:cs="黑体"/>
          <w:bCs/>
          <w:color w:val="auto"/>
          <w:sz w:val="32"/>
          <w:szCs w:val="32"/>
          <w:highlight w:val="none"/>
        </w:rPr>
        <w:t>部门预算安排情况说明</w:t>
      </w:r>
    </w:p>
    <w:p w14:paraId="4ED4C164">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_GB2312" w:hAnsi="仿宋_GB2312" w:eastAsia="仿宋_GB2312" w:cs="仿宋_GB2312"/>
          <w:bCs/>
          <w:color w:val="auto"/>
          <w:sz w:val="32"/>
          <w:szCs w:val="32"/>
          <w:highlight w:val="none"/>
        </w:rPr>
        <w:t>（</w:t>
      </w:r>
      <w:r>
        <w:rPr>
          <w:rFonts w:hint="eastAsia" w:ascii="仿宋" w:hAnsi="仿宋" w:eastAsia="仿宋" w:cs="仿宋"/>
          <w:bCs/>
          <w:color w:val="auto"/>
          <w:sz w:val="32"/>
          <w:szCs w:val="32"/>
          <w:highlight w:val="none"/>
        </w:rPr>
        <w:t>一）部门（单位）收支总体情况（详见表1）</w:t>
      </w:r>
    </w:p>
    <w:p w14:paraId="075E2F64">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（二）部门（单位）收入总体情况（详见表2）</w:t>
      </w:r>
    </w:p>
    <w:p w14:paraId="2B6F3CB5">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（三）部门（单位）支出总体情况（详见表3）</w:t>
      </w:r>
    </w:p>
    <w:p w14:paraId="39D8EFDB">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（四）部门（单位）财政拨款收支总体情况（详见表4）</w:t>
      </w:r>
    </w:p>
    <w:p w14:paraId="17C5399E">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（五）部门（单位）一般公共预算支出情况（详见表5）</w:t>
      </w:r>
    </w:p>
    <w:p w14:paraId="3FBB4CAC">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（六）部门（单位）一般公共预算基本支出情况（详见表6、7）</w:t>
      </w:r>
    </w:p>
    <w:p w14:paraId="30C577AE">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（七）部门（单位）一般公共预算“三公”经费支出情况（详见表8）</w:t>
      </w:r>
    </w:p>
    <w:p w14:paraId="539900D1">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eastAsia="zh-CN"/>
        </w:rPr>
        <w:t>八</w:t>
      </w:r>
      <w:r>
        <w:rPr>
          <w:rFonts w:hint="eastAsia" w:ascii="仿宋" w:hAnsi="仿宋" w:eastAsia="仿宋" w:cs="仿宋"/>
          <w:bCs/>
          <w:color w:val="auto"/>
          <w:sz w:val="32"/>
          <w:szCs w:val="32"/>
          <w:highlight w:val="none"/>
        </w:rPr>
        <w:t>）部门（单位）政府性基金预算支出情况（详见表</w:t>
      </w:r>
      <w:r>
        <w:rPr>
          <w:rFonts w:hint="eastAsia" w:ascii="仿宋" w:hAnsi="仿宋" w:eastAsia="仿宋" w:cs="仿宋"/>
          <w:bCs/>
          <w:color w:val="auto"/>
          <w:sz w:val="32"/>
          <w:szCs w:val="32"/>
          <w:highlight w:val="none"/>
          <w:lang w:val="en-US" w:eastAsia="zh-CN"/>
        </w:rPr>
        <w:t>9</w:t>
      </w:r>
      <w:r>
        <w:rPr>
          <w:rFonts w:hint="eastAsia" w:ascii="仿宋" w:hAnsi="仿宋" w:eastAsia="仿宋" w:cs="仿宋"/>
          <w:bCs/>
          <w:color w:val="auto"/>
          <w:sz w:val="32"/>
          <w:szCs w:val="32"/>
          <w:highlight w:val="none"/>
        </w:rPr>
        <w:t>）</w:t>
      </w:r>
    </w:p>
    <w:p w14:paraId="13F6077A">
      <w:pPr>
        <w:keepNext w:val="0"/>
        <w:keepLines w:val="0"/>
        <w:pageBreakBefore w:val="0"/>
        <w:widowControl w:val="0"/>
        <w:kinsoku/>
        <w:wordWrap/>
        <w:overflowPunct/>
        <w:topLinePunct w:val="0"/>
        <w:autoSpaceDE/>
        <w:autoSpaceDN/>
        <w:bidi w:val="0"/>
        <w:adjustRightInd/>
        <w:snapToGrid/>
        <w:spacing w:line="560" w:lineRule="exact"/>
        <w:ind w:firstLine="316" w:firstLineChars="1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eastAsia="zh-CN"/>
        </w:rPr>
        <w:t>九</w:t>
      </w:r>
      <w:r>
        <w:rPr>
          <w:rFonts w:hint="eastAsia" w:ascii="仿宋" w:hAnsi="仿宋" w:eastAsia="仿宋" w:cs="仿宋"/>
          <w:bCs/>
          <w:color w:val="auto"/>
          <w:sz w:val="32"/>
          <w:szCs w:val="32"/>
          <w:highlight w:val="none"/>
        </w:rPr>
        <w:t>）部门（单位）</w:t>
      </w:r>
      <w:r>
        <w:rPr>
          <w:rFonts w:hint="eastAsia" w:ascii="仿宋" w:hAnsi="仿宋" w:eastAsia="仿宋" w:cs="仿宋"/>
          <w:color w:val="auto"/>
          <w:sz w:val="32"/>
          <w:szCs w:val="32"/>
          <w:highlight w:val="none"/>
        </w:rPr>
        <w:t>国有资本经营预算支出情况</w:t>
      </w:r>
      <w:r>
        <w:rPr>
          <w:rFonts w:hint="eastAsia" w:ascii="仿宋" w:hAnsi="仿宋" w:eastAsia="仿宋" w:cs="仿宋"/>
          <w:bCs/>
          <w:color w:val="auto"/>
          <w:sz w:val="32"/>
          <w:szCs w:val="32"/>
          <w:highlight w:val="none"/>
        </w:rPr>
        <w:t>（详见表</w:t>
      </w:r>
      <w:r>
        <w:rPr>
          <w:rFonts w:hint="eastAsia" w:ascii="仿宋" w:hAnsi="仿宋" w:eastAsia="仿宋" w:cs="仿宋"/>
          <w:bCs/>
          <w:color w:val="auto"/>
          <w:sz w:val="32"/>
          <w:szCs w:val="32"/>
          <w:highlight w:val="none"/>
          <w:lang w:val="en-US" w:eastAsia="zh-CN"/>
        </w:rPr>
        <w:t>10</w:t>
      </w:r>
      <w:r>
        <w:rPr>
          <w:rFonts w:hint="eastAsia" w:ascii="仿宋" w:hAnsi="仿宋" w:eastAsia="仿宋" w:cs="仿宋"/>
          <w:bCs/>
          <w:color w:val="auto"/>
          <w:sz w:val="32"/>
          <w:szCs w:val="32"/>
          <w:highlight w:val="none"/>
        </w:rPr>
        <w:t>）</w:t>
      </w:r>
    </w:p>
    <w:p w14:paraId="6A27D1E9">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（十）部门（单位）整体支出绩效目标情况（详见表1</w:t>
      </w:r>
      <w:r>
        <w:rPr>
          <w:rFonts w:hint="eastAsia" w:ascii="仿宋" w:hAnsi="仿宋" w:eastAsia="仿宋" w:cs="仿宋"/>
          <w:bCs/>
          <w:color w:val="auto"/>
          <w:sz w:val="32"/>
          <w:szCs w:val="32"/>
          <w:highlight w:val="none"/>
          <w:lang w:val="en-US" w:eastAsia="zh-CN"/>
        </w:rPr>
        <w:t>1</w:t>
      </w:r>
      <w:r>
        <w:rPr>
          <w:rFonts w:hint="eastAsia" w:ascii="仿宋" w:hAnsi="仿宋" w:eastAsia="仿宋" w:cs="仿宋"/>
          <w:bCs/>
          <w:color w:val="auto"/>
          <w:sz w:val="32"/>
          <w:szCs w:val="32"/>
          <w:highlight w:val="none"/>
        </w:rPr>
        <w:t>）</w:t>
      </w:r>
    </w:p>
    <w:p w14:paraId="59888763">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（十</w:t>
      </w:r>
      <w:r>
        <w:rPr>
          <w:rFonts w:hint="eastAsia" w:ascii="仿宋" w:hAnsi="仿宋" w:eastAsia="仿宋" w:cs="仿宋"/>
          <w:bCs/>
          <w:color w:val="auto"/>
          <w:sz w:val="32"/>
          <w:szCs w:val="32"/>
          <w:highlight w:val="none"/>
          <w:lang w:eastAsia="zh-CN"/>
        </w:rPr>
        <w:t>一</w:t>
      </w:r>
      <w:r>
        <w:rPr>
          <w:rFonts w:hint="eastAsia" w:ascii="仿宋" w:hAnsi="仿宋" w:eastAsia="仿宋" w:cs="仿宋"/>
          <w:bCs/>
          <w:color w:val="auto"/>
          <w:sz w:val="32"/>
          <w:szCs w:val="32"/>
          <w:highlight w:val="none"/>
        </w:rPr>
        <w:t>）部门（单位）重点项目支出绩效目标情况（详见表1</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、1</w:t>
      </w:r>
      <w:r>
        <w:rPr>
          <w:rFonts w:hint="eastAsia" w:ascii="仿宋" w:hAnsi="仿宋" w:eastAsia="仿宋" w:cs="仿宋"/>
          <w:bCs/>
          <w:color w:val="auto"/>
          <w:sz w:val="32"/>
          <w:szCs w:val="32"/>
          <w:highlight w:val="none"/>
          <w:lang w:val="en-US" w:eastAsia="zh-CN"/>
        </w:rPr>
        <w:t>3</w:t>
      </w:r>
      <w:r>
        <w:rPr>
          <w:rFonts w:hint="eastAsia" w:ascii="仿宋" w:hAnsi="仿宋" w:eastAsia="仿宋" w:cs="仿宋"/>
          <w:bCs/>
          <w:color w:val="auto"/>
          <w:sz w:val="32"/>
          <w:szCs w:val="32"/>
          <w:highlight w:val="none"/>
        </w:rPr>
        <w:t>）</w:t>
      </w:r>
    </w:p>
    <w:p w14:paraId="40CE88F5">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四、其他重要事项说明</w:t>
      </w:r>
    </w:p>
    <w:p w14:paraId="3637B3D1">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（一）机关运行经费情况</w:t>
      </w:r>
    </w:p>
    <w:p w14:paraId="7E8386A1">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（二）政府采购情况</w:t>
      </w:r>
    </w:p>
    <w:p w14:paraId="16B5BC66">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（三）国有资产占有使用情况</w:t>
      </w:r>
    </w:p>
    <w:p w14:paraId="0ED29C5E">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（四）预算绩效管理情况</w:t>
      </w:r>
    </w:p>
    <w:p w14:paraId="3034C623">
      <w:pPr>
        <w:keepNext w:val="0"/>
        <w:keepLines w:val="0"/>
        <w:pageBreakBefore w:val="0"/>
        <w:widowControl w:val="0"/>
        <w:kinsoku/>
        <w:wordWrap/>
        <w:overflowPunct/>
        <w:topLinePunct w:val="0"/>
        <w:autoSpaceDE/>
        <w:autoSpaceDN/>
        <w:bidi w:val="0"/>
        <w:adjustRightInd/>
        <w:snapToGrid/>
        <w:spacing w:line="560" w:lineRule="exact"/>
        <w:ind w:firstLine="316" w:firstLineChars="1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（五）项目支出安排情况</w:t>
      </w:r>
    </w:p>
    <w:p w14:paraId="3C2E82F6">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（六）专有名词解释</w:t>
      </w:r>
    </w:p>
    <w:p w14:paraId="78BBD2CB">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五、</w:t>
      </w:r>
      <w:r>
        <w:rPr>
          <w:rFonts w:hint="eastAsia" w:ascii="黑体" w:hAnsi="黑体" w:eastAsia="黑体" w:cs="黑体"/>
          <w:bCs/>
          <w:color w:val="auto"/>
          <w:sz w:val="32"/>
          <w:szCs w:val="32"/>
          <w:highlight w:val="none"/>
          <w:lang w:eastAsia="zh-CN"/>
        </w:rPr>
        <w:t>202</w:t>
      </w:r>
      <w:r>
        <w:rPr>
          <w:rFonts w:hint="eastAsia" w:ascii="黑体" w:hAnsi="黑体" w:eastAsia="黑体" w:cs="黑体"/>
          <w:bCs/>
          <w:color w:val="auto"/>
          <w:sz w:val="32"/>
          <w:szCs w:val="32"/>
          <w:highlight w:val="none"/>
          <w:lang w:val="en-US" w:eastAsia="zh-CN"/>
        </w:rPr>
        <w:t>4</w:t>
      </w:r>
      <w:r>
        <w:rPr>
          <w:rFonts w:hint="eastAsia" w:ascii="黑体" w:hAnsi="黑体" w:eastAsia="黑体" w:cs="黑体"/>
          <w:bCs/>
          <w:color w:val="auto"/>
          <w:sz w:val="32"/>
          <w:szCs w:val="32"/>
          <w:highlight w:val="none"/>
        </w:rPr>
        <w:t>年部门</w:t>
      </w:r>
      <w:r>
        <w:rPr>
          <w:rFonts w:hint="eastAsia" w:ascii="黑体" w:hAnsi="黑体" w:eastAsia="黑体" w:cs="黑体"/>
          <w:bCs/>
          <w:color w:val="auto"/>
          <w:sz w:val="32"/>
          <w:szCs w:val="32"/>
          <w:highlight w:val="none"/>
          <w:lang w:val="en-US" w:eastAsia="zh-CN"/>
        </w:rPr>
        <w:t>调整</w:t>
      </w:r>
      <w:r>
        <w:rPr>
          <w:rFonts w:hint="eastAsia" w:ascii="黑体" w:hAnsi="黑体" w:eastAsia="黑体" w:cs="黑体"/>
          <w:bCs/>
          <w:color w:val="auto"/>
          <w:sz w:val="32"/>
          <w:szCs w:val="32"/>
          <w:highlight w:val="none"/>
        </w:rPr>
        <w:t>预算及“三公”经费预算公开表（详见附件2）</w:t>
      </w:r>
    </w:p>
    <w:p w14:paraId="2C878409">
      <w:pPr>
        <w:ind w:firstLine="316" w:firstLineChars="100"/>
        <w:jc w:val="left"/>
        <w:rPr>
          <w:rFonts w:ascii="仿宋_GB2312" w:hAnsi="仿宋_GB2312" w:eastAsia="仿宋_GB2312" w:cs="仿宋_GB2312"/>
          <w:bCs/>
          <w:color w:val="auto"/>
          <w:sz w:val="32"/>
          <w:szCs w:val="32"/>
          <w:highlight w:val="none"/>
        </w:rPr>
      </w:pPr>
    </w:p>
    <w:p w14:paraId="618E3292">
      <w:pPr>
        <w:jc w:val="left"/>
        <w:rPr>
          <w:rFonts w:ascii="仿宋" w:eastAsia="仿宋"/>
          <w:color w:val="auto"/>
          <w:sz w:val="32"/>
          <w:szCs w:val="32"/>
          <w:highlight w:val="none"/>
        </w:rPr>
      </w:pPr>
    </w:p>
    <w:p w14:paraId="26A56D41">
      <w:pPr>
        <w:jc w:val="left"/>
        <w:rPr>
          <w:rFonts w:ascii="仿宋" w:eastAsia="仿宋"/>
          <w:color w:val="auto"/>
          <w:sz w:val="32"/>
          <w:szCs w:val="32"/>
          <w:highlight w:val="none"/>
        </w:rPr>
      </w:pPr>
    </w:p>
    <w:p w14:paraId="29701EEF">
      <w:pPr>
        <w:jc w:val="left"/>
        <w:rPr>
          <w:rFonts w:ascii="仿宋" w:eastAsia="仿宋"/>
          <w:color w:val="auto"/>
          <w:sz w:val="32"/>
          <w:szCs w:val="32"/>
          <w:highlight w:val="none"/>
        </w:rPr>
      </w:pPr>
    </w:p>
    <w:p w14:paraId="6F85FFBC">
      <w:pPr>
        <w:jc w:val="left"/>
        <w:rPr>
          <w:rFonts w:ascii="仿宋" w:eastAsia="仿宋"/>
          <w:color w:val="auto"/>
          <w:sz w:val="32"/>
          <w:szCs w:val="32"/>
          <w:highlight w:val="none"/>
        </w:rPr>
      </w:pPr>
    </w:p>
    <w:p w14:paraId="3F3AB055">
      <w:pPr>
        <w:jc w:val="left"/>
        <w:rPr>
          <w:rFonts w:ascii="仿宋" w:eastAsia="仿宋"/>
          <w:color w:val="auto"/>
          <w:sz w:val="32"/>
          <w:szCs w:val="32"/>
          <w:highlight w:val="none"/>
        </w:rPr>
      </w:pPr>
    </w:p>
    <w:p w14:paraId="73E66DA9">
      <w:pPr>
        <w:jc w:val="left"/>
        <w:rPr>
          <w:rFonts w:ascii="仿宋" w:eastAsia="仿宋"/>
          <w:color w:val="auto"/>
          <w:sz w:val="32"/>
          <w:szCs w:val="32"/>
          <w:highlight w:val="none"/>
        </w:rPr>
      </w:pPr>
    </w:p>
    <w:p w14:paraId="17ACA7B9">
      <w:pPr>
        <w:jc w:val="left"/>
        <w:rPr>
          <w:rFonts w:ascii="仿宋" w:eastAsia="仿宋"/>
          <w:color w:val="auto"/>
          <w:sz w:val="32"/>
          <w:szCs w:val="32"/>
          <w:highlight w:val="none"/>
        </w:rPr>
      </w:pPr>
      <w:r>
        <w:rPr>
          <w:rFonts w:hint="eastAsia" w:ascii="仿宋" w:eastAsia="仿宋"/>
          <w:color w:val="auto"/>
          <w:sz w:val="32"/>
          <w:szCs w:val="32"/>
          <w:highlight w:val="none"/>
        </w:rPr>
        <w:t xml:space="preserve">  </w:t>
      </w:r>
    </w:p>
    <w:p w14:paraId="52869653">
      <w:pPr>
        <w:jc w:val="left"/>
        <w:rPr>
          <w:rFonts w:ascii="仿宋" w:eastAsia="仿宋"/>
          <w:color w:val="auto"/>
          <w:sz w:val="32"/>
          <w:szCs w:val="32"/>
          <w:highlight w:val="none"/>
        </w:rPr>
      </w:pPr>
    </w:p>
    <w:p w14:paraId="6C48B96B">
      <w:pPr>
        <w:jc w:val="left"/>
        <w:rPr>
          <w:rFonts w:ascii="仿宋" w:eastAsia="仿宋"/>
          <w:color w:val="auto"/>
          <w:sz w:val="32"/>
          <w:szCs w:val="32"/>
          <w:highlight w:val="none"/>
        </w:rPr>
      </w:pPr>
    </w:p>
    <w:p w14:paraId="58C4AF33">
      <w:pPr>
        <w:pStyle w:val="6"/>
        <w:keepNext w:val="0"/>
        <w:keepLines w:val="0"/>
        <w:pageBreakBefore/>
        <w:widowControl w:val="0"/>
        <w:kinsoku/>
        <w:wordWrap/>
        <w:overflowPunct/>
        <w:topLinePunct w:val="0"/>
        <w:autoSpaceDE/>
        <w:autoSpaceDN/>
        <w:bidi w:val="0"/>
        <w:adjustRightInd/>
        <w:snapToGrid/>
        <w:spacing w:line="554" w:lineRule="exact"/>
        <w:ind w:firstLine="631"/>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一、部门（单位）概况</w:t>
      </w:r>
    </w:p>
    <w:p w14:paraId="3C8D6DA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一）部门主要职能：贵阳市花溪区档案馆工作宗旨是开展档案接收、保管、利用和编研工作，组织编纂地方志书、地方综合年鉴和地方史，为经济建设、政治建设、文化建设和社会建设提供档案、地方志信息利用服务。</w:t>
      </w:r>
    </w:p>
    <w:p w14:paraId="676A6F9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（二）部门预算单位构成：贵阳市花溪区档案馆属于财政全额拨款参公事业单位一个。</w:t>
      </w:r>
    </w:p>
    <w:p w14:paraId="07FF954A">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（三）部门人员构成：截止2023年12月本单位编制人数11人、在职实有人数9人，其中参公人员为3人，机关工勤人员为1人,事业管理人员5人。   </w:t>
      </w:r>
    </w:p>
    <w:p w14:paraId="4840D9CF">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二、部门主要工作任务和政策依据</w:t>
      </w:r>
    </w:p>
    <w:p w14:paraId="3C788AF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花溪区档案馆（地方志办）在省、市档案馆（地方志办）的指导和区委、区政府的领导下，深入学习贯彻党的方针政策以及省、市档案、方志工作会议精神，结合本局实际，认真履行“为党管档、为国守史、为民服务”的职责和“创精品年鉴，修名志”的目标，转变档案方志工作观念，增强服务意识，求真务实，认真开展各项工作。</w:t>
      </w:r>
    </w:p>
    <w:p w14:paraId="1428A2DE">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三、部门预算安排情况说明</w:t>
      </w:r>
    </w:p>
    <w:p w14:paraId="5FDFB770">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（一）部门收支总体情况（详见表1）</w:t>
      </w:r>
    </w:p>
    <w:p w14:paraId="0A47CFE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本单位无二级单位，本预算仅为本单位预算，本单位2024年部门预算收入总数为423.82万元，支出总计423.82万元。其中基本支出176.96万元（包括工资福利支出165.33万元，商品服务支出11.63万元），占总预算收入的 41.75%。项目支出246.86元，占总预算收入的58.25%。预算支出总数为423.82万元，占总预算支出的100%。与2023年相比预算总收支多了122.5万元，主要是上级补助国有企业退休人员社会化管理补助资金166.88万元，其中结转部分为83.53万元。</w:t>
      </w:r>
    </w:p>
    <w:p w14:paraId="1EE649DC">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（二）部门收入总体情况（详见表2）</w:t>
      </w:r>
    </w:p>
    <w:p w14:paraId="5822EDD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楷体_GB2312" w:hAnsi="楷体_GB2312" w:eastAsia="楷体_GB2312" w:cs="楷体_GB2312"/>
          <w:b w:val="0"/>
          <w:bCs/>
          <w:color w:val="FF0000"/>
          <w:sz w:val="32"/>
          <w:szCs w:val="32"/>
          <w:lang w:val="en-US" w:eastAsia="zh-CN"/>
        </w:rPr>
      </w:pPr>
      <w:r>
        <w:rPr>
          <w:rFonts w:hint="eastAsia" w:ascii="仿宋_GB2312" w:hAnsi="仿宋_GB2312" w:eastAsia="仿宋_GB2312" w:cs="仿宋_GB2312"/>
          <w:b w:val="0"/>
          <w:bCs/>
          <w:color w:val="000000"/>
          <w:kern w:val="2"/>
          <w:sz w:val="32"/>
          <w:szCs w:val="32"/>
          <w:lang w:val="en-US" w:eastAsia="zh-CN" w:bidi="ar-SA"/>
        </w:rPr>
        <w:t>全年预算收入423.82万元：公共财政预算拨款收入423.82万元，占总收入的100%。其中：1、一般公共服务支出预算270.58万元，占收入预算的63.84%；2、国有资本经营预算69.71万元，占收入预算的16.44%;3、上年结转83.53万元，占收入预算的19.72%；其中：国有资本经营预算结转69.89万元</w:t>
      </w:r>
      <w:r>
        <w:rPr>
          <w:rFonts w:hint="eastAsia" w:ascii="仿宋_GB2312" w:hAnsi="仿宋_GB2312" w:eastAsia="仿宋_GB2312" w:cs="仿宋_GB2312"/>
          <w:b w:val="0"/>
          <w:bCs/>
          <w:color w:val="auto"/>
          <w:kern w:val="2"/>
          <w:sz w:val="32"/>
          <w:szCs w:val="32"/>
          <w:highlight w:val="none"/>
          <w:lang w:val="en-US" w:eastAsia="zh-CN" w:bidi="ar-SA"/>
        </w:rPr>
        <w:t>，</w:t>
      </w:r>
      <w:r>
        <w:rPr>
          <w:rFonts w:hint="eastAsia" w:ascii="仿宋_GB2312" w:hAnsi="仿宋_GB2312" w:eastAsia="仿宋_GB2312" w:cs="仿宋_GB2312"/>
          <w:b w:val="0"/>
          <w:bCs/>
          <w:color w:val="000000"/>
          <w:kern w:val="2"/>
          <w:sz w:val="32"/>
          <w:szCs w:val="32"/>
          <w:lang w:val="en-US" w:eastAsia="zh-CN" w:bidi="ar-SA"/>
        </w:rPr>
        <w:t>一般公共服务支出预算结转13.64万元。</w:t>
      </w:r>
    </w:p>
    <w:p w14:paraId="739C28F6">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楷体_GB2312" w:hAnsi="楷体_GB2312" w:eastAsia="楷体_GB2312" w:cs="楷体_GB2312"/>
          <w:bCs/>
          <w:color w:val="auto"/>
          <w:sz w:val="32"/>
          <w:szCs w:val="32"/>
          <w:highlight w:val="none"/>
          <w:lang w:eastAsia="zh-CN"/>
        </w:rPr>
      </w:pPr>
      <w:r>
        <w:rPr>
          <w:rFonts w:hint="eastAsia" w:ascii="楷体_GB2312" w:hAnsi="楷体_GB2312" w:eastAsia="楷体_GB2312" w:cs="楷体_GB2312"/>
          <w:bCs/>
          <w:color w:val="auto"/>
          <w:sz w:val="32"/>
          <w:szCs w:val="32"/>
          <w:highlight w:val="none"/>
        </w:rPr>
        <w:t>（三）部门支出总体情况（详见表3）</w:t>
      </w:r>
    </w:p>
    <w:p w14:paraId="26F784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textAlignment w:val="auto"/>
        <w:rPr>
          <w:rFonts w:hint="default"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1、支出预算总体情况：2024年支出预算423.82万元，其中：（1）、基本支出176.96万元，主要用于在职职工工资、奖金、医疗保险、养老保险、职业年金、公积金、生活补助、工会经费、残保金、其他交通费用和日常公用支出，包括：2012604款档案馆137.45万元；2080505款社会保障和就业支出14.47万元；2101101行政事业单位医疗10.5万元，2101199款工伤保险0.37万元；2210201款住房公积金14.17万元；（2）、项目支出246.86万元其中：2012604款项目支出共计79.98万元，其中2012604款项目支出38.22万元，用于2024花溪年鉴编辑出版费；2012604款项目支出2.5万元，用于档案保护管理及档案及档案馆运转经费；2012604款项目支出24.96万元，用于花溪区传统村落志编纂出版费；2012604款项目支出13.93万元，用于花溪区档案馆数字平台建设项目；2230105款项目和2089999款项目支出166.88万元，为上年结转项目经费</w:t>
      </w:r>
      <w:r>
        <w:rPr>
          <w:rFonts w:hint="eastAsia" w:ascii="仿宋_GB2312" w:hAnsi="仿宋_GB2312" w:eastAsia="仿宋_GB2312" w:cs="仿宋_GB2312"/>
          <w:b w:val="0"/>
          <w:bCs/>
          <w:color w:val="000000"/>
          <w:sz w:val="32"/>
          <w:szCs w:val="32"/>
          <w:lang w:val="en-US" w:eastAsia="zh-CN"/>
        </w:rPr>
        <w:t>国有企业退休人员社会化管理补助资金83.53万元，以及本年上级拨款83.35万元。</w:t>
      </w:r>
      <w:r>
        <w:rPr>
          <w:rFonts w:hint="eastAsia" w:ascii="仿宋_GB2312" w:hAnsi="仿宋_GB2312" w:eastAsia="仿宋_GB2312" w:cs="仿宋_GB2312"/>
          <w:b w:val="0"/>
          <w:bCs/>
          <w:color w:val="000000"/>
          <w:kern w:val="2"/>
          <w:sz w:val="32"/>
          <w:szCs w:val="32"/>
          <w:lang w:val="en-US" w:eastAsia="zh-CN" w:bidi="ar-SA"/>
        </w:rPr>
        <w:t>项目支出相对上年有增加109.33万元，</w:t>
      </w:r>
      <w:bookmarkStart w:id="0" w:name="_GoBack"/>
      <w:bookmarkEnd w:id="0"/>
      <w:r>
        <w:rPr>
          <w:rFonts w:hint="eastAsia" w:ascii="仿宋_GB2312" w:hAnsi="仿宋_GB2312" w:eastAsia="仿宋_GB2312" w:cs="仿宋_GB2312"/>
          <w:b w:val="0"/>
          <w:bCs/>
          <w:color w:val="000000"/>
          <w:kern w:val="2"/>
          <w:sz w:val="32"/>
          <w:szCs w:val="32"/>
          <w:lang w:val="en-US" w:eastAsia="zh-CN" w:bidi="ar-SA"/>
        </w:rPr>
        <w:t>主要是增加</w:t>
      </w:r>
      <w:r>
        <w:rPr>
          <w:rFonts w:hint="eastAsia" w:ascii="仿宋_GB2312" w:hAnsi="仿宋_GB2312" w:eastAsia="仿宋_GB2312" w:cs="仿宋_GB2312"/>
          <w:b w:val="0"/>
          <w:bCs/>
          <w:color w:val="000000"/>
          <w:sz w:val="32"/>
          <w:szCs w:val="32"/>
          <w:lang w:val="en-US" w:eastAsia="zh-CN"/>
        </w:rPr>
        <w:t>国有企业退休人员社会化管理补助资金</w:t>
      </w:r>
      <w:r>
        <w:rPr>
          <w:rFonts w:hint="eastAsia" w:ascii="仿宋_GB2312" w:hAnsi="仿宋_GB2312" w:eastAsia="仿宋_GB2312" w:cs="仿宋_GB2312"/>
          <w:b w:val="0"/>
          <w:bCs/>
          <w:color w:val="000000"/>
          <w:kern w:val="2"/>
          <w:sz w:val="32"/>
          <w:szCs w:val="32"/>
          <w:lang w:val="en-US" w:eastAsia="zh-CN" w:bidi="ar-SA"/>
        </w:rPr>
        <w:t>。</w:t>
      </w:r>
    </w:p>
    <w:p w14:paraId="1AE5A652">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（四）财政拨款收支总体情况（详见表4）</w:t>
      </w:r>
    </w:p>
    <w:p w14:paraId="56CE0B3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textAlignment w:val="auto"/>
        <w:rPr>
          <w:rFonts w:hint="default"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一般公共预算财政拨款收入为270.58万元，一般公共服务支出270.58万元，比上年增加52.59万元，</w:t>
      </w:r>
      <w:r>
        <w:rPr>
          <w:rFonts w:hint="eastAsia" w:ascii="仿宋_GB2312" w:hAnsi="仿宋_GB2312" w:eastAsia="仿宋_GB2312" w:cs="仿宋_GB2312"/>
          <w:b w:val="0"/>
          <w:bCs/>
          <w:color w:val="auto"/>
          <w:kern w:val="2"/>
          <w:sz w:val="32"/>
          <w:szCs w:val="32"/>
          <w:highlight w:val="none"/>
          <w:lang w:val="en-US" w:eastAsia="zh-CN" w:bidi="ar-SA"/>
        </w:rPr>
        <w:t>主要是项目经费增加。</w:t>
      </w:r>
      <w:r>
        <w:rPr>
          <w:rFonts w:hint="eastAsia" w:ascii="仿宋_GB2312" w:hAnsi="仿宋_GB2312" w:eastAsia="仿宋_GB2312" w:cs="仿宋_GB2312"/>
          <w:b w:val="0"/>
          <w:bCs/>
          <w:color w:val="auto"/>
          <w:kern w:val="2"/>
          <w:sz w:val="32"/>
          <w:szCs w:val="32"/>
          <w:lang w:val="en-US" w:eastAsia="zh-CN" w:bidi="ar-SA"/>
        </w:rPr>
        <w:t>社会保障和就业支出为14.12万元，比上年增加0.41万元。卫生健康支出为10.87万元，比上年增加0.3万元。</w:t>
      </w:r>
    </w:p>
    <w:p w14:paraId="01659D26">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（五）一般公共预算支出情况（详见表5）</w:t>
      </w:r>
    </w:p>
    <w:p w14:paraId="606A2D91">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auto"/>
          <w:sz w:val="32"/>
          <w:szCs w:val="32"/>
          <w:highlight w:val="none"/>
        </w:rPr>
        <w:t>一般公共预算支出总额</w:t>
      </w:r>
      <w:r>
        <w:rPr>
          <w:rFonts w:hint="eastAsia" w:ascii="仿宋_GB2312" w:hAnsi="仿宋_GB2312" w:eastAsia="仿宋_GB2312" w:cs="仿宋_GB2312"/>
          <w:b w:val="0"/>
          <w:bCs/>
          <w:color w:val="auto"/>
          <w:sz w:val="32"/>
          <w:szCs w:val="32"/>
          <w:highlight w:val="none"/>
          <w:lang w:val="en-US" w:eastAsia="zh-CN"/>
        </w:rPr>
        <w:t>284.22</w:t>
      </w:r>
      <w:r>
        <w:rPr>
          <w:rFonts w:hint="eastAsia" w:ascii="仿宋_GB2312" w:hAnsi="仿宋_GB2312" w:eastAsia="仿宋_GB2312" w:cs="仿宋_GB2312"/>
          <w:b w:val="0"/>
          <w:bCs/>
          <w:color w:val="000000"/>
          <w:kern w:val="2"/>
          <w:sz w:val="32"/>
          <w:szCs w:val="32"/>
          <w:lang w:val="en-US" w:eastAsia="zh-CN" w:bidi="ar-SA"/>
        </w:rPr>
        <w:t xml:space="preserve">万元，包括基本支出176.96万元，项目支出107.26万元。 </w:t>
      </w:r>
    </w:p>
    <w:p w14:paraId="7C3BA02D">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（六）一般公共预算基本支出情况（详见表6、7）</w:t>
      </w:r>
    </w:p>
    <w:p w14:paraId="5CF5ED2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基本支出预算176.96 万元，包括人员经费165.33万元，公用经费11.63万元。</w:t>
      </w:r>
    </w:p>
    <w:p w14:paraId="12A60564">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（七）一般公共预算“三公”经费支出情况（详见表8）</w:t>
      </w:r>
    </w:p>
    <w:p w14:paraId="1117D9C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一般公共预算安排“三公”经费预算中，无因公出国（境）费，无公务接待费，无“公务用车购置费”，与2023年相比无变化。</w:t>
      </w:r>
    </w:p>
    <w:p w14:paraId="5E64AD5C">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w:t>
      </w:r>
      <w:r>
        <w:rPr>
          <w:rFonts w:hint="eastAsia" w:ascii="楷体_GB2312" w:hAnsi="楷体_GB2312" w:eastAsia="楷体_GB2312" w:cs="楷体_GB2312"/>
          <w:b w:val="0"/>
          <w:bCs/>
          <w:color w:val="auto"/>
          <w:sz w:val="32"/>
          <w:szCs w:val="32"/>
          <w:highlight w:val="none"/>
          <w:lang w:eastAsia="zh-CN"/>
        </w:rPr>
        <w:t>八</w:t>
      </w:r>
      <w:r>
        <w:rPr>
          <w:rFonts w:hint="eastAsia" w:ascii="楷体_GB2312" w:hAnsi="楷体_GB2312" w:eastAsia="楷体_GB2312" w:cs="楷体_GB2312"/>
          <w:b w:val="0"/>
          <w:bCs/>
          <w:color w:val="auto"/>
          <w:sz w:val="32"/>
          <w:szCs w:val="32"/>
          <w:highlight w:val="none"/>
        </w:rPr>
        <w:t>）政府性基金预算支出情况（详见表</w:t>
      </w:r>
      <w:r>
        <w:rPr>
          <w:rFonts w:hint="eastAsia" w:ascii="楷体_GB2312" w:hAnsi="楷体_GB2312" w:eastAsia="楷体_GB2312" w:cs="楷体_GB2312"/>
          <w:b w:val="0"/>
          <w:bCs/>
          <w:color w:val="auto"/>
          <w:sz w:val="32"/>
          <w:szCs w:val="32"/>
          <w:highlight w:val="none"/>
          <w:lang w:val="en-US" w:eastAsia="zh-CN"/>
        </w:rPr>
        <w:t>9</w:t>
      </w:r>
      <w:r>
        <w:rPr>
          <w:rFonts w:hint="eastAsia" w:ascii="楷体_GB2312" w:hAnsi="楷体_GB2312" w:eastAsia="楷体_GB2312" w:cs="楷体_GB2312"/>
          <w:b w:val="0"/>
          <w:bCs/>
          <w:color w:val="auto"/>
          <w:sz w:val="32"/>
          <w:szCs w:val="32"/>
          <w:highlight w:val="none"/>
        </w:rPr>
        <w:t>）</w:t>
      </w:r>
    </w:p>
    <w:p w14:paraId="307638A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kern w:val="2"/>
          <w:sz w:val="32"/>
          <w:szCs w:val="32"/>
          <w:lang w:val="en-US" w:eastAsia="zh-CN" w:bidi="ar-SA"/>
        </w:rPr>
        <w:t>无政府性基金支出。</w:t>
      </w:r>
    </w:p>
    <w:p w14:paraId="41C5196E">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eastAsia="仿宋_GB2312"/>
          <w:b w:val="0"/>
          <w:bCs/>
          <w:color w:val="auto"/>
          <w:sz w:val="32"/>
          <w:szCs w:val="32"/>
          <w:highlight w:val="none"/>
        </w:rPr>
      </w:pPr>
      <w:r>
        <w:rPr>
          <w:rFonts w:hint="eastAsia" w:ascii="楷体_GB2312" w:eastAsia="楷体_GB2312"/>
          <w:b w:val="0"/>
          <w:bCs/>
          <w:color w:val="auto"/>
          <w:sz w:val="32"/>
          <w:szCs w:val="32"/>
          <w:highlight w:val="none"/>
        </w:rPr>
        <w:t>（</w:t>
      </w:r>
      <w:r>
        <w:rPr>
          <w:rFonts w:hint="eastAsia" w:ascii="楷体_GB2312" w:eastAsia="楷体_GB2312"/>
          <w:b w:val="0"/>
          <w:bCs/>
          <w:color w:val="auto"/>
          <w:sz w:val="32"/>
          <w:szCs w:val="32"/>
          <w:highlight w:val="none"/>
          <w:lang w:val="en-US" w:eastAsia="zh-CN"/>
        </w:rPr>
        <w:t>九</w:t>
      </w:r>
      <w:r>
        <w:rPr>
          <w:rFonts w:hint="eastAsia" w:ascii="楷体_GB2312" w:eastAsia="楷体_GB2312"/>
          <w:b w:val="0"/>
          <w:bCs/>
          <w:color w:val="auto"/>
          <w:sz w:val="32"/>
          <w:szCs w:val="32"/>
          <w:highlight w:val="none"/>
        </w:rPr>
        <w:t>）</w:t>
      </w:r>
      <w:r>
        <w:rPr>
          <w:rFonts w:hint="eastAsia" w:eastAsia="仿宋_GB2312"/>
          <w:b w:val="0"/>
          <w:bCs/>
          <w:color w:val="auto"/>
          <w:sz w:val="32"/>
          <w:szCs w:val="32"/>
          <w:highlight w:val="none"/>
        </w:rPr>
        <w:t>国有资本经营预算支出情况</w:t>
      </w:r>
      <w:r>
        <w:rPr>
          <w:rFonts w:hint="eastAsia" w:ascii="楷体_GB2312" w:hAnsi="楷体_GB2312" w:eastAsia="楷体_GB2312" w:cs="楷体_GB2312"/>
          <w:b w:val="0"/>
          <w:bCs/>
          <w:color w:val="auto"/>
          <w:sz w:val="32"/>
          <w:szCs w:val="32"/>
          <w:highlight w:val="none"/>
        </w:rPr>
        <w:t>（详见表</w:t>
      </w:r>
      <w:r>
        <w:rPr>
          <w:rFonts w:hint="eastAsia" w:ascii="楷体_GB2312" w:hAnsi="楷体_GB2312" w:eastAsia="楷体_GB2312" w:cs="楷体_GB2312"/>
          <w:b w:val="0"/>
          <w:bCs/>
          <w:color w:val="auto"/>
          <w:sz w:val="32"/>
          <w:szCs w:val="32"/>
          <w:highlight w:val="none"/>
          <w:lang w:val="en-US" w:eastAsia="zh-CN"/>
        </w:rPr>
        <w:t>10</w:t>
      </w:r>
      <w:r>
        <w:rPr>
          <w:rFonts w:hint="eastAsia" w:ascii="楷体_GB2312" w:hAnsi="楷体_GB2312" w:eastAsia="楷体_GB2312" w:cs="楷体_GB2312"/>
          <w:b w:val="0"/>
          <w:bCs/>
          <w:color w:val="auto"/>
          <w:sz w:val="32"/>
          <w:szCs w:val="32"/>
          <w:highlight w:val="none"/>
        </w:rPr>
        <w:t>）</w:t>
      </w:r>
    </w:p>
    <w:p w14:paraId="2F61934D">
      <w:pPr>
        <w:keepNext w:val="0"/>
        <w:keepLines w:val="0"/>
        <w:widowControl w:val="0"/>
        <w:kinsoku/>
        <w:wordWrap/>
        <w:overflowPunct/>
        <w:topLinePunct w:val="0"/>
        <w:autoSpaceDE/>
        <w:autoSpaceDN/>
        <w:bidi w:val="0"/>
        <w:adjustRightInd/>
        <w:snapToGrid/>
        <w:spacing w:line="554" w:lineRule="exact"/>
        <w:ind w:firstLine="632" w:firstLineChars="200"/>
        <w:jc w:val="left"/>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国有企业退休人员社会化管理补助资金包括上年结转共139.60万元。</w:t>
      </w:r>
    </w:p>
    <w:p w14:paraId="16662ECF">
      <w:pPr>
        <w:keepNext w:val="0"/>
        <w:keepLines w:val="0"/>
        <w:widowControl w:val="0"/>
        <w:kinsoku/>
        <w:wordWrap/>
        <w:overflowPunct/>
        <w:topLinePunct w:val="0"/>
        <w:autoSpaceDE/>
        <w:autoSpaceDN/>
        <w:bidi w:val="0"/>
        <w:adjustRightInd/>
        <w:snapToGrid/>
        <w:spacing w:line="554" w:lineRule="exact"/>
        <w:ind w:firstLine="632" w:firstLineChars="200"/>
        <w:jc w:val="left"/>
        <w:textAlignment w:val="auto"/>
        <w:rPr>
          <w:rFonts w:ascii="楷体_GB2312" w:hAnsi="楷体_GB2312" w:eastAsia="楷体_GB2312" w:cs="楷体_GB2312"/>
          <w:b w:val="0"/>
          <w:bCs/>
          <w:color w:val="auto"/>
          <w:sz w:val="32"/>
          <w:szCs w:val="32"/>
          <w:highlight w:val="none"/>
        </w:rPr>
      </w:pPr>
      <w:r>
        <w:rPr>
          <w:rFonts w:hint="eastAsia" w:ascii="楷体_GB2312" w:hAnsi="Times New Roman" w:eastAsia="楷体_GB2312" w:cs="Times New Roman"/>
          <w:b w:val="0"/>
          <w:bCs/>
          <w:color w:val="auto"/>
          <w:sz w:val="32"/>
          <w:szCs w:val="32"/>
          <w:highlight w:val="none"/>
        </w:rPr>
        <w:t>（十）</w:t>
      </w:r>
      <w:r>
        <w:rPr>
          <w:rFonts w:hint="eastAsia" w:ascii="楷体_GB2312" w:hAnsi="楷体_GB2312" w:eastAsia="楷体_GB2312" w:cs="楷体_GB2312"/>
          <w:b w:val="0"/>
          <w:bCs/>
          <w:color w:val="auto"/>
          <w:sz w:val="32"/>
          <w:szCs w:val="32"/>
          <w:highlight w:val="none"/>
        </w:rPr>
        <w:t>部门整体支出绩效目标情况（详见表1</w:t>
      </w:r>
      <w:r>
        <w:rPr>
          <w:rFonts w:hint="eastAsia" w:ascii="楷体_GB2312" w:hAnsi="楷体_GB2312" w:eastAsia="楷体_GB2312" w:cs="楷体_GB2312"/>
          <w:b w:val="0"/>
          <w:bCs/>
          <w:color w:val="auto"/>
          <w:sz w:val="32"/>
          <w:szCs w:val="32"/>
          <w:highlight w:val="none"/>
          <w:lang w:val="en-US" w:eastAsia="zh-CN"/>
        </w:rPr>
        <w:t>1</w:t>
      </w:r>
      <w:r>
        <w:rPr>
          <w:rFonts w:hint="eastAsia" w:ascii="楷体_GB2312" w:hAnsi="楷体_GB2312" w:eastAsia="楷体_GB2312" w:cs="楷体_GB2312"/>
          <w:b w:val="0"/>
          <w:bCs/>
          <w:color w:val="auto"/>
          <w:sz w:val="32"/>
          <w:szCs w:val="32"/>
          <w:highlight w:val="none"/>
        </w:rPr>
        <w:t>）</w:t>
      </w:r>
    </w:p>
    <w:p w14:paraId="78162CAC">
      <w:pPr>
        <w:keepNext w:val="0"/>
        <w:keepLines w:val="0"/>
        <w:widowControl w:val="0"/>
        <w:kinsoku/>
        <w:wordWrap/>
        <w:overflowPunct/>
        <w:topLinePunct w:val="0"/>
        <w:autoSpaceDE/>
        <w:autoSpaceDN/>
        <w:bidi w:val="0"/>
        <w:adjustRightInd/>
        <w:snapToGrid/>
        <w:spacing w:line="554" w:lineRule="exact"/>
        <w:ind w:firstLine="632" w:firstLineChars="200"/>
        <w:jc w:val="left"/>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做好档案的安全保管和查阅利用工作，做好档案清点及接收外单位档案、馆藏档案数字化，完成《花溪年鉴2024》编辑终审工作，公开出版印刷，完成《花溪区传统村落志》编辑工作，公开印刷出版；展现去年花溪经济社会发展情况。编纂出版为社会提供利用服务。保障机关工作正常高效运转。为党委、政府各单位、专家、学者及广大利用者提供利用，群众满意度95%以上。</w:t>
      </w:r>
    </w:p>
    <w:p w14:paraId="184CC19A">
      <w:pPr>
        <w:keepNext w:val="0"/>
        <w:keepLines w:val="0"/>
        <w:widowControl w:val="0"/>
        <w:kinsoku/>
        <w:wordWrap/>
        <w:overflowPunct/>
        <w:topLinePunct w:val="0"/>
        <w:autoSpaceDE/>
        <w:autoSpaceDN/>
        <w:bidi w:val="0"/>
        <w:adjustRightInd/>
        <w:snapToGrid/>
        <w:spacing w:line="554" w:lineRule="exact"/>
        <w:ind w:firstLine="316" w:firstLineChars="100"/>
        <w:jc w:val="left"/>
        <w:textAlignment w:val="auto"/>
        <w:rPr>
          <w:rFonts w:ascii="楷体_GB2312" w:hAnsi="楷体_GB2312" w:eastAsia="楷体_GB2312" w:cs="楷体_GB2312"/>
          <w:bCs/>
          <w:color w:val="auto"/>
          <w:sz w:val="32"/>
          <w:szCs w:val="32"/>
          <w:highlight w:val="none"/>
        </w:rPr>
      </w:pPr>
      <w:r>
        <w:rPr>
          <w:rFonts w:hint="eastAsia" w:ascii="仿宋_GB2312" w:hAnsi="仿宋_GB2312" w:eastAsia="仿宋_GB2312" w:cs="仿宋_GB2312"/>
          <w:b w:val="0"/>
          <w:bCs/>
          <w:color w:val="000000"/>
          <w:kern w:val="2"/>
          <w:sz w:val="32"/>
          <w:szCs w:val="32"/>
          <w:lang w:val="en-US" w:eastAsia="zh-CN" w:bidi="ar-SA"/>
        </w:rPr>
        <w:t xml:space="preserve"> </w:t>
      </w:r>
      <w:r>
        <w:rPr>
          <w:rFonts w:hint="eastAsia" w:ascii="楷体_GB2312" w:hAnsi="楷体_GB2312" w:eastAsia="楷体_GB2312" w:cs="楷体_GB2312"/>
          <w:bCs/>
          <w:color w:val="auto"/>
          <w:sz w:val="32"/>
          <w:szCs w:val="32"/>
          <w:highlight w:val="none"/>
        </w:rPr>
        <w:t>（十</w:t>
      </w:r>
      <w:r>
        <w:rPr>
          <w:rFonts w:hint="eastAsia" w:ascii="楷体_GB2312" w:hAnsi="楷体_GB2312" w:eastAsia="楷体_GB2312" w:cs="楷体_GB2312"/>
          <w:bCs/>
          <w:color w:val="auto"/>
          <w:sz w:val="32"/>
          <w:szCs w:val="32"/>
          <w:highlight w:val="none"/>
          <w:lang w:val="en-US" w:eastAsia="zh-CN"/>
        </w:rPr>
        <w:t>一</w:t>
      </w:r>
      <w:r>
        <w:rPr>
          <w:rFonts w:hint="eastAsia" w:ascii="楷体_GB2312" w:hAnsi="楷体_GB2312" w:eastAsia="楷体_GB2312" w:cs="楷体_GB2312"/>
          <w:bCs/>
          <w:color w:val="auto"/>
          <w:sz w:val="32"/>
          <w:szCs w:val="32"/>
          <w:highlight w:val="none"/>
        </w:rPr>
        <w:t>）重点项目支出绩效目标情况（详见表1</w:t>
      </w:r>
      <w:r>
        <w:rPr>
          <w:rFonts w:hint="eastAsia" w:ascii="楷体_GB2312" w:hAnsi="楷体_GB2312" w:eastAsia="楷体_GB2312" w:cs="楷体_GB2312"/>
          <w:bCs/>
          <w:color w:val="auto"/>
          <w:sz w:val="32"/>
          <w:szCs w:val="32"/>
          <w:highlight w:val="none"/>
          <w:lang w:val="en-US" w:eastAsia="zh-CN"/>
        </w:rPr>
        <w:t>2</w:t>
      </w:r>
      <w:r>
        <w:rPr>
          <w:rFonts w:hint="eastAsia" w:ascii="楷体_GB2312" w:hAnsi="楷体_GB2312" w:eastAsia="楷体_GB2312" w:cs="楷体_GB2312"/>
          <w:bCs/>
          <w:color w:val="auto"/>
          <w:sz w:val="32"/>
          <w:szCs w:val="32"/>
          <w:highlight w:val="none"/>
        </w:rPr>
        <w:t>、1</w:t>
      </w:r>
      <w:r>
        <w:rPr>
          <w:rFonts w:hint="eastAsia" w:ascii="楷体_GB2312" w:hAnsi="楷体_GB2312" w:eastAsia="楷体_GB2312" w:cs="楷体_GB2312"/>
          <w:bCs/>
          <w:color w:val="auto"/>
          <w:sz w:val="32"/>
          <w:szCs w:val="32"/>
          <w:highlight w:val="none"/>
          <w:lang w:val="en-US" w:eastAsia="zh-CN"/>
        </w:rPr>
        <w:t>3</w:t>
      </w:r>
      <w:r>
        <w:rPr>
          <w:rFonts w:hint="eastAsia" w:ascii="楷体_GB2312" w:hAnsi="楷体_GB2312" w:eastAsia="楷体_GB2312" w:cs="楷体_GB2312"/>
          <w:bCs/>
          <w:color w:val="auto"/>
          <w:sz w:val="32"/>
          <w:szCs w:val="32"/>
          <w:highlight w:val="none"/>
        </w:rPr>
        <w:t>）</w:t>
      </w:r>
    </w:p>
    <w:p w14:paraId="123AAFB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部门预算中重点项目支出预算为246.86万元，重点项目预算绩效目标主要用于以下支出：</w:t>
      </w:r>
    </w:p>
    <w:p w14:paraId="0D90B33B">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编辑出版2024年花溪年鉴经费38.22万元（含上年花溪年鉴的尾款）。</w:t>
      </w:r>
    </w:p>
    <w:p w14:paraId="598FF744">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编辑出版花溪区传统村落志经费24.96万元。</w:t>
      </w:r>
    </w:p>
    <w:p w14:paraId="34BD2FA9">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花溪区档案馆数字平台建设项目经费13.93万元。</w:t>
      </w:r>
    </w:p>
    <w:p w14:paraId="334641C9">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四、其他重要事项说明（每一项必须说明）</w:t>
      </w:r>
    </w:p>
    <w:p w14:paraId="7AD5EB73">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楷体_GB2312" w:hAnsi="楷体_GB2312" w:eastAsia="楷体_GB2312" w:cs="楷体_GB2312"/>
          <w:bCs/>
          <w:color w:val="auto"/>
          <w:sz w:val="32"/>
          <w:szCs w:val="32"/>
          <w:highlight w:val="none"/>
        </w:rPr>
        <w:t>（一）</w:t>
      </w:r>
      <w:r>
        <w:rPr>
          <w:rFonts w:hint="eastAsia" w:ascii="楷体_GB2312" w:hAnsi="楷体_GB2312" w:eastAsia="楷体_GB2312" w:cs="楷体_GB2312"/>
          <w:bCs/>
          <w:color w:val="auto"/>
          <w:sz w:val="32"/>
          <w:szCs w:val="32"/>
          <w:highlight w:val="none"/>
        </w:rPr>
        <w:tab/>
      </w:r>
      <w:r>
        <w:rPr>
          <w:rFonts w:hint="eastAsia" w:ascii="楷体_GB2312" w:hAnsi="楷体_GB2312" w:eastAsia="楷体_GB2312" w:cs="楷体_GB2312"/>
          <w:bCs/>
          <w:color w:val="auto"/>
          <w:sz w:val="32"/>
          <w:szCs w:val="32"/>
          <w:highlight w:val="none"/>
        </w:rPr>
        <w:t>机关运行经费情况：</w:t>
      </w:r>
      <w:r>
        <w:rPr>
          <w:rFonts w:hint="eastAsia" w:ascii="仿宋_GB2312" w:hAnsi="仿宋_GB2312" w:eastAsia="仿宋_GB2312" w:cs="仿宋_GB2312"/>
          <w:bCs/>
          <w:color w:val="auto"/>
          <w:sz w:val="32"/>
          <w:szCs w:val="32"/>
          <w:highlight w:val="none"/>
        </w:rPr>
        <w:t>今年我单位的机关（机构）运行经费财政拨款预算</w:t>
      </w:r>
      <w:r>
        <w:rPr>
          <w:rFonts w:hint="eastAsia" w:ascii="仿宋_GB2312" w:hAnsi="仿宋_GB2312" w:eastAsia="仿宋_GB2312" w:cs="仿宋_GB2312"/>
          <w:bCs/>
          <w:color w:val="auto"/>
          <w:sz w:val="32"/>
          <w:szCs w:val="32"/>
          <w:highlight w:val="none"/>
          <w:lang w:val="en-US" w:eastAsia="zh-CN"/>
        </w:rPr>
        <w:t>15.67</w:t>
      </w:r>
      <w:r>
        <w:rPr>
          <w:rFonts w:hint="eastAsia" w:ascii="仿宋_GB2312" w:hAnsi="仿宋_GB2312" w:eastAsia="仿宋_GB2312" w:cs="仿宋_GB2312"/>
          <w:bCs/>
          <w:color w:val="auto"/>
          <w:sz w:val="32"/>
          <w:szCs w:val="32"/>
          <w:highlight w:val="none"/>
        </w:rPr>
        <w:t>万元，比上年预算</w:t>
      </w:r>
      <w:r>
        <w:rPr>
          <w:rFonts w:hint="eastAsia" w:ascii="仿宋_GB2312" w:hAnsi="仿宋_GB2312" w:eastAsia="仿宋_GB2312" w:cs="仿宋_GB2312"/>
          <w:bCs/>
          <w:color w:val="auto"/>
          <w:sz w:val="32"/>
          <w:szCs w:val="32"/>
          <w:highlight w:val="none"/>
          <w:lang w:val="en-US" w:eastAsia="zh-CN"/>
        </w:rPr>
        <w:t>增加1.52</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val="en-US" w:eastAsia="zh-CN"/>
        </w:rPr>
        <w:t>增加10.7</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增</w:t>
      </w:r>
      <w:r>
        <w:rPr>
          <w:rFonts w:hint="eastAsia" w:ascii="仿宋_GB2312" w:hAnsi="仿宋_GB2312" w:eastAsia="仿宋_GB2312" w:cs="仿宋_GB2312"/>
          <w:bCs/>
          <w:color w:val="auto"/>
          <w:sz w:val="32"/>
          <w:szCs w:val="32"/>
          <w:highlight w:val="none"/>
          <w:lang w:val="en-US" w:eastAsia="zh-CN"/>
        </w:rPr>
        <w:t>加</w:t>
      </w:r>
      <w:r>
        <w:rPr>
          <w:rFonts w:hint="eastAsia" w:ascii="仿宋_GB2312" w:hAnsi="仿宋_GB2312" w:eastAsia="仿宋_GB2312" w:cs="仿宋_GB2312"/>
          <w:bCs/>
          <w:color w:val="auto"/>
          <w:sz w:val="32"/>
          <w:szCs w:val="32"/>
          <w:highlight w:val="none"/>
          <w:lang w:eastAsia="zh-CN"/>
        </w:rPr>
        <w:t>原因为</w:t>
      </w:r>
      <w:r>
        <w:rPr>
          <w:rFonts w:hint="eastAsia" w:ascii="仿宋_GB2312" w:hAnsi="仿宋_GB2312" w:eastAsia="仿宋_GB2312" w:cs="仿宋_GB2312"/>
          <w:bCs/>
          <w:color w:val="auto"/>
          <w:sz w:val="32"/>
          <w:szCs w:val="32"/>
          <w:highlight w:val="none"/>
          <w:lang w:val="en-US" w:eastAsia="zh-CN"/>
        </w:rPr>
        <w:t>机改参公人员增加，公务交通补贴增加2.4万元。</w:t>
      </w:r>
    </w:p>
    <w:p w14:paraId="75C87033">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14:paraId="5A72C8A8">
      <w:pPr>
        <w:keepNext w:val="0"/>
        <w:keepLines w:val="0"/>
        <w:widowControl w:val="0"/>
        <w:numPr>
          <w:ilvl w:val="0"/>
          <w:numId w:val="2"/>
        </w:numPr>
        <w:kinsoku/>
        <w:wordWrap/>
        <w:overflowPunct/>
        <w:topLinePunct w:val="0"/>
        <w:autoSpaceDE/>
        <w:autoSpaceDN/>
        <w:bidi w:val="0"/>
        <w:adjustRightInd/>
        <w:snapToGrid/>
        <w:spacing w:line="554" w:lineRule="exact"/>
        <w:ind w:left="0" w:leftChars="0" w:firstLine="632" w:firstLineChars="200"/>
        <w:textAlignment w:val="auto"/>
        <w:rPr>
          <w:rFonts w:ascii="仿宋_GB2312" w:hAnsi="仿宋_GB2312" w:eastAsia="仿宋_GB2312" w:cs="仿宋_GB2312"/>
          <w:bCs/>
          <w:color w:val="auto"/>
          <w:sz w:val="32"/>
          <w:szCs w:val="32"/>
          <w:highlight w:val="none"/>
        </w:rPr>
      </w:pPr>
      <w:r>
        <w:rPr>
          <w:rFonts w:hint="eastAsia" w:ascii="楷体_GB2312" w:hAnsi="楷体_GB2312" w:eastAsia="楷体_GB2312" w:cs="楷体_GB2312"/>
          <w:bCs/>
          <w:color w:val="auto"/>
          <w:sz w:val="32"/>
          <w:szCs w:val="32"/>
          <w:highlight w:val="none"/>
        </w:rPr>
        <w:t>政府采购情况：</w:t>
      </w:r>
      <w:r>
        <w:rPr>
          <w:rFonts w:hint="eastAsia" w:ascii="仿宋_GB2312" w:hAnsi="仿宋_GB2312" w:eastAsia="仿宋_GB2312" w:cs="仿宋_GB2312"/>
          <w:bCs/>
          <w:color w:val="auto"/>
          <w:sz w:val="32"/>
          <w:szCs w:val="32"/>
          <w:highlight w:val="none"/>
        </w:rPr>
        <w:t>今年我单位政府采购预算总额</w:t>
      </w:r>
      <w:r>
        <w:rPr>
          <w:rFonts w:hint="eastAsia" w:ascii="仿宋_GB2312" w:hAnsi="仿宋_GB2312" w:eastAsia="仿宋_GB2312" w:cs="仿宋_GB2312"/>
          <w:bCs/>
          <w:color w:val="auto"/>
          <w:sz w:val="32"/>
          <w:szCs w:val="32"/>
          <w:highlight w:val="none"/>
          <w:lang w:val="en-US" w:eastAsia="zh-CN"/>
        </w:rPr>
        <w:t>77.12</w:t>
      </w:r>
      <w:r>
        <w:rPr>
          <w:rFonts w:hint="eastAsia" w:ascii="仿宋_GB2312" w:hAnsi="仿宋_GB2312" w:eastAsia="仿宋_GB2312" w:cs="仿宋_GB2312"/>
          <w:bCs/>
          <w:color w:val="auto"/>
          <w:sz w:val="32"/>
          <w:szCs w:val="32"/>
          <w:highlight w:val="none"/>
        </w:rPr>
        <w:t>万元，其中：政府采购货物预算</w:t>
      </w:r>
      <w:r>
        <w:rPr>
          <w:rFonts w:hint="eastAsia" w:ascii="仿宋_GB2312" w:hAnsi="仿宋_GB2312" w:eastAsia="仿宋_GB2312" w:cs="仿宋_GB2312"/>
          <w:bCs/>
          <w:color w:val="auto"/>
          <w:sz w:val="32"/>
          <w:szCs w:val="32"/>
          <w:highlight w:val="none"/>
          <w:lang w:val="en-US" w:eastAsia="zh-CN"/>
        </w:rPr>
        <w:t>77.12</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w:t>
      </w:r>
    </w:p>
    <w:p w14:paraId="781E0A47">
      <w:pPr>
        <w:keepNext w:val="0"/>
        <w:keepLines w:val="0"/>
        <w:widowControl w:val="0"/>
        <w:numPr>
          <w:ilvl w:val="0"/>
          <w:numId w:val="2"/>
        </w:numPr>
        <w:kinsoku/>
        <w:wordWrap/>
        <w:overflowPunct/>
        <w:topLinePunct w:val="0"/>
        <w:autoSpaceDE/>
        <w:autoSpaceDN/>
        <w:bidi w:val="0"/>
        <w:adjustRightInd/>
        <w:snapToGrid/>
        <w:spacing w:line="554" w:lineRule="exact"/>
        <w:ind w:left="0" w:leftChars="0" w:firstLine="632" w:firstLineChars="200"/>
        <w:textAlignment w:val="auto"/>
        <w:rPr>
          <w:rFonts w:ascii="仿宋_GB2312" w:hAnsi="仿宋_GB2312" w:eastAsia="仿宋_GB2312" w:cs="仿宋_GB2312"/>
          <w:bCs/>
          <w:color w:val="auto"/>
          <w:sz w:val="32"/>
          <w:szCs w:val="32"/>
          <w:highlight w:val="none"/>
        </w:rPr>
      </w:pPr>
      <w:r>
        <w:rPr>
          <w:rFonts w:hint="eastAsia" w:ascii="楷体_GB2312" w:hAnsi="楷体_GB2312" w:eastAsia="楷体_GB2312" w:cs="楷体_GB2312"/>
          <w:bCs/>
          <w:color w:val="auto"/>
          <w:sz w:val="32"/>
          <w:szCs w:val="32"/>
          <w:highlight w:val="none"/>
        </w:rPr>
        <w:t>国有资产占有使用情况：</w:t>
      </w:r>
      <w:r>
        <w:rPr>
          <w:rFonts w:hint="eastAsia" w:ascii="仿宋_GB2312" w:hAnsi="仿宋_GB2312" w:eastAsia="仿宋_GB2312" w:cs="仿宋_GB2312"/>
          <w:bCs/>
          <w:color w:val="auto"/>
          <w:sz w:val="32"/>
          <w:szCs w:val="32"/>
          <w:highlight w:val="none"/>
        </w:rPr>
        <w:t>截止今年年初，本单位国有资产合计</w:t>
      </w:r>
      <w:r>
        <w:rPr>
          <w:rFonts w:hint="eastAsia" w:ascii="仿宋_GB2312" w:hAnsi="仿宋_GB2312" w:eastAsia="仿宋_GB2312" w:cs="仿宋_GB2312"/>
          <w:bCs/>
          <w:color w:val="auto"/>
          <w:sz w:val="32"/>
          <w:szCs w:val="32"/>
          <w:highlight w:val="none"/>
          <w:lang w:val="en-US" w:eastAsia="zh-CN"/>
        </w:rPr>
        <w:t>643.93</w:t>
      </w:r>
      <w:r>
        <w:rPr>
          <w:rFonts w:hint="eastAsia" w:ascii="仿宋_GB2312" w:hAnsi="仿宋_GB2312" w:eastAsia="仿宋_GB2312" w:cs="仿宋_GB2312"/>
          <w:bCs/>
          <w:color w:val="auto"/>
          <w:sz w:val="32"/>
          <w:szCs w:val="32"/>
          <w:highlight w:val="none"/>
        </w:rPr>
        <w:t>万元，其中流动资产</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万元，固定资产</w:t>
      </w:r>
      <w:r>
        <w:rPr>
          <w:rFonts w:hint="eastAsia" w:ascii="仿宋_GB2312" w:hAnsi="仿宋_GB2312" w:eastAsia="仿宋_GB2312" w:cs="仿宋_GB2312"/>
          <w:bCs/>
          <w:color w:val="auto"/>
          <w:sz w:val="32"/>
          <w:szCs w:val="32"/>
          <w:highlight w:val="none"/>
          <w:lang w:val="en-US" w:eastAsia="zh-CN"/>
        </w:rPr>
        <w:t>643.93</w:t>
      </w:r>
      <w:r>
        <w:rPr>
          <w:rFonts w:hint="eastAsia" w:ascii="仿宋_GB2312" w:hAnsi="仿宋_GB2312" w:eastAsia="仿宋_GB2312" w:cs="仿宋_GB2312"/>
          <w:bCs/>
          <w:color w:val="auto"/>
          <w:sz w:val="32"/>
          <w:szCs w:val="32"/>
          <w:highlight w:val="none"/>
        </w:rPr>
        <w:t>万元。单位机关及其所属预算单位共有车辆</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辆，其中，一般公务用车</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辆、一般执法执勤用车</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辆、特种专业技术用车</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辆、其他用车</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辆。单位价值200 万元以上大型设备</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台（套）。</w:t>
      </w:r>
    </w:p>
    <w:p w14:paraId="76562EFA">
      <w:pPr>
        <w:keepNext w:val="0"/>
        <w:keepLines w:val="0"/>
        <w:widowControl w:val="0"/>
        <w:numPr>
          <w:ilvl w:val="0"/>
          <w:numId w:val="2"/>
        </w:numPr>
        <w:kinsoku/>
        <w:wordWrap/>
        <w:overflowPunct/>
        <w:topLinePunct w:val="0"/>
        <w:autoSpaceDE/>
        <w:autoSpaceDN/>
        <w:bidi w:val="0"/>
        <w:adjustRightInd/>
        <w:snapToGrid/>
        <w:spacing w:line="554" w:lineRule="exact"/>
        <w:ind w:left="0" w:leftChars="0" w:firstLine="632" w:firstLineChars="200"/>
        <w:textAlignment w:val="auto"/>
        <w:rPr>
          <w:rFonts w:ascii="仿宋_GB2312" w:hAnsi="仿宋_GB2312" w:eastAsia="仿宋_GB2312" w:cs="仿宋_GB2312"/>
          <w:bCs/>
          <w:color w:val="auto"/>
          <w:sz w:val="32"/>
          <w:szCs w:val="32"/>
          <w:highlight w:val="none"/>
        </w:rPr>
      </w:pPr>
      <w:r>
        <w:rPr>
          <w:rFonts w:hint="eastAsia" w:ascii="楷体_GB2312" w:hAnsi="楷体_GB2312" w:eastAsia="楷体_GB2312" w:cs="楷体_GB2312"/>
          <w:bCs/>
          <w:color w:val="auto"/>
          <w:sz w:val="32"/>
          <w:szCs w:val="32"/>
          <w:highlight w:val="none"/>
        </w:rPr>
        <w:t>预算绩效管理情况</w:t>
      </w:r>
      <w:r>
        <w:rPr>
          <w:rFonts w:hint="eastAsia" w:ascii="楷体_GB2312" w:hAnsi="楷体_GB2312" w:eastAsia="楷体_GB2312" w:cs="楷体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eastAsia="zh-CN"/>
        </w:rPr>
        <w:t>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年，实行绩效目标管理的项目</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个，涉及财政拨款预算</w:t>
      </w:r>
      <w:r>
        <w:rPr>
          <w:rFonts w:hint="eastAsia" w:ascii="仿宋_GB2312" w:hAnsi="仿宋_GB2312" w:eastAsia="仿宋_GB2312" w:cs="仿宋_GB2312"/>
          <w:bCs/>
          <w:color w:val="auto"/>
          <w:sz w:val="32"/>
          <w:szCs w:val="32"/>
          <w:highlight w:val="none"/>
          <w:lang w:val="en-US" w:eastAsia="zh-CN"/>
        </w:rPr>
        <w:t>77.12</w:t>
      </w:r>
      <w:r>
        <w:rPr>
          <w:rFonts w:hint="eastAsia" w:ascii="仿宋_GB2312" w:hAnsi="仿宋_GB2312" w:eastAsia="仿宋_GB2312" w:cs="仿宋_GB2312"/>
          <w:bCs/>
          <w:color w:val="auto"/>
          <w:sz w:val="32"/>
          <w:szCs w:val="32"/>
          <w:highlight w:val="none"/>
        </w:rPr>
        <w:t>万元。</w:t>
      </w:r>
    </w:p>
    <w:p w14:paraId="40F8E16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Cs/>
          <w:color w:val="auto"/>
          <w:sz w:val="32"/>
          <w:szCs w:val="32"/>
          <w:highlight w:val="none"/>
          <w:lang w:eastAsia="zh-CN"/>
        </w:rPr>
      </w:pPr>
      <w:r>
        <w:rPr>
          <w:rFonts w:hint="eastAsia" w:ascii="楷体_GB2312" w:hAnsi="楷体_GB2312" w:eastAsia="楷体_GB2312" w:cs="楷体_GB2312"/>
          <w:bCs/>
          <w:color w:val="auto"/>
          <w:sz w:val="32"/>
          <w:szCs w:val="32"/>
          <w:highlight w:val="none"/>
        </w:rPr>
        <w:t>（五）项目支出安排情况</w:t>
      </w:r>
      <w:r>
        <w:rPr>
          <w:rFonts w:hint="eastAsia" w:ascii="楷体_GB2312" w:hAnsi="楷体_GB2312" w:eastAsia="楷体_GB2312" w:cs="楷体_GB2312"/>
          <w:bCs/>
          <w:color w:val="auto"/>
          <w:sz w:val="32"/>
          <w:szCs w:val="32"/>
          <w:highlight w:val="none"/>
          <w:lang w:eastAsia="zh-CN"/>
        </w:rPr>
        <w:t>：</w:t>
      </w:r>
    </w:p>
    <w:p w14:paraId="176DCC8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1.编辑出版2024年花溪年鉴的编辑出版38.23万元（含上年花溪年鉴的尾款）。</w:t>
      </w:r>
    </w:p>
    <w:p w14:paraId="37168C9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2.编辑出版花溪区传统村落志经费24.96万元。</w:t>
      </w:r>
    </w:p>
    <w:p w14:paraId="0E94A45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textAlignment w:val="auto"/>
        <w:rPr>
          <w:rFonts w:hint="default" w:ascii="楷体_GB2312" w:hAnsi="楷体_GB2312" w:eastAsia="楷体_GB2312" w:cs="楷体_GB2312"/>
          <w:b w:val="0"/>
          <w:bCs/>
          <w:sz w:val="32"/>
          <w:szCs w:val="32"/>
          <w:lang w:val="en-US"/>
        </w:rPr>
      </w:pPr>
      <w:r>
        <w:rPr>
          <w:rFonts w:hint="eastAsia" w:ascii="仿宋_GB2312" w:hAnsi="仿宋_GB2312" w:eastAsia="仿宋_GB2312" w:cs="仿宋_GB2312"/>
          <w:b w:val="0"/>
          <w:bCs/>
          <w:color w:val="000000"/>
          <w:kern w:val="2"/>
          <w:sz w:val="32"/>
          <w:szCs w:val="32"/>
          <w:lang w:val="en-US" w:eastAsia="zh-CN" w:bidi="ar-SA"/>
        </w:rPr>
        <w:t>3.花溪区档案馆数字平台建设项目经费13.93万元。</w:t>
      </w:r>
    </w:p>
    <w:p w14:paraId="0455835E">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（六）专有名词解释</w:t>
      </w:r>
    </w:p>
    <w:p w14:paraId="5D0BB126">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三公”经费：纳入财政预决算管理的“三公”经费是指用财政拨款安排的因公出国（境）费、公务用车购置及运行维护费和公务接待费。其中，因公出国（境）费反映单位因公出国（境）的住宿费、旅费、伙食补助费、杂费、培训费等支出；公务用车购置及运行维护费反映单位公务用车购置费及租用费、燃料费、过路过桥费、保险费、安全奖励费等支出；公务接待费指单位按规定开支的各类公务接待（含外宾接待）支出。</w:t>
      </w:r>
    </w:p>
    <w:p w14:paraId="0F2F2252">
      <w:pPr>
        <w:autoSpaceDE w:val="0"/>
        <w:autoSpaceDN w:val="0"/>
        <w:adjustRightInd w:val="0"/>
        <w:spacing w:line="572" w:lineRule="exact"/>
        <w:ind w:firstLine="643"/>
        <w:rPr>
          <w:rFonts w:hint="eastAsia" w:ascii="仿宋_GB2312" w:eastAsia="仿宋_GB2312"/>
          <w:b w:val="0"/>
          <w:bCs/>
          <w:sz w:val="32"/>
        </w:rPr>
      </w:pPr>
      <w:r>
        <w:rPr>
          <w:rFonts w:hint="eastAsia" w:ascii="仿宋_GB2312" w:hAnsi="Times New Roman" w:eastAsia="仿宋_GB2312" w:cs="Times New Roman"/>
          <w:b w:val="0"/>
          <w:bCs/>
          <w:sz w:val="32"/>
          <w:lang w:val="en-US" w:eastAsia="zh-CN"/>
        </w:rPr>
        <w:t>2、一般公共服务支出（201类）档案事务（20126款）档案馆（2012604项）：反</w:t>
      </w:r>
      <w:r>
        <w:rPr>
          <w:rFonts w:hint="eastAsia" w:ascii="仿宋_GB2312" w:eastAsia="仿宋_GB2312"/>
          <w:b w:val="0"/>
          <w:bCs/>
          <w:sz w:val="32"/>
          <w:lang w:val="en-US" w:eastAsia="zh-CN"/>
        </w:rPr>
        <w:t>应中央和地方各级档案馆的支出，包括档案资料征集，档案抢救、保护、编纂、修复、现代化管理，档案信息资源开发、提供、利用，档案馆设置、维护，档案信息资源开发、提供、利用，档案馆设施购置、维护，档案陈列展览等方面的支出</w:t>
      </w:r>
      <w:r>
        <w:rPr>
          <w:rFonts w:hint="eastAsia" w:ascii="仿宋_GB2312" w:eastAsia="仿宋_GB2312"/>
          <w:b w:val="0"/>
          <w:bCs/>
          <w:sz w:val="32"/>
        </w:rPr>
        <w:t>。</w:t>
      </w:r>
    </w:p>
    <w:p w14:paraId="7BA91B90">
      <w:pPr>
        <w:autoSpaceDE w:val="0"/>
        <w:autoSpaceDN w:val="0"/>
        <w:adjustRightInd w:val="0"/>
        <w:spacing w:line="560" w:lineRule="exact"/>
        <w:ind w:firstLine="643"/>
        <w:rPr>
          <w:rFonts w:hint="default" w:eastAsia="仿宋_GB2312"/>
          <w:b w:val="0"/>
          <w:bCs/>
          <w:color w:val="auto"/>
          <w:sz w:val="32"/>
        </w:rPr>
      </w:pPr>
      <w:r>
        <w:rPr>
          <w:rFonts w:hint="eastAsia" w:ascii="楷体_GB2312" w:eastAsia="楷体_GB2312"/>
          <w:b w:val="0"/>
          <w:bCs/>
          <w:sz w:val="32"/>
          <w:lang w:val="en-US" w:eastAsia="zh-CN"/>
        </w:rPr>
        <w:t>3、</w:t>
      </w:r>
      <w:r>
        <w:rPr>
          <w:rFonts w:hint="eastAsia" w:ascii="仿宋_GB2312" w:hAnsi="仿宋_GB2312" w:eastAsia="仿宋_GB2312"/>
          <w:b w:val="0"/>
          <w:bCs/>
          <w:sz w:val="32"/>
        </w:rPr>
        <w:t>社会保障和就业支出科目（208类）行政事业单位</w:t>
      </w:r>
      <w:r>
        <w:rPr>
          <w:rFonts w:hint="eastAsia" w:ascii="仿宋_GB2312" w:hAnsi="仿宋_GB2312" w:eastAsia="仿宋_GB2312"/>
          <w:b w:val="0"/>
          <w:bCs/>
          <w:sz w:val="32"/>
          <w:lang w:eastAsia="zh-CN"/>
        </w:rPr>
        <w:t>养老支出</w:t>
      </w:r>
      <w:r>
        <w:rPr>
          <w:rFonts w:hint="eastAsia" w:ascii="仿宋_GB2312" w:hAnsi="仿宋_GB2312" w:eastAsia="仿宋_GB2312"/>
          <w:b w:val="0"/>
          <w:bCs/>
          <w:sz w:val="32"/>
        </w:rPr>
        <w:t>（20805款）机关事业单位基本养老保险缴费支出（2080505项）：指反映机关事业单位实施养老保险制度由单位缴纳的基本养老保险</w:t>
      </w:r>
      <w:r>
        <w:rPr>
          <w:rFonts w:hint="eastAsia" w:ascii="仿宋_GB2312" w:hAnsi="仿宋_GB2312" w:eastAsia="仿宋_GB2312"/>
          <w:b w:val="0"/>
          <w:bCs/>
          <w:sz w:val="32"/>
          <w:lang w:eastAsia="zh-CN"/>
        </w:rPr>
        <w:t>费</w:t>
      </w:r>
      <w:r>
        <w:rPr>
          <w:rFonts w:hint="eastAsia" w:ascii="仿宋_GB2312" w:hAnsi="仿宋_GB2312" w:eastAsia="仿宋_GB2312"/>
          <w:b w:val="0"/>
          <w:bCs/>
          <w:sz w:val="32"/>
        </w:rPr>
        <w:t>支出。</w:t>
      </w:r>
    </w:p>
    <w:p w14:paraId="5EE1A08E">
      <w:pPr>
        <w:autoSpaceDE w:val="0"/>
        <w:autoSpaceDN w:val="0"/>
        <w:adjustRightInd w:val="0"/>
        <w:spacing w:line="572" w:lineRule="exact"/>
        <w:ind w:firstLine="643"/>
        <w:rPr>
          <w:rFonts w:hint="default" w:eastAsia="仿宋_GB2312"/>
          <w:b w:val="0"/>
          <w:bCs/>
          <w:color w:val="auto"/>
          <w:sz w:val="32"/>
        </w:rPr>
      </w:pPr>
      <w:r>
        <w:rPr>
          <w:rFonts w:hint="eastAsia" w:ascii="仿宋_GB2312" w:hAnsi="仿宋_GB2312" w:eastAsia="仿宋_GB2312" w:cs="Times New Roman"/>
          <w:b w:val="0"/>
          <w:bCs/>
          <w:sz w:val="32"/>
          <w:lang w:val="en-US" w:eastAsia="zh-CN"/>
        </w:rPr>
        <w:t>4、卫生健康支出</w:t>
      </w:r>
      <w:r>
        <w:rPr>
          <w:rFonts w:hint="eastAsia" w:ascii="仿宋_GB2312" w:hAnsi="仿宋_GB2312" w:eastAsia="仿宋_GB2312" w:cs="Times New Roman"/>
          <w:b w:val="0"/>
          <w:bCs/>
          <w:sz w:val="32"/>
          <w:lang w:eastAsia="zh-CN"/>
        </w:rPr>
        <w:t>（</w:t>
      </w:r>
      <w:r>
        <w:rPr>
          <w:rFonts w:hint="eastAsia" w:ascii="仿宋_GB2312" w:hAnsi="仿宋_GB2312" w:eastAsia="仿宋_GB2312" w:cs="Times New Roman"/>
          <w:b w:val="0"/>
          <w:bCs/>
          <w:sz w:val="32"/>
          <w:lang w:val="en-US" w:eastAsia="zh-CN"/>
        </w:rPr>
        <w:t>210</w:t>
      </w:r>
      <w:r>
        <w:rPr>
          <w:rFonts w:hint="eastAsia" w:ascii="仿宋_GB2312" w:hAnsi="仿宋_GB2312" w:eastAsia="仿宋_GB2312" w:cs="Times New Roman"/>
          <w:b w:val="0"/>
          <w:bCs/>
          <w:sz w:val="32"/>
          <w:lang w:eastAsia="zh-CN"/>
        </w:rPr>
        <w:t>类）</w:t>
      </w:r>
      <w:r>
        <w:rPr>
          <w:rFonts w:hint="eastAsia" w:ascii="仿宋_GB2312" w:hAnsi="仿宋_GB2312" w:eastAsia="仿宋_GB2312" w:cs="Times New Roman"/>
          <w:b w:val="0"/>
          <w:bCs/>
          <w:sz w:val="32"/>
          <w:lang w:val="en-US" w:eastAsia="zh-CN"/>
        </w:rPr>
        <w:t>行政事业单位医疗</w:t>
      </w:r>
      <w:r>
        <w:rPr>
          <w:rFonts w:hint="eastAsia" w:ascii="仿宋_GB2312" w:hAnsi="仿宋_GB2312" w:eastAsia="仿宋_GB2312" w:cs="Times New Roman"/>
          <w:b w:val="0"/>
          <w:bCs/>
          <w:sz w:val="32"/>
          <w:lang w:eastAsia="zh-CN"/>
        </w:rPr>
        <w:t>（</w:t>
      </w:r>
      <w:r>
        <w:rPr>
          <w:rFonts w:hint="eastAsia" w:ascii="仿宋_GB2312" w:hAnsi="仿宋_GB2312" w:eastAsia="仿宋_GB2312" w:cs="Times New Roman"/>
          <w:b w:val="0"/>
          <w:bCs/>
          <w:sz w:val="32"/>
          <w:lang w:val="en-US" w:eastAsia="zh-CN"/>
        </w:rPr>
        <w:t>21011</w:t>
      </w:r>
      <w:r>
        <w:rPr>
          <w:rFonts w:hint="eastAsia" w:ascii="仿宋_GB2312" w:hAnsi="仿宋_GB2312" w:eastAsia="仿宋_GB2312" w:cs="Times New Roman"/>
          <w:b w:val="0"/>
          <w:bCs/>
          <w:sz w:val="32"/>
          <w:lang w:eastAsia="zh-CN"/>
        </w:rPr>
        <w:t>款）</w:t>
      </w:r>
      <w:r>
        <w:rPr>
          <w:rFonts w:hint="eastAsia" w:ascii="仿宋_GB2312" w:hAnsi="仿宋_GB2312" w:eastAsia="仿宋_GB2312" w:cs="Times New Roman"/>
          <w:b w:val="0"/>
          <w:bCs/>
          <w:sz w:val="32"/>
          <w:lang w:val="en-US" w:eastAsia="zh-CN"/>
        </w:rPr>
        <w:t>行政单位医疗</w:t>
      </w:r>
      <w:r>
        <w:rPr>
          <w:rFonts w:hint="eastAsia" w:ascii="仿宋_GB2312" w:hAnsi="仿宋_GB2312" w:eastAsia="仿宋_GB2312" w:cs="Times New Roman"/>
          <w:b w:val="0"/>
          <w:bCs/>
          <w:sz w:val="32"/>
          <w:lang w:eastAsia="zh-CN"/>
        </w:rPr>
        <w:t>（</w:t>
      </w:r>
      <w:r>
        <w:rPr>
          <w:rFonts w:hint="eastAsia" w:ascii="仿宋_GB2312" w:hAnsi="仿宋_GB2312" w:eastAsia="仿宋_GB2312" w:cs="Times New Roman"/>
          <w:b w:val="0"/>
          <w:bCs/>
          <w:sz w:val="32"/>
          <w:lang w:val="en-US" w:eastAsia="zh-CN"/>
        </w:rPr>
        <w:t>2101101</w:t>
      </w:r>
      <w:r>
        <w:rPr>
          <w:rFonts w:hint="eastAsia" w:ascii="仿宋_GB2312" w:hAnsi="仿宋_GB2312" w:eastAsia="仿宋_GB2312" w:cs="Times New Roman"/>
          <w:b w:val="0"/>
          <w:bCs/>
          <w:sz w:val="32"/>
          <w:lang w:eastAsia="zh-CN"/>
        </w:rPr>
        <w:t>项）：</w:t>
      </w:r>
      <w:r>
        <w:rPr>
          <w:rFonts w:hint="eastAsia" w:ascii="仿宋_GB2312" w:hAnsi="仿宋_GB2312" w:eastAsia="仿宋_GB2312"/>
          <w:b w:val="0"/>
          <w:bCs/>
          <w:sz w:val="32"/>
        </w:rPr>
        <w:t>指反映财政部门安排的行政单位</w:t>
      </w:r>
      <w:r>
        <w:rPr>
          <w:rFonts w:hint="eastAsia" w:ascii="仿宋_GB2312" w:hAnsi="仿宋_GB2312" w:eastAsia="仿宋_GB2312"/>
          <w:b w:val="0"/>
          <w:bCs/>
          <w:sz w:val="32"/>
          <w:lang w:eastAsia="zh-CN"/>
        </w:rPr>
        <w:t>（包含实行公务员管理的事业单位）</w:t>
      </w:r>
      <w:r>
        <w:rPr>
          <w:rFonts w:hint="eastAsia" w:ascii="仿宋_GB2312" w:hAnsi="仿宋_GB2312" w:eastAsia="仿宋_GB2312"/>
          <w:b w:val="0"/>
          <w:bCs/>
          <w:sz w:val="32"/>
        </w:rPr>
        <w:t>基本医疗保险缴费经费，未参加医疗保险的行政单位的公费医疗经费，按国家规定享受离休人员、红军老战士待遇人员的医疗经费</w:t>
      </w:r>
      <w:r>
        <w:rPr>
          <w:rFonts w:hint="eastAsia" w:ascii="仿宋_GB2312" w:eastAsia="仿宋_GB2312"/>
          <w:b w:val="0"/>
          <w:bCs/>
          <w:color w:val="auto"/>
          <w:sz w:val="32"/>
        </w:rPr>
        <w:t>。</w:t>
      </w:r>
    </w:p>
    <w:p w14:paraId="200DF699">
      <w:pPr>
        <w:autoSpaceDE w:val="0"/>
        <w:autoSpaceDN w:val="0"/>
        <w:adjustRightInd w:val="0"/>
        <w:spacing w:line="560" w:lineRule="exact"/>
        <w:ind w:firstLine="643"/>
        <w:rPr>
          <w:rFonts w:hint="eastAsia" w:ascii="仿宋_GB2312" w:hAnsi="仿宋_GB2312" w:eastAsia="仿宋_GB2312"/>
          <w:b w:val="0"/>
          <w:bCs/>
          <w:sz w:val="32"/>
        </w:rPr>
      </w:pPr>
      <w:r>
        <w:rPr>
          <w:rFonts w:hint="eastAsia" w:ascii="仿宋_GB2312" w:hAnsi="仿宋_GB2312" w:eastAsia="仿宋_GB2312"/>
          <w:b w:val="0"/>
          <w:bCs/>
          <w:sz w:val="32"/>
          <w:lang w:val="en-US" w:eastAsia="zh-CN"/>
        </w:rPr>
        <w:t>5、</w:t>
      </w:r>
      <w:r>
        <w:rPr>
          <w:rFonts w:hint="eastAsia" w:ascii="仿宋_GB2312" w:hAnsi="仿宋_GB2312" w:eastAsia="仿宋_GB2312"/>
          <w:b w:val="0"/>
          <w:bCs/>
          <w:sz w:val="32"/>
          <w:lang w:eastAsia="zh-CN"/>
        </w:rPr>
        <w:t>卫生健康</w:t>
      </w:r>
      <w:r>
        <w:rPr>
          <w:rFonts w:hint="eastAsia" w:ascii="仿宋_GB2312" w:hAnsi="仿宋_GB2312" w:eastAsia="仿宋_GB2312"/>
          <w:b w:val="0"/>
          <w:bCs/>
          <w:sz w:val="32"/>
        </w:rPr>
        <w:t>支出科目（210类）</w:t>
      </w:r>
      <w:r>
        <w:rPr>
          <w:rFonts w:hint="eastAsia" w:ascii="仿宋_GB2312" w:hAnsi="仿宋_GB2312" w:eastAsia="仿宋_GB2312"/>
          <w:b w:val="0"/>
          <w:bCs/>
          <w:sz w:val="32"/>
          <w:lang w:eastAsia="zh-CN"/>
        </w:rPr>
        <w:t>行政事业单位医疗</w:t>
      </w:r>
      <w:r>
        <w:rPr>
          <w:rFonts w:hint="eastAsia" w:ascii="仿宋_GB2312" w:hAnsi="仿宋_GB2312" w:eastAsia="仿宋_GB2312"/>
          <w:b w:val="0"/>
          <w:bCs/>
          <w:sz w:val="32"/>
        </w:rPr>
        <w:t>（21011款）</w:t>
      </w:r>
      <w:r>
        <w:rPr>
          <w:rFonts w:hint="eastAsia" w:ascii="仿宋_GB2312" w:hAnsi="仿宋_GB2312" w:eastAsia="仿宋_GB2312"/>
          <w:b w:val="0"/>
          <w:bCs/>
          <w:sz w:val="32"/>
          <w:lang w:eastAsia="zh-CN"/>
        </w:rPr>
        <w:t>事业</w:t>
      </w:r>
      <w:r>
        <w:rPr>
          <w:rFonts w:hint="eastAsia" w:ascii="仿宋_GB2312" w:hAnsi="仿宋_GB2312" w:eastAsia="仿宋_GB2312"/>
          <w:b w:val="0"/>
          <w:bCs/>
          <w:sz w:val="32"/>
        </w:rPr>
        <w:t>单位医疗科目（21011</w:t>
      </w:r>
      <w:r>
        <w:rPr>
          <w:rFonts w:hint="eastAsia" w:ascii="仿宋_GB2312" w:hAnsi="仿宋_GB2312" w:eastAsia="仿宋_GB2312"/>
          <w:b w:val="0"/>
          <w:bCs/>
          <w:sz w:val="32"/>
          <w:lang w:val="en-US" w:eastAsia="zh-CN"/>
        </w:rPr>
        <w:t>02</w:t>
      </w:r>
      <w:r>
        <w:rPr>
          <w:rFonts w:hint="eastAsia" w:ascii="仿宋_GB2312" w:hAnsi="仿宋_GB2312" w:eastAsia="仿宋_GB2312"/>
          <w:b w:val="0"/>
          <w:bCs/>
          <w:sz w:val="32"/>
        </w:rPr>
        <w:t>项）：指反映财政部门安排的</w:t>
      </w:r>
      <w:r>
        <w:rPr>
          <w:rFonts w:hint="eastAsia" w:ascii="仿宋_GB2312" w:hAnsi="仿宋_GB2312" w:eastAsia="仿宋_GB2312"/>
          <w:b w:val="0"/>
          <w:bCs/>
          <w:sz w:val="32"/>
          <w:lang w:eastAsia="zh-CN"/>
        </w:rPr>
        <w:t>事业</w:t>
      </w:r>
      <w:r>
        <w:rPr>
          <w:rFonts w:hint="eastAsia" w:ascii="仿宋_GB2312" w:hAnsi="仿宋_GB2312" w:eastAsia="仿宋_GB2312"/>
          <w:b w:val="0"/>
          <w:bCs/>
          <w:sz w:val="32"/>
        </w:rPr>
        <w:t>单位基本医疗保险缴费经费，未参加医疗保险的行政单位的公费医疗经费，按国家规定享受离休人员、红军老战士待遇人员的医疗经费。</w:t>
      </w:r>
    </w:p>
    <w:p w14:paraId="2B55A645">
      <w:pPr>
        <w:spacing w:line="560" w:lineRule="exact"/>
        <w:ind w:firstLine="643"/>
        <w:rPr>
          <w:rFonts w:hint="eastAsia" w:ascii="仿宋_GB2312" w:hAnsi="仿宋_GB2312" w:eastAsia="仿宋_GB2312"/>
          <w:b w:val="0"/>
          <w:bCs/>
          <w:sz w:val="32"/>
          <w:lang w:val="en-US"/>
        </w:rPr>
      </w:pPr>
      <w:r>
        <w:rPr>
          <w:rFonts w:hint="eastAsia" w:ascii="楷体_GB2312" w:eastAsia="楷体_GB2312"/>
          <w:b w:val="0"/>
          <w:bCs/>
          <w:color w:val="auto"/>
          <w:sz w:val="32"/>
          <w:lang w:val="en-US" w:eastAsia="zh-CN"/>
        </w:rPr>
        <w:t>6、</w:t>
      </w:r>
      <w:r>
        <w:rPr>
          <w:rFonts w:hint="eastAsia" w:ascii="仿宋_GB2312" w:hAnsi="仿宋_GB2312" w:eastAsia="仿宋_GB2312"/>
          <w:b w:val="0"/>
          <w:bCs/>
          <w:sz w:val="32"/>
          <w:lang w:eastAsia="zh-CN"/>
        </w:rPr>
        <w:t>卫生健康</w:t>
      </w:r>
      <w:r>
        <w:rPr>
          <w:rFonts w:hint="eastAsia" w:ascii="仿宋_GB2312" w:hAnsi="仿宋_GB2312" w:eastAsia="仿宋_GB2312"/>
          <w:b w:val="0"/>
          <w:bCs/>
          <w:sz w:val="32"/>
        </w:rPr>
        <w:t>支出科目（210类）</w:t>
      </w:r>
      <w:r>
        <w:rPr>
          <w:rFonts w:hint="eastAsia" w:ascii="仿宋_GB2312" w:hAnsi="仿宋_GB2312" w:eastAsia="仿宋_GB2312"/>
          <w:b w:val="0"/>
          <w:bCs/>
          <w:sz w:val="32"/>
          <w:lang w:eastAsia="zh-CN"/>
        </w:rPr>
        <w:t>行政事业单位医疗</w:t>
      </w:r>
      <w:r>
        <w:rPr>
          <w:rFonts w:hint="eastAsia" w:ascii="仿宋_GB2312" w:hAnsi="仿宋_GB2312" w:eastAsia="仿宋_GB2312"/>
          <w:b w:val="0"/>
          <w:bCs/>
          <w:sz w:val="32"/>
        </w:rPr>
        <w:t>（21011款）其他</w:t>
      </w:r>
      <w:r>
        <w:rPr>
          <w:rFonts w:hint="eastAsia" w:ascii="仿宋_GB2312" w:hAnsi="仿宋_GB2312" w:eastAsia="仿宋_GB2312"/>
          <w:b w:val="0"/>
          <w:bCs/>
          <w:sz w:val="32"/>
          <w:lang w:eastAsia="zh-CN"/>
        </w:rPr>
        <w:t>行政事业单位医疗支出</w:t>
      </w:r>
      <w:r>
        <w:rPr>
          <w:rFonts w:hint="eastAsia" w:ascii="仿宋_GB2312" w:hAnsi="仿宋_GB2312" w:eastAsia="仿宋_GB2312"/>
          <w:b w:val="0"/>
          <w:bCs/>
          <w:sz w:val="32"/>
        </w:rPr>
        <w:t>（2101199项）：指反映除上述项目以外其他用于行政事业单位医疗方面的支出。</w:t>
      </w:r>
    </w:p>
    <w:p w14:paraId="7BE9EB38">
      <w:pPr>
        <w:autoSpaceDE w:val="0"/>
        <w:autoSpaceDN w:val="0"/>
        <w:adjustRightInd w:val="0"/>
        <w:spacing w:line="572" w:lineRule="exact"/>
        <w:ind w:firstLine="643"/>
        <w:rPr>
          <w:rFonts w:hint="eastAsia" w:ascii="仿宋_GB2312" w:eastAsia="仿宋_GB2312"/>
          <w:b w:val="0"/>
          <w:bCs/>
          <w:sz w:val="32"/>
        </w:rPr>
      </w:pPr>
      <w:r>
        <w:rPr>
          <w:rFonts w:hint="eastAsia" w:ascii="仿宋_GB2312" w:hAnsi="仿宋_GB2312" w:eastAsia="仿宋_GB2312" w:cs="仿宋_GB2312"/>
          <w:bCs/>
          <w:color w:val="auto"/>
          <w:sz w:val="32"/>
          <w:szCs w:val="32"/>
          <w:highlight w:val="none"/>
          <w:lang w:val="en-US" w:eastAsia="zh-CN"/>
        </w:rPr>
        <w:t>7、</w:t>
      </w:r>
      <w:r>
        <w:rPr>
          <w:rFonts w:hint="eastAsia" w:ascii="仿宋_GB2312" w:hAnsi="仿宋_GB2312" w:eastAsia="仿宋_GB2312" w:cs="仿宋_GB2312"/>
          <w:bCs/>
          <w:color w:val="auto"/>
          <w:sz w:val="32"/>
          <w:szCs w:val="32"/>
          <w:highlight w:val="none"/>
          <w:lang w:val="en-US"/>
        </w:rPr>
        <w:t>一般公共服务支出</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201</w:t>
      </w:r>
      <w:r>
        <w:rPr>
          <w:rFonts w:hint="eastAsia" w:ascii="仿宋_GB2312" w:hAnsi="仿宋_GB2312" w:eastAsia="仿宋_GB2312" w:cs="仿宋_GB2312"/>
          <w:bCs/>
          <w:color w:val="auto"/>
          <w:sz w:val="32"/>
          <w:szCs w:val="32"/>
          <w:highlight w:val="none"/>
        </w:rPr>
        <w:t>类）</w:t>
      </w:r>
      <w:r>
        <w:rPr>
          <w:rFonts w:hint="eastAsia" w:ascii="仿宋_GB2312" w:hAnsi="仿宋_GB2312" w:eastAsia="仿宋_GB2312" w:cs="仿宋_GB2312"/>
          <w:bCs/>
          <w:color w:val="auto"/>
          <w:sz w:val="32"/>
          <w:szCs w:val="32"/>
          <w:highlight w:val="none"/>
          <w:lang w:val="en-US" w:eastAsia="zh-CN"/>
        </w:rPr>
        <w:t>档案事务</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20126</w:t>
      </w:r>
      <w:r>
        <w:rPr>
          <w:rFonts w:hint="eastAsia" w:ascii="仿宋_GB2312" w:hAnsi="仿宋_GB2312" w:eastAsia="仿宋_GB2312" w:cs="仿宋_GB2312"/>
          <w:bCs/>
          <w:color w:val="auto"/>
          <w:sz w:val="32"/>
          <w:szCs w:val="32"/>
          <w:highlight w:val="none"/>
        </w:rPr>
        <w:t>款）</w:t>
      </w:r>
      <w:r>
        <w:rPr>
          <w:rFonts w:hint="eastAsia" w:ascii="仿宋_GB2312" w:hAnsi="仿宋_GB2312" w:eastAsia="仿宋_GB2312" w:cs="仿宋_GB2312"/>
          <w:bCs/>
          <w:color w:val="auto"/>
          <w:sz w:val="32"/>
          <w:szCs w:val="32"/>
          <w:highlight w:val="none"/>
          <w:lang w:val="en-US" w:eastAsia="zh-CN"/>
        </w:rPr>
        <w:t>其他档案事务支出</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2012699</w:t>
      </w:r>
      <w:r>
        <w:rPr>
          <w:rFonts w:hint="eastAsia" w:ascii="仿宋_GB2312" w:hAnsi="仿宋_GB2312" w:eastAsia="仿宋_GB2312" w:cs="仿宋_GB2312"/>
          <w:bCs/>
          <w:color w:val="auto"/>
          <w:sz w:val="32"/>
          <w:szCs w:val="32"/>
          <w:highlight w:val="none"/>
        </w:rPr>
        <w:t>项）：</w:t>
      </w:r>
      <w:r>
        <w:rPr>
          <w:rFonts w:hint="eastAsia" w:ascii="仿宋_GB2312" w:eastAsia="仿宋_GB2312"/>
          <w:b w:val="0"/>
          <w:bCs/>
          <w:sz w:val="32"/>
          <w:lang w:val="en-US" w:eastAsia="zh-CN"/>
        </w:rPr>
        <w:t>反应其他档案事务方面的支出</w:t>
      </w:r>
      <w:r>
        <w:rPr>
          <w:rFonts w:hint="eastAsia" w:ascii="仿宋_GB2312" w:eastAsia="仿宋_GB2312"/>
          <w:b w:val="0"/>
          <w:bCs/>
          <w:sz w:val="32"/>
        </w:rPr>
        <w:t>。</w:t>
      </w:r>
    </w:p>
    <w:p w14:paraId="5867E547">
      <w:pPr>
        <w:autoSpaceDE w:val="0"/>
        <w:autoSpaceDN w:val="0"/>
        <w:adjustRightInd w:val="0"/>
        <w:spacing w:line="572" w:lineRule="exact"/>
        <w:ind w:firstLine="643"/>
        <w:rPr>
          <w:rFonts w:hint="eastAsia" w:ascii="仿宋_GB2312" w:eastAsia="仿宋_GB2312"/>
          <w:b w:val="0"/>
          <w:bCs/>
          <w:sz w:val="32"/>
          <w:lang w:val="en-US" w:eastAsia="zh-CN"/>
        </w:rPr>
      </w:pPr>
      <w:r>
        <w:rPr>
          <w:rFonts w:hint="eastAsia" w:ascii="仿宋_GB2312" w:eastAsia="仿宋_GB2312"/>
          <w:b w:val="0"/>
          <w:bCs/>
          <w:sz w:val="32"/>
          <w:lang w:val="en-US" w:eastAsia="zh-CN"/>
        </w:rPr>
        <w:t>8、国有资本经营预算支出（223类）解决历史遗留问题及改革成本支出（01款）国有企业退休人员社会化管理补助支出（05项）：反映用国有资本经营预算收入安排的支持国有企业退休人员移交社区实现社会化管理的支出。</w:t>
      </w:r>
    </w:p>
    <w:p w14:paraId="58609951">
      <w:pPr>
        <w:autoSpaceDE w:val="0"/>
        <w:autoSpaceDN w:val="0"/>
        <w:adjustRightInd w:val="0"/>
        <w:spacing w:line="572" w:lineRule="exact"/>
        <w:ind w:firstLine="643"/>
        <w:rPr>
          <w:rFonts w:hint="default" w:ascii="仿宋_GB2312" w:hAnsi="仿宋_GB2312" w:eastAsia="仿宋_GB2312"/>
          <w:b w:val="0"/>
          <w:bCs/>
          <w:sz w:val="32"/>
          <w:lang w:val="en-US" w:eastAsia="zh-CN"/>
        </w:rPr>
      </w:pPr>
      <w:r>
        <w:rPr>
          <w:rFonts w:hint="eastAsia" w:ascii="仿宋_GB2312" w:eastAsia="仿宋_GB2312"/>
          <w:b w:val="0"/>
          <w:bCs/>
          <w:sz w:val="32"/>
          <w:lang w:val="en-US" w:eastAsia="zh-CN"/>
        </w:rPr>
        <w:t>9、</w:t>
      </w:r>
      <w:r>
        <w:rPr>
          <w:rFonts w:hint="eastAsia" w:ascii="仿宋_GB2312" w:hAnsi="仿宋_GB2312" w:eastAsia="仿宋_GB2312"/>
          <w:b w:val="0"/>
          <w:bCs/>
          <w:sz w:val="32"/>
        </w:rPr>
        <w:t>社会保障和就业支出科目</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208</w:t>
      </w:r>
      <w:r>
        <w:rPr>
          <w:rFonts w:hint="eastAsia" w:ascii="仿宋_GB2312" w:hAnsi="仿宋_GB2312" w:eastAsia="仿宋_GB2312" w:cs="仿宋_GB2312"/>
          <w:bCs/>
          <w:color w:val="auto"/>
          <w:sz w:val="32"/>
          <w:szCs w:val="32"/>
          <w:highlight w:val="none"/>
        </w:rPr>
        <w:t>类）</w:t>
      </w:r>
      <w:r>
        <w:rPr>
          <w:rFonts w:hint="eastAsia" w:ascii="仿宋_GB2312" w:hAnsi="仿宋_GB2312" w:eastAsia="仿宋_GB2312"/>
          <w:b w:val="0"/>
          <w:bCs/>
          <w:sz w:val="32"/>
        </w:rPr>
        <w:t>其他社会保障和就业支出</w:t>
      </w:r>
      <w:r>
        <w:rPr>
          <w:rFonts w:hint="eastAsia" w:ascii="仿宋_GB2312" w:hAnsi="仿宋_GB2312" w:eastAsia="仿宋_GB2312"/>
          <w:b w:val="0"/>
          <w:bCs/>
          <w:sz w:val="32"/>
          <w:lang w:eastAsia="zh-CN"/>
        </w:rPr>
        <w:t>（</w:t>
      </w:r>
      <w:r>
        <w:rPr>
          <w:rFonts w:hint="eastAsia" w:ascii="仿宋_GB2312" w:hAnsi="仿宋_GB2312" w:eastAsia="仿宋_GB2312"/>
          <w:b w:val="0"/>
          <w:bCs/>
          <w:sz w:val="32"/>
          <w:lang w:val="en-US" w:eastAsia="zh-CN"/>
        </w:rPr>
        <w:t>99款</w:t>
      </w:r>
      <w:r>
        <w:rPr>
          <w:rFonts w:hint="eastAsia" w:ascii="仿宋_GB2312" w:hAnsi="仿宋_GB2312" w:eastAsia="仿宋_GB2312"/>
          <w:b w:val="0"/>
          <w:bCs/>
          <w:sz w:val="32"/>
          <w:lang w:eastAsia="zh-CN"/>
        </w:rPr>
        <w:t>）</w:t>
      </w:r>
      <w:r>
        <w:rPr>
          <w:rFonts w:hint="eastAsia" w:ascii="仿宋_GB2312" w:hAnsi="仿宋_GB2312" w:eastAsia="仿宋_GB2312"/>
          <w:b w:val="0"/>
          <w:bCs/>
          <w:sz w:val="32"/>
        </w:rPr>
        <w:t>其他社会保障和就业支出</w:t>
      </w:r>
      <w:r>
        <w:rPr>
          <w:rFonts w:hint="eastAsia" w:ascii="仿宋_GB2312" w:hAnsi="仿宋_GB2312" w:eastAsia="仿宋_GB2312"/>
          <w:b w:val="0"/>
          <w:bCs/>
          <w:sz w:val="32"/>
          <w:lang w:eastAsia="zh-CN"/>
        </w:rPr>
        <w:t>（</w:t>
      </w:r>
      <w:r>
        <w:rPr>
          <w:rFonts w:hint="eastAsia" w:ascii="仿宋_GB2312" w:hAnsi="仿宋_GB2312" w:eastAsia="仿宋_GB2312"/>
          <w:b w:val="0"/>
          <w:bCs/>
          <w:sz w:val="32"/>
          <w:lang w:val="en-US" w:eastAsia="zh-CN"/>
        </w:rPr>
        <w:t>99项</w:t>
      </w:r>
      <w:r>
        <w:rPr>
          <w:rFonts w:hint="eastAsia" w:ascii="仿宋_GB2312" w:hAnsi="仿宋_GB2312" w:eastAsia="仿宋_GB2312"/>
          <w:b w:val="0"/>
          <w:bCs/>
          <w:sz w:val="32"/>
          <w:lang w:eastAsia="zh-CN"/>
        </w:rPr>
        <w:t>）</w:t>
      </w:r>
      <w:r>
        <w:rPr>
          <w:rFonts w:hint="eastAsia" w:ascii="仿宋_GB2312" w:hAnsi="仿宋_GB2312" w:eastAsia="仿宋_GB2312"/>
          <w:b w:val="0"/>
          <w:bCs/>
          <w:sz w:val="32"/>
          <w:lang w:val="en-US" w:eastAsia="zh-CN"/>
        </w:rPr>
        <w:t>:反映其他社会保障和就业方面的支出。</w:t>
      </w:r>
    </w:p>
    <w:p w14:paraId="47541C5B">
      <w:pPr>
        <w:autoSpaceDE w:val="0"/>
        <w:autoSpaceDN w:val="0"/>
        <w:adjustRightInd w:val="0"/>
        <w:spacing w:line="572" w:lineRule="exact"/>
        <w:ind w:firstLine="643"/>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10、</w:t>
      </w:r>
      <w:r>
        <w:rPr>
          <w:rFonts w:hint="eastAsia" w:ascii="仿宋_GB2312" w:hAnsi="仿宋_GB2312" w:eastAsia="仿宋_GB2312" w:cs="仿宋_GB2312"/>
          <w:bCs/>
          <w:color w:val="auto"/>
          <w:sz w:val="32"/>
          <w:szCs w:val="32"/>
          <w:highlight w:val="none"/>
        </w:rPr>
        <w:t>农林水支出（类）其他农林水支出（款）其他农林水支出（项）：指本单位开展支农资金、扶贫资金监管事务方面的支出。</w:t>
      </w:r>
    </w:p>
    <w:p w14:paraId="78399B56">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11、</w:t>
      </w:r>
      <w:r>
        <w:rPr>
          <w:rFonts w:hint="eastAsia" w:ascii="仿宋_GB2312" w:hAnsi="仿宋_GB2312" w:eastAsia="仿宋_GB2312" w:cs="仿宋_GB2312"/>
          <w:bCs/>
          <w:color w:val="auto"/>
          <w:sz w:val="32"/>
          <w:szCs w:val="32"/>
          <w:highlight w:val="none"/>
        </w:rPr>
        <w:t>住房保障支出（类）住房改革支出（款）住房公积金（项）：指按照《住房公积金管理条例》的规定，由单位为职工缴纳的住房公积金。</w:t>
      </w:r>
    </w:p>
    <w:p w14:paraId="3D2AF2B3">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12、</w:t>
      </w:r>
      <w:r>
        <w:rPr>
          <w:rFonts w:hint="eastAsia" w:ascii="仿宋_GB2312" w:hAnsi="仿宋_GB2312" w:eastAsia="仿宋_GB2312" w:cs="仿宋_GB2312"/>
          <w:bCs/>
          <w:color w:val="auto"/>
          <w:sz w:val="32"/>
          <w:szCs w:val="32"/>
          <w:highlight w:val="none"/>
        </w:rPr>
        <w:t>基本支出：指为保障机构正常运转、完成日常工作任务而发生的人员支出和公用支出。</w:t>
      </w:r>
    </w:p>
    <w:p w14:paraId="202CB9C0">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13</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项目支出：指在基本支出以外为完成特定行政任务和事业发展目标所发生的支出。</w:t>
      </w:r>
    </w:p>
    <w:p w14:paraId="6881916F">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 w:eastAsia="仿宋"/>
          <w:color w:val="auto"/>
          <w:sz w:val="32"/>
          <w:szCs w:val="32"/>
          <w:highlight w:val="none"/>
        </w:rPr>
      </w:pPr>
      <w:r>
        <w:rPr>
          <w:rFonts w:hint="eastAsia" w:ascii="黑体" w:hAnsi="黑体" w:eastAsia="黑体" w:cs="黑体"/>
          <w:bCs/>
          <w:color w:val="auto"/>
          <w:sz w:val="32"/>
          <w:szCs w:val="32"/>
          <w:highlight w:val="none"/>
        </w:rPr>
        <w:t>五、</w:t>
      </w:r>
      <w:r>
        <w:rPr>
          <w:rFonts w:hint="eastAsia" w:ascii="黑体" w:hAnsi="黑体" w:eastAsia="黑体" w:cs="黑体"/>
          <w:bCs/>
          <w:color w:val="auto"/>
          <w:sz w:val="32"/>
          <w:szCs w:val="32"/>
          <w:highlight w:val="none"/>
          <w:lang w:eastAsia="zh-CN"/>
        </w:rPr>
        <w:t>202</w:t>
      </w:r>
      <w:r>
        <w:rPr>
          <w:rFonts w:hint="eastAsia" w:ascii="黑体" w:hAnsi="黑体" w:eastAsia="黑体" w:cs="黑体"/>
          <w:bCs/>
          <w:color w:val="auto"/>
          <w:sz w:val="32"/>
          <w:szCs w:val="32"/>
          <w:highlight w:val="none"/>
          <w:lang w:val="en-US" w:eastAsia="zh-CN"/>
        </w:rPr>
        <w:t>4</w:t>
      </w:r>
      <w:r>
        <w:rPr>
          <w:rFonts w:hint="eastAsia" w:ascii="黑体" w:hAnsi="黑体" w:eastAsia="黑体" w:cs="黑体"/>
          <w:bCs/>
          <w:color w:val="auto"/>
          <w:sz w:val="32"/>
          <w:szCs w:val="32"/>
          <w:highlight w:val="none"/>
        </w:rPr>
        <w:t>年部门</w:t>
      </w:r>
      <w:r>
        <w:rPr>
          <w:rFonts w:hint="eastAsia" w:ascii="黑体" w:hAnsi="黑体" w:eastAsia="黑体" w:cs="黑体"/>
          <w:bCs/>
          <w:color w:val="auto"/>
          <w:sz w:val="32"/>
          <w:szCs w:val="32"/>
          <w:highlight w:val="none"/>
          <w:lang w:val="en-US" w:eastAsia="zh-CN"/>
        </w:rPr>
        <w:t>调整</w:t>
      </w:r>
      <w:r>
        <w:rPr>
          <w:rFonts w:hint="eastAsia" w:ascii="黑体" w:hAnsi="黑体" w:eastAsia="黑体" w:cs="黑体"/>
          <w:bCs/>
          <w:color w:val="auto"/>
          <w:sz w:val="32"/>
          <w:szCs w:val="32"/>
          <w:highlight w:val="none"/>
        </w:rPr>
        <w:t>预算及“三公”经费预算公开表（详见附件2）</w:t>
      </w:r>
    </w:p>
    <w:sectPr>
      <w:footerReference r:id="rId3" w:type="default"/>
      <w:footerReference r:id="rId4" w:type="even"/>
      <w:pgSz w:w="11906" w:h="16838"/>
      <w:pgMar w:top="2098" w:right="1474" w:bottom="1984" w:left="1587" w:header="851" w:footer="1587" w:gutter="0"/>
      <w:pgNumType w:fmt="numberInDash"/>
      <w:cols w:equalWidth="0" w:num="1">
        <w:col w:w="8306"/>
      </w:cols>
      <w:docGrid w:type="linesAndChars" w:linePitch="289"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32547A-96E1-4E4E-8082-3DA0698A39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embedRegular r:id="rId2" w:fontKey="{9AD15C36-02EB-43A0-89CB-2F87EF765B8F}"/>
  </w:font>
  <w:font w:name="方正小标宋_GBK">
    <w:panose1 w:val="02000000000000000000"/>
    <w:charset w:val="86"/>
    <w:family w:val="auto"/>
    <w:pitch w:val="default"/>
    <w:sig w:usb0="A00002BF" w:usb1="38CF7CFA" w:usb2="00082016" w:usb3="00000000" w:csb0="00040001" w:csb1="00000000"/>
    <w:embedRegular r:id="rId3" w:fontKey="{CA81C115-956A-4398-965E-1070951784B4}"/>
  </w:font>
  <w:font w:name="仿宋_GB2312">
    <w:panose1 w:val="02010609030101010101"/>
    <w:charset w:val="86"/>
    <w:family w:val="auto"/>
    <w:pitch w:val="default"/>
    <w:sig w:usb0="00000001" w:usb1="080E0000" w:usb2="00000000" w:usb3="00000000" w:csb0="00040000" w:csb1="00000000"/>
    <w:embedRegular r:id="rId4" w:fontKey="{6A7656A7-A060-44C2-8C42-14F3C0EEF332}"/>
  </w:font>
  <w:font w:name="仿宋">
    <w:panose1 w:val="02010609060101010101"/>
    <w:charset w:val="86"/>
    <w:family w:val="auto"/>
    <w:pitch w:val="default"/>
    <w:sig w:usb0="800002BF" w:usb1="38CF7CFA" w:usb2="00000016" w:usb3="00000000" w:csb0="00040001" w:csb1="00000000"/>
    <w:embedRegular r:id="rId5" w:fontKey="{B7DD99EC-BF89-4B6E-B46A-F3BFFE9F9181}"/>
  </w:font>
  <w:font w:name="楷体_GB2312">
    <w:altName w:val="楷体"/>
    <w:panose1 w:val="02010609030101010101"/>
    <w:charset w:val="86"/>
    <w:family w:val="auto"/>
    <w:pitch w:val="default"/>
    <w:sig w:usb0="00000000" w:usb1="00000000" w:usb2="00000000" w:usb3="00000000" w:csb0="00040000" w:csb1="00000000"/>
    <w:embedRegular r:id="rId6" w:fontKey="{872999DC-CBB9-4280-8F60-11A119494EA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C1578">
    <w:pPr>
      <w:pStyle w:val="2"/>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-150495</wp:posOffset>
              </wp:positionV>
              <wp:extent cx="1828800" cy="2851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85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FBBDCD">
                          <w:pPr>
                            <w:pStyle w:val="2"/>
                            <w:ind w:firstLine="7280" w:firstLineChars="26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- 7 -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color w:val="FFFFFF" w:themeColor="background1"/>
                              <w:sz w:val="28"/>
                              <w:szCs w:val="28"/>
                              <w14:textFill>
                                <w14:solidFill>
                                  <w14:schemeClr w14:val="bg1"/>
                                </w14:solidFill>
                              </w14:textFill>
                            </w:rPr>
                            <w:t>一</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85pt;height:22.45pt;width:144pt;mso-position-horizontal:left;mso-position-horizontal-relative:margin;mso-wrap-style:none;z-index:251659264;mso-width-relative:page;mso-height-relative:page;" filled="f" stroked="f" coordsize="21600,21600" o:gfxdata="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pnywtcAAAAHAQAADwAAAAAAAAABACAAAAAiAAAAZHJzL2Rvd25yZXYueG1sUEsB&#10;AhQAFAAAAAgAh07iQCWeCiovAgAAVAQAAA4AAAAAAAAAAQAgAAAAJgEAAGRycy9lMm9Eb2MueG1s&#10;UEsFBgAAAAAGAAYAWQEAAMcFAAAAAA==&#10;">
              <v:fill on="f" focussize="0,0"/>
              <v:stroke on="f" weight="0.5pt"/>
              <v:imagedata o:title=""/>
              <o:lock v:ext="edit" aspectratio="f"/>
              <v:textbox inset="0mm,0mm,0mm,0mm">
                <w:txbxContent>
                  <w:p w14:paraId="27FBBDCD">
                    <w:pPr>
                      <w:pStyle w:val="2"/>
                      <w:ind w:firstLine="7280" w:firstLineChars="26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- 7 -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color w:val="FFFFFF" w:themeColor="background1"/>
                        <w:sz w:val="28"/>
                        <w:szCs w:val="28"/>
                        <w14:textFill>
                          <w14:solidFill>
                            <w14:schemeClr w14:val="bg1"/>
                          </w14:solidFill>
                        </w14:textFill>
                      </w:rPr>
                      <w:t>一</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0FC5C">
    <w:pPr>
      <w:pStyle w:val="2"/>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-111125</wp:posOffset>
              </wp:positionV>
              <wp:extent cx="1828800" cy="2444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244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FE74D">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FFFFFF" w:themeColor="background1"/>
                              <w:sz w:val="28"/>
                              <w:szCs w:val="28"/>
                              <w14:textFill>
                                <w14:solidFill>
                                  <w14:schemeClr w14:val="bg1"/>
                                </w14:solidFill>
                              </w14:textFill>
                            </w:rPr>
                            <w:t>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- 8 -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8.75pt;height:19.25pt;width:144pt;mso-position-horizontal-relative:margin;mso-wrap-style:none;z-index:251660288;mso-width-relative:page;mso-height-relative:page;" filled="f" stroked="f" coordsize="21600,21600" o:gfxdata="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hmbWTXAAAABwEAAA8AAAAAAAAAAQAgAAAAIgAAAGRycy9kb3ducmV2LnhtbFBL&#10;AQIUABQAAAAIAIdO4kD300o0MAIAAFQEAAAOAAAAAAAAAAEAIAAAACYBAABkcnMvZTJvRG9jLnht&#10;bFBLBQYAAAAABgAGAFkBAADIBQAAAAA=&#10;">
              <v:fill on="f" focussize="0,0"/>
              <v:stroke on="f" weight="0.5pt"/>
              <v:imagedata o:title=""/>
              <o:lock v:ext="edit" aspectratio="f"/>
              <v:textbox inset="0mm,0mm,0mm,0mm">
                <w:txbxContent>
                  <w:p w14:paraId="7A1FE74D">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FFFFFF" w:themeColor="background1"/>
                        <w:sz w:val="28"/>
                        <w:szCs w:val="28"/>
                        <w14:textFill>
                          <w14:solidFill>
                            <w14:schemeClr w14:val="bg1"/>
                          </w14:solidFill>
                        </w14:textFill>
                      </w:rPr>
                      <w:t>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- 8 -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C2474C"/>
    <w:multiLevelType w:val="singleLevel"/>
    <w:tmpl w:val="C6C2474C"/>
    <w:lvl w:ilvl="0" w:tentative="0">
      <w:start w:val="1"/>
      <w:numFmt w:val="decimal"/>
      <w:lvlText w:val="%1."/>
      <w:lvlJc w:val="left"/>
      <w:pPr>
        <w:tabs>
          <w:tab w:val="left" w:pos="312"/>
        </w:tabs>
      </w:pPr>
    </w:lvl>
  </w:abstractNum>
  <w:abstractNum w:abstractNumId="1">
    <w:nsid w:val="FB9FD0E1"/>
    <w:multiLevelType w:val="singleLevel"/>
    <w:tmpl w:val="FB9FD0E1"/>
    <w:lvl w:ilvl="0" w:tentative="0">
      <w:start w:val="2"/>
      <w:numFmt w:val="chineseCount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97"/>
  <w:drawingGridVerticalSpacing w:val="144"/>
  <w:displayHorizontalDrawingGridEvery w:val="2"/>
  <w:displayVerticalDrawingGridEvery w:val="2"/>
  <w:doNotUseMarginsForDrawingGridOrigin w:val="1"/>
  <w:drawingGridHorizontalOrigin w:val="1702"/>
  <w:drawingGridVerticalOrigin w:val="1985"/>
  <w:characterSpacingControl w:val="compressPunctuation"/>
  <w:compat>
    <w:spaceForUL/>
    <w:balanceSingleByteDoubleByteWidth/>
    <w:ulTrailSpace/>
    <w:doNotExpandShiftReturn/>
    <w:alignTablesRowByRow/>
    <w:adjustLineHeightInTable/>
    <w:doNotUseHTMLParagraphAutoSpacing/>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MzQ3NGUwZmI1YjVlMmI2ODY0YzUwZDU3ZDU2MmIzZjkifQ=="/>
  </w:docVars>
  <w:rsids>
    <w:rsidRoot w:val="00600AB7"/>
    <w:rsid w:val="0014153B"/>
    <w:rsid w:val="00174162"/>
    <w:rsid w:val="00174AD7"/>
    <w:rsid w:val="0021158C"/>
    <w:rsid w:val="002F7648"/>
    <w:rsid w:val="00343E4A"/>
    <w:rsid w:val="003A6A1D"/>
    <w:rsid w:val="00406CAD"/>
    <w:rsid w:val="0041333F"/>
    <w:rsid w:val="00427881"/>
    <w:rsid w:val="004C5587"/>
    <w:rsid w:val="004D608D"/>
    <w:rsid w:val="0051586F"/>
    <w:rsid w:val="005E28E4"/>
    <w:rsid w:val="00600AB7"/>
    <w:rsid w:val="006E2DD9"/>
    <w:rsid w:val="006F470F"/>
    <w:rsid w:val="00706D5B"/>
    <w:rsid w:val="00930D22"/>
    <w:rsid w:val="009441E1"/>
    <w:rsid w:val="00A14A00"/>
    <w:rsid w:val="00B97F1C"/>
    <w:rsid w:val="00BA7035"/>
    <w:rsid w:val="00BD2504"/>
    <w:rsid w:val="00C33BCC"/>
    <w:rsid w:val="00CA6509"/>
    <w:rsid w:val="00E01EB7"/>
    <w:rsid w:val="00E079E9"/>
    <w:rsid w:val="00E8431E"/>
    <w:rsid w:val="00EC5D0D"/>
    <w:rsid w:val="00EF2137"/>
    <w:rsid w:val="00F64E4B"/>
    <w:rsid w:val="00F66BBA"/>
    <w:rsid w:val="015C44B3"/>
    <w:rsid w:val="017A64BE"/>
    <w:rsid w:val="019B0331"/>
    <w:rsid w:val="021D0546"/>
    <w:rsid w:val="044D343E"/>
    <w:rsid w:val="048B4CCD"/>
    <w:rsid w:val="05057EB4"/>
    <w:rsid w:val="058E0BB0"/>
    <w:rsid w:val="05CD19D9"/>
    <w:rsid w:val="06760D48"/>
    <w:rsid w:val="06DF53E3"/>
    <w:rsid w:val="082A44F6"/>
    <w:rsid w:val="08526DAD"/>
    <w:rsid w:val="089A14F6"/>
    <w:rsid w:val="08BB3F46"/>
    <w:rsid w:val="09184A84"/>
    <w:rsid w:val="099E5107"/>
    <w:rsid w:val="0A081EE5"/>
    <w:rsid w:val="0AF23873"/>
    <w:rsid w:val="0B426DA1"/>
    <w:rsid w:val="0C347FF3"/>
    <w:rsid w:val="0C820A4C"/>
    <w:rsid w:val="0D061AE1"/>
    <w:rsid w:val="0D233A80"/>
    <w:rsid w:val="0D371F8D"/>
    <w:rsid w:val="0DB4279E"/>
    <w:rsid w:val="0DDD1A34"/>
    <w:rsid w:val="0E144EFD"/>
    <w:rsid w:val="0E1E24E9"/>
    <w:rsid w:val="0ED13B00"/>
    <w:rsid w:val="0EEE5065"/>
    <w:rsid w:val="0F4B21BF"/>
    <w:rsid w:val="0F4D094A"/>
    <w:rsid w:val="11531700"/>
    <w:rsid w:val="11BD3FB4"/>
    <w:rsid w:val="11F56458"/>
    <w:rsid w:val="12065B6C"/>
    <w:rsid w:val="1271057B"/>
    <w:rsid w:val="131F30E1"/>
    <w:rsid w:val="13CD2E74"/>
    <w:rsid w:val="14BC694F"/>
    <w:rsid w:val="15D36A23"/>
    <w:rsid w:val="160F0897"/>
    <w:rsid w:val="171A53B4"/>
    <w:rsid w:val="178D6395"/>
    <w:rsid w:val="18011381"/>
    <w:rsid w:val="181B5328"/>
    <w:rsid w:val="185377BA"/>
    <w:rsid w:val="18860028"/>
    <w:rsid w:val="188C0EEC"/>
    <w:rsid w:val="188F2832"/>
    <w:rsid w:val="189032A4"/>
    <w:rsid w:val="194567B4"/>
    <w:rsid w:val="196A48CD"/>
    <w:rsid w:val="19902723"/>
    <w:rsid w:val="1A003F36"/>
    <w:rsid w:val="1A256A45"/>
    <w:rsid w:val="1A535EC0"/>
    <w:rsid w:val="1AC21931"/>
    <w:rsid w:val="1ACC4FDD"/>
    <w:rsid w:val="1ACF0CEA"/>
    <w:rsid w:val="1B980572"/>
    <w:rsid w:val="1BD75E53"/>
    <w:rsid w:val="1BEC7F24"/>
    <w:rsid w:val="1C616EA1"/>
    <w:rsid w:val="1C9C290E"/>
    <w:rsid w:val="1CD27681"/>
    <w:rsid w:val="1DC70A2E"/>
    <w:rsid w:val="1E26378A"/>
    <w:rsid w:val="1E453A77"/>
    <w:rsid w:val="1F506DE4"/>
    <w:rsid w:val="1FE40E25"/>
    <w:rsid w:val="205653B8"/>
    <w:rsid w:val="20A1501F"/>
    <w:rsid w:val="20F079EB"/>
    <w:rsid w:val="212975EF"/>
    <w:rsid w:val="21E25116"/>
    <w:rsid w:val="21E973A1"/>
    <w:rsid w:val="224530B3"/>
    <w:rsid w:val="22455203"/>
    <w:rsid w:val="226B76DE"/>
    <w:rsid w:val="22CE3D23"/>
    <w:rsid w:val="22DC63E2"/>
    <w:rsid w:val="233224CF"/>
    <w:rsid w:val="2404248F"/>
    <w:rsid w:val="25534320"/>
    <w:rsid w:val="25AB7A13"/>
    <w:rsid w:val="26163E52"/>
    <w:rsid w:val="263B0190"/>
    <w:rsid w:val="263B2B0A"/>
    <w:rsid w:val="264C7D3E"/>
    <w:rsid w:val="265B486A"/>
    <w:rsid w:val="26E504A2"/>
    <w:rsid w:val="27272BCD"/>
    <w:rsid w:val="276F11F3"/>
    <w:rsid w:val="283D4D57"/>
    <w:rsid w:val="28C16B31"/>
    <w:rsid w:val="28D90D6B"/>
    <w:rsid w:val="290B18A4"/>
    <w:rsid w:val="29831395"/>
    <w:rsid w:val="299F132A"/>
    <w:rsid w:val="2A176917"/>
    <w:rsid w:val="2A5242BA"/>
    <w:rsid w:val="2A766026"/>
    <w:rsid w:val="2A845212"/>
    <w:rsid w:val="2ADA78FE"/>
    <w:rsid w:val="2ADF3A0C"/>
    <w:rsid w:val="2B1C248B"/>
    <w:rsid w:val="2B534D25"/>
    <w:rsid w:val="2B6335F6"/>
    <w:rsid w:val="2B6E0F7D"/>
    <w:rsid w:val="2BBC200F"/>
    <w:rsid w:val="2BCE7FDF"/>
    <w:rsid w:val="2C35443F"/>
    <w:rsid w:val="2C673D07"/>
    <w:rsid w:val="2C7653DA"/>
    <w:rsid w:val="2DF038D1"/>
    <w:rsid w:val="2DFC27F2"/>
    <w:rsid w:val="2DFD5547"/>
    <w:rsid w:val="2E3D106A"/>
    <w:rsid w:val="2E9D1940"/>
    <w:rsid w:val="2F4E6856"/>
    <w:rsid w:val="2FDC17D2"/>
    <w:rsid w:val="30303F89"/>
    <w:rsid w:val="30F87C0A"/>
    <w:rsid w:val="31D16A7B"/>
    <w:rsid w:val="326E42D3"/>
    <w:rsid w:val="32CB0794"/>
    <w:rsid w:val="3300669F"/>
    <w:rsid w:val="33EB5316"/>
    <w:rsid w:val="340A4D0B"/>
    <w:rsid w:val="34117516"/>
    <w:rsid w:val="341713AC"/>
    <w:rsid w:val="3431735D"/>
    <w:rsid w:val="343D7E6D"/>
    <w:rsid w:val="347315FC"/>
    <w:rsid w:val="34986A1D"/>
    <w:rsid w:val="34AC6A5F"/>
    <w:rsid w:val="34D460EE"/>
    <w:rsid w:val="351E616D"/>
    <w:rsid w:val="355F534F"/>
    <w:rsid w:val="36D67942"/>
    <w:rsid w:val="388A54E9"/>
    <w:rsid w:val="391A1EB3"/>
    <w:rsid w:val="39243950"/>
    <w:rsid w:val="392927B9"/>
    <w:rsid w:val="39412B1C"/>
    <w:rsid w:val="3B3852C2"/>
    <w:rsid w:val="3B5275FB"/>
    <w:rsid w:val="3B7258E2"/>
    <w:rsid w:val="3C2F0DAF"/>
    <w:rsid w:val="3C35283F"/>
    <w:rsid w:val="3D32083E"/>
    <w:rsid w:val="3D3B56F0"/>
    <w:rsid w:val="3D7A14EE"/>
    <w:rsid w:val="3D8C7983"/>
    <w:rsid w:val="3DD3036D"/>
    <w:rsid w:val="3E0B5319"/>
    <w:rsid w:val="3EA37314"/>
    <w:rsid w:val="3EB93B26"/>
    <w:rsid w:val="3EE36836"/>
    <w:rsid w:val="3F1F5A17"/>
    <w:rsid w:val="3F23205D"/>
    <w:rsid w:val="3F6E0B8E"/>
    <w:rsid w:val="3FA954A8"/>
    <w:rsid w:val="40154D98"/>
    <w:rsid w:val="407F1C85"/>
    <w:rsid w:val="40EE6EEC"/>
    <w:rsid w:val="417A3E03"/>
    <w:rsid w:val="41DA7634"/>
    <w:rsid w:val="41FC680C"/>
    <w:rsid w:val="42BB2649"/>
    <w:rsid w:val="438B60BD"/>
    <w:rsid w:val="438F6F73"/>
    <w:rsid w:val="439E203F"/>
    <w:rsid w:val="43D80B3F"/>
    <w:rsid w:val="43E67120"/>
    <w:rsid w:val="43FA3332"/>
    <w:rsid w:val="448B2625"/>
    <w:rsid w:val="44FD1AF8"/>
    <w:rsid w:val="455A2199"/>
    <w:rsid w:val="456B61BB"/>
    <w:rsid w:val="46160E9A"/>
    <w:rsid w:val="46412D53"/>
    <w:rsid w:val="464A62EB"/>
    <w:rsid w:val="46677B6C"/>
    <w:rsid w:val="46824BFC"/>
    <w:rsid w:val="46CB5FCB"/>
    <w:rsid w:val="47F33B22"/>
    <w:rsid w:val="48820DFC"/>
    <w:rsid w:val="497E1B39"/>
    <w:rsid w:val="4A16249F"/>
    <w:rsid w:val="4ADA29BA"/>
    <w:rsid w:val="4AEA49AC"/>
    <w:rsid w:val="4B1B4BDE"/>
    <w:rsid w:val="4B5749B0"/>
    <w:rsid w:val="4B6D32FF"/>
    <w:rsid w:val="4CB372DB"/>
    <w:rsid w:val="4CE3517C"/>
    <w:rsid w:val="4E2B1832"/>
    <w:rsid w:val="4EA37040"/>
    <w:rsid w:val="4F3A65AB"/>
    <w:rsid w:val="507767B3"/>
    <w:rsid w:val="50A33CA1"/>
    <w:rsid w:val="50EA1D2A"/>
    <w:rsid w:val="51B769C2"/>
    <w:rsid w:val="525173E0"/>
    <w:rsid w:val="52D256A6"/>
    <w:rsid w:val="535015C7"/>
    <w:rsid w:val="536C0F29"/>
    <w:rsid w:val="540A327D"/>
    <w:rsid w:val="54867038"/>
    <w:rsid w:val="54D7602C"/>
    <w:rsid w:val="54DD6287"/>
    <w:rsid w:val="54E46EC4"/>
    <w:rsid w:val="55165C85"/>
    <w:rsid w:val="55481EE5"/>
    <w:rsid w:val="56227BDC"/>
    <w:rsid w:val="56C86FEC"/>
    <w:rsid w:val="57123FDC"/>
    <w:rsid w:val="57AE4111"/>
    <w:rsid w:val="57BB1AEF"/>
    <w:rsid w:val="584B55E9"/>
    <w:rsid w:val="58A8281B"/>
    <w:rsid w:val="59860A2F"/>
    <w:rsid w:val="59A26A76"/>
    <w:rsid w:val="59E83BDF"/>
    <w:rsid w:val="5ACF6F8D"/>
    <w:rsid w:val="5B160421"/>
    <w:rsid w:val="5B1D7908"/>
    <w:rsid w:val="5B594BBA"/>
    <w:rsid w:val="5C2727D3"/>
    <w:rsid w:val="5C3E0408"/>
    <w:rsid w:val="5C980D3B"/>
    <w:rsid w:val="5CA2584F"/>
    <w:rsid w:val="5D2D79DE"/>
    <w:rsid w:val="5D671A23"/>
    <w:rsid w:val="5D9A642F"/>
    <w:rsid w:val="5DB61A89"/>
    <w:rsid w:val="5E3A195D"/>
    <w:rsid w:val="5EC15D06"/>
    <w:rsid w:val="5F533B53"/>
    <w:rsid w:val="5FCF5DB3"/>
    <w:rsid w:val="5FEA28F4"/>
    <w:rsid w:val="600E576C"/>
    <w:rsid w:val="60AE1AFD"/>
    <w:rsid w:val="612E4C37"/>
    <w:rsid w:val="61AE1AD8"/>
    <w:rsid w:val="621004B9"/>
    <w:rsid w:val="6245436F"/>
    <w:rsid w:val="63835C0F"/>
    <w:rsid w:val="641C29D4"/>
    <w:rsid w:val="647F27B6"/>
    <w:rsid w:val="64D32BC5"/>
    <w:rsid w:val="64DF2C0C"/>
    <w:rsid w:val="65FD0D9C"/>
    <w:rsid w:val="66A37243"/>
    <w:rsid w:val="678D79DF"/>
    <w:rsid w:val="67BA5E3C"/>
    <w:rsid w:val="67D72F0F"/>
    <w:rsid w:val="680B3730"/>
    <w:rsid w:val="6898301A"/>
    <w:rsid w:val="697F71D7"/>
    <w:rsid w:val="698D107A"/>
    <w:rsid w:val="69A57E78"/>
    <w:rsid w:val="69DD6DB4"/>
    <w:rsid w:val="6AF102DC"/>
    <w:rsid w:val="6B72725F"/>
    <w:rsid w:val="6C540744"/>
    <w:rsid w:val="6C5E7517"/>
    <w:rsid w:val="6CE36B31"/>
    <w:rsid w:val="6D235139"/>
    <w:rsid w:val="6D2E41C2"/>
    <w:rsid w:val="6D3373BF"/>
    <w:rsid w:val="6E4D5D69"/>
    <w:rsid w:val="6E702150"/>
    <w:rsid w:val="6ED028B6"/>
    <w:rsid w:val="6F5E1C3E"/>
    <w:rsid w:val="704A391C"/>
    <w:rsid w:val="713F4D9B"/>
    <w:rsid w:val="732F60EA"/>
    <w:rsid w:val="73601AA0"/>
    <w:rsid w:val="736851EA"/>
    <w:rsid w:val="746E2BD7"/>
    <w:rsid w:val="74C42D12"/>
    <w:rsid w:val="74FC4FB2"/>
    <w:rsid w:val="753D68E3"/>
    <w:rsid w:val="7659137E"/>
    <w:rsid w:val="767A68A9"/>
    <w:rsid w:val="76AA2F8D"/>
    <w:rsid w:val="770E5F4C"/>
    <w:rsid w:val="77437B63"/>
    <w:rsid w:val="778858C1"/>
    <w:rsid w:val="783E1927"/>
    <w:rsid w:val="788F0F4F"/>
    <w:rsid w:val="78E032C5"/>
    <w:rsid w:val="791F1287"/>
    <w:rsid w:val="7927511C"/>
    <w:rsid w:val="79CB2F49"/>
    <w:rsid w:val="7A0D116A"/>
    <w:rsid w:val="7A137ED4"/>
    <w:rsid w:val="7A1E09D9"/>
    <w:rsid w:val="7A331B6A"/>
    <w:rsid w:val="7A6B5763"/>
    <w:rsid w:val="7A8B470C"/>
    <w:rsid w:val="7A9E7974"/>
    <w:rsid w:val="7B817A31"/>
    <w:rsid w:val="7B926E8F"/>
    <w:rsid w:val="7C8F2E2A"/>
    <w:rsid w:val="7CA66FDF"/>
    <w:rsid w:val="7D43468F"/>
    <w:rsid w:val="7D8739F6"/>
    <w:rsid w:val="7D9C27B2"/>
    <w:rsid w:val="7DDA35F9"/>
    <w:rsid w:val="7DF33A26"/>
    <w:rsid w:val="7F1109B6"/>
    <w:rsid w:val="7F9210A9"/>
    <w:rsid w:val="7FF2106E"/>
    <w:rsid w:val="7FF33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0"/>
    <w:pPr>
      <w:ind w:firstLine="200" w:firstLineChars="200"/>
    </w:pPr>
  </w:style>
  <w:style w:type="character" w:customStyle="1" w:styleId="7">
    <w:name w:val="font31"/>
    <w:basedOn w:val="5"/>
    <w:qFormat/>
    <w:uiPriority w:val="0"/>
    <w:rPr>
      <w:rFonts w:ascii="黑体" w:hAnsi="宋体" w:eastAsia="黑体" w:cs="黑体"/>
      <w:color w:val="000000"/>
      <w:sz w:val="40"/>
      <w:szCs w:val="40"/>
      <w:u w:val="none"/>
    </w:rPr>
  </w:style>
  <w:style w:type="character" w:customStyle="1" w:styleId="8">
    <w:name w:val="font21"/>
    <w:basedOn w:val="5"/>
    <w:qFormat/>
    <w:uiPriority w:val="0"/>
    <w:rPr>
      <w:rFonts w:hint="eastAsia" w:ascii="宋体" w:hAnsi="宋体" w:eastAsia="宋体" w:cs="宋体"/>
      <w:b/>
      <w:color w:val="000000"/>
      <w:sz w:val="32"/>
      <w:szCs w:val="32"/>
      <w:u w:val="none"/>
    </w:rPr>
  </w:style>
  <w:style w:type="character" w:customStyle="1" w:styleId="9">
    <w:name w:val="font81"/>
    <w:basedOn w:val="5"/>
    <w:qFormat/>
    <w:uiPriority w:val="0"/>
    <w:rPr>
      <w:rFonts w:ascii="黑体" w:hAnsi="宋体" w:eastAsia="黑体" w:cs="黑体"/>
      <w:color w:val="000000"/>
      <w:sz w:val="40"/>
      <w:szCs w:val="40"/>
      <w:u w:val="none"/>
    </w:rPr>
  </w:style>
  <w:style w:type="character" w:customStyle="1" w:styleId="10">
    <w:name w:val="font11"/>
    <w:basedOn w:val="5"/>
    <w:qFormat/>
    <w:uiPriority w:val="0"/>
    <w:rPr>
      <w:rFonts w:ascii="黑体" w:hAnsi="宋体" w:eastAsia="黑体" w:cs="黑体"/>
      <w:color w:val="000000"/>
      <w:sz w:val="36"/>
      <w:szCs w:val="36"/>
      <w:u w:val="none"/>
    </w:rPr>
  </w:style>
  <w:style w:type="character" w:customStyle="1" w:styleId="11">
    <w:name w:val="font41"/>
    <w:basedOn w:val="5"/>
    <w:qFormat/>
    <w:uiPriority w:val="0"/>
    <w:rPr>
      <w:rFonts w:ascii="黑体" w:hAnsi="宋体" w:eastAsia="黑体" w:cs="黑体"/>
      <w:color w:val="000000"/>
      <w:sz w:val="36"/>
      <w:szCs w:val="36"/>
      <w:u w:val="none"/>
    </w:rPr>
  </w:style>
  <w:style w:type="character" w:customStyle="1" w:styleId="12">
    <w:name w:val="font112"/>
    <w:basedOn w:val="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3957</Words>
  <Characters>4476</Characters>
  <Lines>31</Lines>
  <Paragraphs>8</Paragraphs>
  <TotalTime>1</TotalTime>
  <ScaleCrop>false</ScaleCrop>
  <LinksUpToDate>false</LinksUpToDate>
  <CharactersWithSpaces>4489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2017-10-31T03:37:00Z</dcterms:created>
  <dc:creator>czjysc</dc:creator>
  <cp:lastModifiedBy>Midnight Sun</cp:lastModifiedBy>
  <cp:lastPrinted>2022-01-19T01:51:00Z</cp:lastPrinted>
  <dcterms:modified xsi:type="dcterms:W3CDTF">2025-08-22T02:16:44Z</dcterms:modified>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8484F68F47544D01A87EAA7B6EFA1B26_13</vt:lpwstr>
  </property>
  <property fmtid="{D5CDD505-2E9C-101B-9397-08002B2CF9AE}" pid="4" name="KSOTemplateDocerSaveRecord">
    <vt:lpwstr>eyJoZGlkIjoiNjhhNTg3ZmY3ZDJiODRhMGExZjczZjIwN2RiNjA5MWYiLCJ1c2VySWQiOiIyNTMyNDgzMTgifQ==</vt:lpwstr>
  </property>
</Properties>
</file>