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left"/>
        <w:textAlignment w:val="auto"/>
        <w:outlineLvl w:val="9"/>
        <w:rPr>
          <w:rFonts w:hint="eastAsia" w:ascii="仿宋_GB2312" w:hAnsi="仿宋_GB2312" w:eastAsia="仿宋_GB2312" w:cs="仿宋_GB2312"/>
          <w:b w:val="0"/>
          <w:bCs/>
          <w:color w:val="000000" w:themeColor="text1"/>
          <w:w w:val="8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w w:val="80"/>
          <w:sz w:val="32"/>
          <w:szCs w:val="32"/>
          <w:lang w:val="en-US" w:eastAsia="zh-CN"/>
          <w14:textFill>
            <w14:solidFill>
              <w14:schemeClr w14:val="tx1"/>
            </w14:solidFill>
          </w14:textFill>
        </w:rPr>
        <w:t>附件6-1</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80"/>
          <w:sz w:val="44"/>
          <w:szCs w:val="44"/>
          <w:lang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贵阳市公安局花溪分局</w:t>
      </w:r>
      <w:r>
        <w:rPr>
          <w:rFonts w:hint="eastAsia" w:ascii="方正小标宋简体" w:hAnsi="方正小标宋简体" w:eastAsia="方正小标宋简体" w:cs="方正小标宋简体"/>
          <w:b w:val="0"/>
          <w:bCs/>
          <w:color w:val="000000" w:themeColor="text1"/>
          <w:w w:val="8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坚持政治建警全面</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从严治警</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”教育整顿</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和”创文”相关建设</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项目</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支出自评报告</w:t>
      </w:r>
    </w:p>
    <w:p>
      <w:pPr>
        <w:keepNext w:val="0"/>
        <w:keepLines w:val="0"/>
        <w:pageBreakBefore w:val="0"/>
        <w:kinsoku/>
        <w:wordWrap/>
        <w:overflowPunct/>
        <w:topLinePunct w:val="0"/>
        <w:autoSpaceDN/>
        <w:bidi w:val="0"/>
        <w:adjustRightInd/>
        <w:snapToGrid/>
        <w:spacing w:line="560" w:lineRule="exact"/>
        <w:ind w:firstLine="883" w:firstLineChars="200"/>
        <w:jc w:val="center"/>
        <w:textAlignment w:val="auto"/>
        <w:outlineLvl w:val="9"/>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一、项目基本情况及评价范围</w:t>
      </w:r>
    </w:p>
    <w:p>
      <w:pPr>
        <w:keepNext w:val="0"/>
        <w:keepLines w:val="0"/>
        <w:pageBreakBefore w:val="0"/>
        <w:kinsoku/>
        <w:wordWrap/>
        <w:overflowPunct/>
        <w:topLinePunct w:val="0"/>
        <w:autoSpaceDN/>
        <w:bidi w:val="0"/>
        <w:adjustRightInd/>
        <w:snapToGrid/>
        <w:spacing w:line="560" w:lineRule="exact"/>
        <w:ind w:right="120" w:firstLine="643" w:firstLineChars="200"/>
        <w:jc w:val="both"/>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（一）项目概况</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hAnsi="方正小标宋简体" w:eastAsia="仿宋_GB2312"/>
          <w:bCs/>
          <w:color w:val="000000"/>
          <w:sz w:val="32"/>
          <w:szCs w:val="32"/>
        </w:rPr>
        <w:t>“坚持政治建警全面从严治警”教育整顿启动以来，花溪分局在省厅、市局党委的坚强领导下，坚持把教育整顿作为政治建警的“必修课”，从严治警的“紧箍咒”，巡察整改的“好处方”，改进作风的“新起点”，对照“四个进一步”目标，剑指“庸、懒、散、痹”突出问题，将“政治建警全面从严治警”教育整顿试点成果汇聚成推进新时代花溪公安工作高质量发展的强大正能量。通过该项目的建设，全面提升人民群众的获得感、幸福感和满意度。</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default" w:ascii="仿宋_GB2312" w:hAnsi="方正小标宋简体" w:eastAsia="仿宋_GB2312"/>
          <w:bCs/>
          <w:color w:val="000000"/>
          <w:sz w:val="32"/>
          <w:szCs w:val="32"/>
          <w:lang w:val="en-US" w:eastAsia="zh-CN"/>
        </w:rPr>
      </w:pPr>
      <w:r>
        <w:rPr>
          <w:rFonts w:hint="eastAsia" w:ascii="仿宋_GB2312" w:hAnsi="方正小标宋简体" w:eastAsia="仿宋_GB2312"/>
          <w:bCs/>
          <w:color w:val="000000"/>
          <w:sz w:val="32"/>
          <w:szCs w:val="32"/>
        </w:rPr>
        <w:t>本项目2020年一次性投入</w:t>
      </w:r>
      <w:r>
        <w:rPr>
          <w:rFonts w:hint="eastAsia" w:ascii="仿宋_GB2312" w:hAnsi="方正小标宋简体" w:eastAsia="仿宋_GB2312"/>
          <w:bCs/>
          <w:color w:val="000000"/>
          <w:sz w:val="32"/>
          <w:szCs w:val="32"/>
          <w:lang w:val="en-US" w:eastAsia="zh-CN"/>
        </w:rPr>
        <w:t>400</w:t>
      </w:r>
      <w:r>
        <w:rPr>
          <w:rFonts w:hint="eastAsia" w:ascii="仿宋_GB2312" w:hAnsi="方正小标宋简体" w:eastAsia="仿宋_GB2312"/>
          <w:bCs/>
          <w:color w:val="000000"/>
          <w:sz w:val="32"/>
          <w:szCs w:val="32"/>
        </w:rPr>
        <w:t>万元，</w:t>
      </w:r>
      <w:r>
        <w:rPr>
          <w:rFonts w:hint="eastAsia" w:ascii="仿宋_GB2312" w:hAnsi="方正小标宋简体" w:eastAsia="仿宋_GB2312"/>
          <w:bCs/>
          <w:color w:val="000000"/>
          <w:sz w:val="32"/>
          <w:szCs w:val="32"/>
          <w:lang w:val="en-US" w:eastAsia="zh-CN"/>
        </w:rPr>
        <w:t>实际执行248.90万元。</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（二）项目绩效目标及目标完成情况</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 xml:space="preserve">项目总绩效目标  </w:t>
      </w:r>
      <w:r>
        <w:rPr>
          <w:rFonts w:hint="eastAsia" w:ascii="仿宋_GB2312" w:eastAsia="仿宋_GB2312" w:cs="宋体"/>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s="宋体"/>
          <w:color w:val="000000" w:themeColor="text1"/>
          <w:sz w:val="32"/>
          <w:szCs w:val="32"/>
          <w14:textFill>
            <w14:solidFill>
              <w14:schemeClr w14:val="tx1"/>
            </w14:solidFill>
          </w14:textFill>
        </w:rPr>
        <w:t>探索“一三六六”总体工作思路，即：聚焦“一个”主题（坚持政治建警全面从严治警），坚持“三高”要求（高站位推动、高规格部署、高标准落实），落实“六项”措施（六学六谈六查六改六保），收获“六点”体会，结合公</w:t>
      </w:r>
      <w:r>
        <w:rPr>
          <w:rFonts w:hint="eastAsia" w:ascii="仿宋_GB2312" w:hAnsi="方正小标宋简体" w:eastAsia="仿宋_GB2312"/>
          <w:bCs/>
          <w:color w:val="000000"/>
          <w:sz w:val="32"/>
          <w:szCs w:val="32"/>
        </w:rPr>
        <w:t>安主责主业，紧盯巡察问题整改，</w:t>
      </w:r>
      <w:r>
        <w:rPr>
          <w:rFonts w:hint="eastAsia" w:ascii="仿宋_GB2312" w:eastAsia="仿宋_GB2312"/>
          <w:color w:val="000000"/>
          <w:sz w:val="32"/>
          <w:szCs w:val="32"/>
        </w:rPr>
        <w:t>统筹推进“坚持政治建警全面从严治警”教育整顿（下称“教育整顿”），锻造“忠诚、干净、担当、团结”的新时代花溪公安铁军。</w:t>
      </w:r>
      <w:r>
        <w:rPr>
          <w:rFonts w:hint="eastAsia" w:ascii="仿宋_GB2312" w:hAnsi="方正小标宋简体" w:eastAsia="仿宋_GB2312"/>
          <w:bCs/>
          <w:color w:val="000000"/>
          <w:sz w:val="32"/>
          <w:szCs w:val="32"/>
        </w:rPr>
        <w:t>全面提升人民群众的获得感、幸福感和满意度。</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s="宋体"/>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项目年度绩效目标</w:t>
      </w:r>
    </w:p>
    <w:p>
      <w:pPr>
        <w:pStyle w:val="8"/>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outlineLvl w:val="9"/>
        <w:rPr>
          <w:rFonts w:ascii="仿宋_GB2312" w:eastAsia="仿宋_GB2312" w:cs="宋体"/>
          <w:color w:val="FF0000"/>
          <w:sz w:val="32"/>
          <w:szCs w:val="32"/>
        </w:rPr>
      </w:pPr>
      <w:r>
        <w:rPr>
          <w:rFonts w:hint="eastAsia" w:ascii="仿宋_GB2312" w:eastAsia="仿宋_GB2312" w:cs="宋体"/>
          <w:color w:val="000000" w:themeColor="text1"/>
          <w:sz w:val="32"/>
          <w:szCs w:val="32"/>
          <w14:textFill>
            <w14:solidFill>
              <w14:schemeClr w14:val="tx1"/>
            </w14:solidFill>
          </w14:textFill>
        </w:rPr>
        <w:t>召开</w:t>
      </w:r>
      <w:r>
        <w:rPr>
          <w:rFonts w:hint="eastAsia" w:ascii="仿宋_GB2312" w:hAnsi="黑体" w:eastAsia="仿宋_GB2312"/>
          <w:color w:val="000000" w:themeColor="text1"/>
          <w:sz w:val="32"/>
          <w:szCs w:val="32"/>
          <w14:textFill>
            <w14:solidFill>
              <w14:schemeClr w14:val="tx1"/>
            </w14:solidFill>
          </w14:textFill>
        </w:rPr>
        <w:t>分局教育整顿动员部署会</w:t>
      </w:r>
      <w:r>
        <w:rPr>
          <w:rFonts w:hint="eastAsia" w:ascii="仿宋_GB2312" w:eastAsia="仿宋_GB2312" w:cs="宋体"/>
          <w:color w:val="000000" w:themeColor="text1"/>
          <w:sz w:val="32"/>
          <w:szCs w:val="32"/>
          <w14:textFill>
            <w14:solidFill>
              <w14:schemeClr w14:val="tx1"/>
            </w14:solidFill>
          </w14:textFill>
        </w:rPr>
        <w:t>，</w:t>
      </w:r>
      <w:r>
        <w:rPr>
          <w:rFonts w:hint="eastAsia" w:ascii="仿宋_GB2312" w:hAnsi="黑体" w:eastAsia="仿宋_GB2312" w:cs="Times New Roman"/>
          <w:color w:val="000000" w:themeColor="text1"/>
          <w:kern w:val="2"/>
          <w:sz w:val="32"/>
          <w:szCs w:val="32"/>
          <w14:textFill>
            <w14:solidFill>
              <w14:schemeClr w14:val="tx1"/>
            </w14:solidFill>
          </w14:textFill>
        </w:rPr>
        <w:t>立体化推进组织构架，</w:t>
      </w:r>
      <w:r>
        <w:rPr>
          <w:rFonts w:hint="eastAsia" w:eastAsia="仿宋_GB2312"/>
          <w:color w:val="000000" w:themeColor="text1"/>
          <w:sz w:val="32"/>
          <w:szCs w:val="32"/>
          <w14:textFill>
            <w14:solidFill>
              <w14:schemeClr w14:val="tx1"/>
            </w14:solidFill>
          </w14:textFill>
        </w:rPr>
        <w:t>成立由</w:t>
      </w:r>
      <w:r>
        <w:rPr>
          <w:rFonts w:hint="eastAsia" w:ascii="仿宋_GB2312" w:eastAsia="仿宋_GB2312" w:cs="仿宋_GB2312"/>
          <w:color w:val="000000" w:themeColor="text1"/>
          <w:sz w:val="32"/>
          <w:szCs w:val="32"/>
          <w14:textFill>
            <w14:solidFill>
              <w14:schemeClr w14:val="tx1"/>
            </w14:solidFill>
          </w14:textFill>
        </w:rPr>
        <w:t>局长、政委任“双组长”，其余党委成员任副组长，纪委书记、政工室主任兼任“双办公室主任”的</w:t>
      </w:r>
      <w:r>
        <w:rPr>
          <w:rFonts w:hint="eastAsia" w:ascii="仿宋_GB2312" w:hAnsi="黑体" w:eastAsia="仿宋_GB2312"/>
          <w:color w:val="000000" w:themeColor="text1"/>
          <w:sz w:val="32"/>
          <w:szCs w:val="32"/>
          <w14:textFill>
            <w14:solidFill>
              <w14:schemeClr w14:val="tx1"/>
            </w14:solidFill>
          </w14:textFill>
        </w:rPr>
        <w:t>教育整顿工作领导小组，各科所队主要负责人为成员，统筹推进分局教育整顿工作。</w:t>
      </w:r>
      <w:r>
        <w:rPr>
          <w:rFonts w:hint="eastAsia" w:ascii="仿宋_GB2312" w:eastAsia="仿宋_GB2312" w:cs="仿宋_GB2312"/>
          <w:color w:val="000000" w:themeColor="text1"/>
          <w:sz w:val="32"/>
          <w:szCs w:val="32"/>
          <w14:textFill>
            <w14:solidFill>
              <w14:schemeClr w14:val="tx1"/>
            </w14:solidFill>
          </w14:textFill>
        </w:rPr>
        <w:t>制定落实“1+3+N”方案体系，</w:t>
      </w:r>
      <w:r>
        <w:rPr>
          <w:rFonts w:hint="eastAsia" w:ascii="仿宋_GB2312" w:hAnsi="黑体" w:eastAsia="仿宋_GB2312"/>
          <w:color w:val="000000" w:themeColor="text1"/>
          <w:sz w:val="32"/>
          <w:szCs w:val="32"/>
          <w14:textFill>
            <w14:solidFill>
              <w14:schemeClr w14:val="tx1"/>
            </w14:solidFill>
          </w14:textFill>
        </w:rPr>
        <w:t>各项任务列出清单、明确责任人、规定完成时限，做到教育整顿试点工作按“路线图、责任单、时间表”推进，确保各项工作举措落实落细。</w:t>
      </w:r>
      <w:r>
        <w:rPr>
          <w:rFonts w:hint="eastAsia" w:ascii="仿宋_GB2312" w:eastAsia="仿宋_GB2312"/>
          <w:color w:val="000000" w:themeColor="text1"/>
          <w:sz w:val="32"/>
          <w:szCs w:val="32"/>
          <w14:textFill>
            <w14:solidFill>
              <w14:schemeClr w14:val="tx1"/>
            </w14:solidFill>
          </w14:textFill>
        </w:rPr>
        <w:t>以执法规范化，提升民警</w:t>
      </w:r>
      <w:r>
        <w:rPr>
          <w:rFonts w:hint="eastAsia" w:ascii="仿宋_GB2312" w:hAnsi="Calibri" w:eastAsia="仿宋_GB2312"/>
          <w:color w:val="000000" w:themeColor="text1"/>
          <w:sz w:val="32"/>
          <w:szCs w:val="32"/>
          <w14:textFill>
            <w14:solidFill>
              <w14:schemeClr w14:val="tx1"/>
            </w14:solidFill>
          </w14:textFill>
        </w:rPr>
        <w:t>精细化水平。</w:t>
      </w:r>
      <w:r>
        <w:rPr>
          <w:rFonts w:hint="eastAsia" w:ascii="仿宋_GB2312" w:hAnsi="仿宋_GB2312" w:eastAsia="仿宋_GB2312" w:cs="仿宋_GB2312"/>
          <w:color w:val="000000" w:themeColor="text1"/>
          <w:sz w:val="32"/>
          <w:szCs w:val="32"/>
          <w14:textFill>
            <w14:solidFill>
              <w14:schemeClr w14:val="tx1"/>
            </w14:solidFill>
          </w14:textFill>
        </w:rPr>
        <w:t>让人民群众在每一起案件办理和每一件事情处理上都能感受到公平正义，不断增强人民群众获得感、幸福感、安全感。</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cs="宋体"/>
          <w:b/>
          <w:bCs/>
          <w:color w:val="000000" w:themeColor="text1"/>
          <w:sz w:val="32"/>
          <w:szCs w:val="32"/>
          <w:lang w:val="en-US" w:eastAsia="zh-CN"/>
          <w14:textFill>
            <w14:solidFill>
              <w14:schemeClr w14:val="tx1"/>
            </w14:solidFill>
          </w14:textFill>
        </w:rPr>
        <w:t>3.</w:t>
      </w:r>
      <w:r>
        <w:rPr>
          <w:rFonts w:hint="eastAsia" w:ascii="仿宋_GB2312" w:eastAsia="仿宋_GB2312" w:cs="宋体"/>
          <w:b/>
          <w:bCs/>
          <w:color w:val="000000" w:themeColor="text1"/>
          <w:sz w:val="32"/>
          <w:szCs w:val="32"/>
          <w14:textFill>
            <w14:solidFill>
              <w14:schemeClr w14:val="tx1"/>
            </w14:solidFill>
          </w14:textFill>
        </w:rPr>
        <w:t>绩效目标完成情况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hAnsi="方正小标宋简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2020年以来，花溪区社会治安持续向好，打防质效不断提升，实现了“一稳四降六升”的目标，即：</w:t>
      </w:r>
      <w:r>
        <w:rPr>
          <w:rFonts w:hint="eastAsia" w:ascii="仿宋_GB2312" w:hAnsi="宋体" w:eastAsia="仿宋_GB2312"/>
          <w:color w:val="000000" w:themeColor="text1"/>
          <w:sz w:val="32"/>
          <w:szCs w:val="32"/>
          <w14:textFill>
            <w14:solidFill>
              <w14:schemeClr w14:val="tx1"/>
            </w14:solidFill>
          </w14:textFill>
        </w:rPr>
        <w:t>1至10月，</w:t>
      </w:r>
      <w:r>
        <w:rPr>
          <w:rFonts w:hint="eastAsia" w:ascii="仿宋_GB2312" w:hAnsi="宋体" w:eastAsia="仿宋_GB2312"/>
          <w:bCs/>
          <w:color w:val="000000" w:themeColor="text1"/>
          <w:sz w:val="32"/>
          <w:szCs w:val="32"/>
          <w14:textFill>
            <w14:solidFill>
              <w14:schemeClr w14:val="tx1"/>
            </w14:solidFill>
          </w14:textFill>
        </w:rPr>
        <w:t>刑事发案总体平稳；盗窃、抢劫、抢夺、“八类”案件立案数同比分别下降22.74%、33.33%、100%、18.33%；总破案数、盗窃案件破案数、诈骗案件破案数、现行案件破案数、“盗抢骗”破案率、打处数同比分别上升22.21%、35.9%、61.32%、19.58%、8.69%、48.72%。</w:t>
      </w:r>
      <w:r>
        <w:rPr>
          <w:rFonts w:hint="eastAsia" w:ascii="仿宋_GB2312" w:hAnsi="方正小标宋简体" w:eastAsia="仿宋_GB2312"/>
          <w:bCs/>
          <w:color w:val="000000" w:themeColor="text1"/>
          <w:sz w:val="32"/>
          <w:szCs w:val="32"/>
          <w14:textFill>
            <w14:solidFill>
              <w14:schemeClr w14:val="tx1"/>
            </w14:solidFill>
          </w14:textFill>
        </w:rPr>
        <w:t>快速侦破系列盗窃案，9月25日中央电视台“天网”栏目进行了专题报道；快速破获“9·13”“9·18”命案，及时消除影响。2020年三季度，分局综合目标绩效考核在全市排名环比二季度提升了2名，以工作成果检验教育整顿的成效。</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二、评价依据</w:t>
      </w:r>
    </w:p>
    <w:p>
      <w:pPr>
        <w:pStyle w:val="8"/>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“八类”案件立案数</w:t>
      </w:r>
      <w:r>
        <w:rPr>
          <w:rFonts w:hint="eastAsia" w:ascii="仿宋_GB2312" w:hAnsi="宋体" w:eastAsia="仿宋_GB2312"/>
          <w:bCs/>
          <w:color w:val="000000" w:themeColor="text1"/>
          <w:sz w:val="32"/>
          <w:szCs w:val="32"/>
          <w:lang w:eastAsia="zh-CN"/>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总破案数、盗窃案件破案数、诈骗案件破案数、现行案件破案数、“盗抢骗”破案率、打处数</w:t>
      </w:r>
      <w:r>
        <w:rPr>
          <w:rFonts w:hint="eastAsia" w:ascii="仿宋_GB2312" w:hAnsi="宋体" w:eastAsia="仿宋_GB2312"/>
          <w:bCs/>
          <w:color w:val="000000" w:themeColor="text1"/>
          <w:sz w:val="32"/>
          <w:szCs w:val="32"/>
          <w:lang w:val="en-US" w:eastAsia="zh-CN"/>
          <w14:textFill>
            <w14:solidFill>
              <w14:schemeClr w14:val="tx1"/>
            </w14:solidFill>
          </w14:textFill>
        </w:rPr>
        <w:t>及</w:t>
      </w:r>
      <w:r>
        <w:rPr>
          <w:rFonts w:hint="eastAsia" w:ascii="仿宋_GB2312" w:hAnsi="方正小标宋简体" w:eastAsia="仿宋_GB2312"/>
          <w:bCs/>
          <w:color w:val="000000" w:themeColor="text1"/>
          <w:sz w:val="32"/>
          <w:szCs w:val="32"/>
          <w14:textFill>
            <w14:solidFill>
              <w14:schemeClr w14:val="tx1"/>
            </w14:solidFill>
          </w14:textFill>
        </w:rPr>
        <w:t>综合目标绩效考核在全市排名</w:t>
      </w:r>
      <w:r>
        <w:rPr>
          <w:rFonts w:hint="eastAsia" w:ascii="仿宋_GB2312" w:hAnsi="方正小标宋简体" w:eastAsia="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人民群众获得感、幸福感、安全感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是否提升。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三、各项评价指标综合评价及说明</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（一）资金落实</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资金到位率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02</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14:textFill>
            <w14:solidFill>
              <w14:schemeClr w14:val="tx1"/>
            </w14:solidFill>
          </w14:textFill>
        </w:rPr>
        <w:t>年度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相关建设项目资金</w:t>
      </w:r>
      <w:r>
        <w:rPr>
          <w:rFonts w:hint="eastAsia" w:ascii="仿宋_GB2312" w:eastAsia="仿宋_GB2312" w:cs="仿宋_GB2312"/>
          <w:color w:val="000000" w:themeColor="text1"/>
          <w:sz w:val="32"/>
          <w:szCs w:val="32"/>
          <w14:textFill>
            <w14:solidFill>
              <w14:schemeClr w14:val="tx1"/>
            </w14:solidFill>
          </w14:textFill>
        </w:rPr>
        <w:t>应到位资金</w:t>
      </w:r>
      <w:r>
        <w:rPr>
          <w:rFonts w:hint="eastAsia" w:ascii="仿宋_GB2312" w:eastAsia="仿宋_GB2312" w:cs="仿宋_GB2312"/>
          <w:color w:val="000000" w:themeColor="text1"/>
          <w:sz w:val="32"/>
          <w:szCs w:val="32"/>
          <w:lang w:val="en-US" w:eastAsia="zh-CN"/>
          <w14:textFill>
            <w14:solidFill>
              <w14:schemeClr w14:val="tx1"/>
            </w14:solidFill>
          </w14:textFill>
        </w:rPr>
        <w:t>400</w:t>
      </w:r>
      <w:r>
        <w:rPr>
          <w:rFonts w:hint="eastAsia" w:ascii="仿宋_GB2312" w:eastAsia="仿宋_GB2312" w:cs="仿宋_GB2312"/>
          <w:color w:val="000000" w:themeColor="text1"/>
          <w:sz w:val="32"/>
          <w:szCs w:val="32"/>
          <w14:textFill>
            <w14:solidFill>
              <w14:schemeClr w14:val="tx1"/>
            </w14:solidFill>
          </w14:textFill>
        </w:rPr>
        <w:t>万元，实际到位资金</w:t>
      </w:r>
      <w:r>
        <w:rPr>
          <w:rFonts w:hint="eastAsia" w:ascii="仿宋_GB2312" w:eastAsia="仿宋_GB2312" w:cs="仿宋_GB2312"/>
          <w:color w:val="000000" w:themeColor="text1"/>
          <w:sz w:val="32"/>
          <w:szCs w:val="32"/>
          <w:lang w:val="en-US" w:eastAsia="zh-CN"/>
          <w14:textFill>
            <w14:solidFill>
              <w14:schemeClr w14:val="tx1"/>
            </w14:solidFill>
          </w14:textFill>
        </w:rPr>
        <w:t>248.9</w:t>
      </w:r>
      <w:r>
        <w:rPr>
          <w:rFonts w:hint="eastAsia" w:ascii="仿宋_GB2312" w:eastAsia="仿宋_GB2312" w:cs="仿宋_GB2312"/>
          <w:color w:val="000000" w:themeColor="text1"/>
          <w:sz w:val="32"/>
          <w:szCs w:val="32"/>
          <w14:textFill>
            <w14:solidFill>
              <w14:schemeClr w14:val="tx1"/>
            </w14:solidFill>
          </w14:textFill>
        </w:rPr>
        <w:t>万元，资金到位及时率为</w:t>
      </w:r>
      <w:r>
        <w:rPr>
          <w:rFonts w:hint="eastAsia" w:ascii="仿宋_GB2312" w:eastAsia="仿宋_GB2312" w:cs="仿宋_GB2312"/>
          <w:color w:val="000000" w:themeColor="text1"/>
          <w:sz w:val="32"/>
          <w:szCs w:val="32"/>
          <w:lang w:val="en-US" w:eastAsia="zh-CN"/>
          <w14:textFill>
            <w14:solidFill>
              <w14:schemeClr w14:val="tx1"/>
            </w14:solidFill>
          </w14:textFill>
        </w:rPr>
        <w:t>62.22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cs="宋体"/>
          <w:b/>
          <w:bCs/>
          <w:color w:val="000000" w:themeColor="text1"/>
          <w:sz w:val="32"/>
          <w:szCs w:val="32"/>
          <w:lang w:val="en-US" w:eastAsia="zh-CN"/>
          <w14:textFill>
            <w14:solidFill>
              <w14:schemeClr w14:val="tx1"/>
            </w14:solidFill>
          </w14:textFill>
        </w:rPr>
        <w:t>2.</w:t>
      </w:r>
      <w:r>
        <w:rPr>
          <w:rFonts w:hint="eastAsia" w:ascii="仿宋_GB2312" w:eastAsia="仿宋_GB2312" w:cs="宋体"/>
          <w:b/>
          <w:bCs/>
          <w:color w:val="000000" w:themeColor="text1"/>
          <w:sz w:val="32"/>
          <w:szCs w:val="32"/>
          <w14:textFill>
            <w14:solidFill>
              <w14:schemeClr w14:val="tx1"/>
            </w14:solidFill>
          </w14:textFill>
        </w:rPr>
        <w:t>资金到位情况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2020年</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w:t>
      </w:r>
      <w:r>
        <w:rPr>
          <w:rFonts w:hint="eastAsia" w:ascii="仿宋_GB2312" w:eastAsia="仿宋_GB2312" w:cs="宋体"/>
          <w:color w:val="000000" w:themeColor="text1"/>
          <w:sz w:val="32"/>
          <w:szCs w:val="32"/>
          <w:lang w:val="en-US" w:eastAsia="zh-CN"/>
          <w14:textFill>
            <w14:solidFill>
              <w14:schemeClr w14:val="tx1"/>
            </w14:solidFill>
          </w14:textFill>
        </w:rPr>
        <w:t>400</w:t>
      </w:r>
      <w:r>
        <w:rPr>
          <w:rFonts w:hint="eastAsia" w:ascii="仿宋_GB2312" w:eastAsia="仿宋_GB2312" w:cs="宋体"/>
          <w:color w:val="000000" w:themeColor="text1"/>
          <w:sz w:val="32"/>
          <w:szCs w:val="32"/>
          <w14:textFill>
            <w14:solidFill>
              <w14:schemeClr w14:val="tx1"/>
            </w14:solidFill>
          </w14:textFill>
        </w:rPr>
        <w:t>万元，</w:t>
      </w:r>
      <w:r>
        <w:rPr>
          <w:rFonts w:hint="eastAsia" w:ascii="仿宋_GB2312" w:eastAsia="仿宋_GB2312" w:cs="宋体"/>
          <w:color w:val="000000" w:themeColor="text1"/>
          <w:sz w:val="32"/>
          <w:szCs w:val="32"/>
          <w:lang w:val="en-US" w:eastAsia="zh-CN"/>
          <w14:textFill>
            <w14:solidFill>
              <w14:schemeClr w14:val="tx1"/>
            </w14:solidFill>
          </w14:textFill>
        </w:rPr>
        <w:t>均由区财政局安排预算。</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）业务管理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管理制度健全性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我局已制定相应的业务管理制度，并且业务管理制度合法、合规、完整。项目合同书、验收报告等资料齐全并及时归档。</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制度执行的有效性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严格按照采购程序办理相关采购，</w:t>
      </w:r>
      <w:r>
        <w:rPr>
          <w:rFonts w:hint="eastAsia" w:ascii="仿宋_GB2312" w:eastAsia="仿宋_GB2312" w:cs="仿宋_GB2312"/>
          <w:color w:val="000000" w:themeColor="text1"/>
          <w:sz w:val="32"/>
          <w:szCs w:val="32"/>
          <w14:textFill>
            <w14:solidFill>
              <w14:schemeClr w14:val="tx1"/>
            </w14:solidFill>
          </w14:textFill>
        </w:rPr>
        <w:t>项目需要验收时从</w:t>
      </w:r>
      <w:r>
        <w:rPr>
          <w:rFonts w:hint="eastAsia" w:ascii="仿宋_GB2312" w:eastAsia="仿宋_GB2312" w:cs="仿宋_GB2312"/>
          <w:color w:val="000000" w:themeColor="text1"/>
          <w:sz w:val="32"/>
          <w:szCs w:val="32"/>
          <w:lang w:val="en-US" w:eastAsia="zh-CN"/>
          <w14:textFill>
            <w14:solidFill>
              <w14:schemeClr w14:val="tx1"/>
            </w14:solidFill>
          </w14:textFill>
        </w:rPr>
        <w:t>法制大队、纪检、审计、财务、相关业务科室</w:t>
      </w:r>
      <w:r>
        <w:rPr>
          <w:rFonts w:hint="eastAsia" w:ascii="仿宋_GB2312" w:eastAsia="仿宋_GB2312" w:cs="仿宋_GB2312"/>
          <w:color w:val="000000" w:themeColor="text1"/>
          <w:sz w:val="32"/>
          <w:szCs w:val="32"/>
          <w14:textFill>
            <w14:solidFill>
              <w14:schemeClr w14:val="tx1"/>
            </w14:solidFill>
          </w14:textFill>
        </w:rPr>
        <w:t>抽调人员，组成联合验收小组进行验收。</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）财务管理</w:t>
      </w:r>
    </w:p>
    <w:p>
      <w:pPr>
        <w:keepNext w:val="0"/>
        <w:keepLines w:val="0"/>
        <w:pageBreakBefore w:val="0"/>
        <w:tabs>
          <w:tab w:val="left" w:pos="426"/>
        </w:tabs>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资金使用率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2020年度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相关建设项目预算资金400</w:t>
      </w:r>
      <w:r>
        <w:rPr>
          <w:rFonts w:hint="eastAsia" w:ascii="仿宋_GB2312" w:eastAsia="仿宋_GB2312" w:cs="仿宋_GB2312"/>
          <w:color w:val="000000" w:themeColor="text1"/>
          <w:sz w:val="32"/>
          <w:szCs w:val="32"/>
          <w14:textFill>
            <w14:solidFill>
              <w14:schemeClr w14:val="tx1"/>
            </w14:solidFill>
          </w14:textFill>
        </w:rPr>
        <w:t>万元，因</w:t>
      </w:r>
      <w:r>
        <w:rPr>
          <w:rFonts w:hint="eastAsia" w:ascii="仿宋_GB2312" w:eastAsia="仿宋_GB2312" w:cs="仿宋_GB2312"/>
          <w:color w:val="000000" w:themeColor="text1"/>
          <w:sz w:val="32"/>
          <w:szCs w:val="32"/>
          <w:lang w:val="en-US" w:eastAsia="zh-CN"/>
          <w14:textFill>
            <w14:solidFill>
              <w14:schemeClr w14:val="tx1"/>
            </w14:solidFill>
          </w14:textFill>
        </w:rPr>
        <w:t>项目进度问题</w:t>
      </w:r>
      <w:r>
        <w:rPr>
          <w:rFonts w:hint="eastAsia" w:ascii="仿宋_GB2312" w:eastAsia="仿宋_GB2312" w:cs="仿宋_GB2312"/>
          <w:color w:val="000000" w:themeColor="text1"/>
          <w:sz w:val="32"/>
          <w:szCs w:val="32"/>
          <w14:textFill>
            <w14:solidFill>
              <w14:schemeClr w14:val="tx1"/>
            </w14:solidFill>
          </w14:textFill>
        </w:rPr>
        <w:t>，导致项目无法验收，无法支付项目全部款项，项目实际支付资金</w:t>
      </w:r>
      <w:r>
        <w:rPr>
          <w:rFonts w:hint="eastAsia" w:ascii="仿宋_GB2312" w:eastAsia="仿宋_GB2312" w:cs="仿宋_GB2312"/>
          <w:color w:val="000000" w:themeColor="text1"/>
          <w:sz w:val="32"/>
          <w:szCs w:val="32"/>
          <w:lang w:val="en-US" w:eastAsia="zh-CN"/>
          <w14:textFill>
            <w14:solidFill>
              <w14:schemeClr w14:val="tx1"/>
            </w14:solidFill>
          </w14:textFill>
        </w:rPr>
        <w:t>248.9</w:t>
      </w:r>
      <w:r>
        <w:rPr>
          <w:rFonts w:hint="eastAsia" w:ascii="仿宋_GB2312" w:eastAsia="仿宋_GB2312" w:cs="仿宋_GB2312"/>
          <w:color w:val="000000" w:themeColor="text1"/>
          <w:sz w:val="32"/>
          <w:szCs w:val="32"/>
          <w14:textFill>
            <w14:solidFill>
              <w14:schemeClr w14:val="tx1"/>
            </w14:solidFill>
          </w14:textFill>
        </w:rPr>
        <w:t>万元，资金使用率为</w:t>
      </w:r>
      <w:r>
        <w:rPr>
          <w:rFonts w:hint="eastAsia" w:ascii="仿宋_GB2312" w:eastAsia="仿宋_GB2312" w:cs="仿宋_GB2312"/>
          <w:color w:val="000000" w:themeColor="text1"/>
          <w:sz w:val="32"/>
          <w:szCs w:val="32"/>
          <w:lang w:val="en-US" w:eastAsia="zh-CN"/>
          <w14:textFill>
            <w14:solidFill>
              <w14:schemeClr w14:val="tx1"/>
            </w14:solidFill>
          </w14:textFill>
        </w:rPr>
        <w:t>62.22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宋体"/>
          <w:color w:val="000000" w:themeColor="text1"/>
          <w:sz w:val="32"/>
          <w:szCs w:val="32"/>
          <w14:textFill>
            <w14:solidFill>
              <w14:schemeClr w14:val="tx1"/>
            </w14:solidFill>
          </w14:textFill>
        </w:rPr>
        <w:t>因资金使用率没有达到要求，故此项扣3分。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资金使用合规性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项目资金使用符合国家财经法规和财务管理制度以及有关专项资金管理办法的规定，从验收、拨付、审核、支付有一整套流程，均符合国家财经法规和财务管理制度，符合项目预算批复或合同规定的用途。无截留、挤占、挪用、虚开支出等情况，故此项得满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财务监控有效性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建立了较为全面的财务管理制度、预算管理办法等管理制度</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相关管理制度合法、合规、完整，并按照相关规定执行，采取了相应的财务检查等必要的监控措施或手段，故此项得满分。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（四）项目产出</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1.实际完成率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2020年12月31日，花溪分局“坚持政治建警全面从严治警”教育整顿试点工作取得了一定的成效。</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2.预算控制</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微软雅黑" w:eastAsia="仿宋_GB2312"/>
          <w:color w:val="000000"/>
          <w:sz w:val="32"/>
          <w:szCs w:val="32"/>
          <w:lang w:eastAsia="zh-CN"/>
        </w:rPr>
      </w:pPr>
      <w:r>
        <w:rPr>
          <w:rFonts w:hint="eastAsia" w:ascii="仿宋_GB2312" w:eastAsia="仿宋_GB2312" w:cs="仿宋_GB2312"/>
          <w:color w:val="000000" w:themeColor="text1"/>
          <w:sz w:val="32"/>
          <w:szCs w:val="32"/>
          <w:lang w:val="en-US" w:eastAsia="zh-CN"/>
          <w14:textFill>
            <w14:solidFill>
              <w14:schemeClr w14:val="tx1"/>
            </w14:solidFill>
          </w14:textFill>
        </w:rPr>
        <w:t>该项目是按照财政核定后的总经费进行实施的，预算400</w:t>
      </w:r>
      <w:r>
        <w:rPr>
          <w:rFonts w:hint="eastAsia" w:ascii="仿宋_GB2312" w:hAnsi="微软雅黑" w:eastAsia="仿宋_GB2312"/>
          <w:color w:val="000000"/>
          <w:sz w:val="32"/>
          <w:szCs w:val="32"/>
          <w:lang w:val="en-US" w:eastAsia="zh-CN"/>
        </w:rPr>
        <w:t>万元，</w:t>
      </w:r>
      <w:r>
        <w:rPr>
          <w:rFonts w:hint="eastAsia" w:ascii="仿宋_GB2312" w:hAnsi="微软雅黑" w:eastAsia="仿宋_GB2312"/>
          <w:color w:val="000000"/>
          <w:sz w:val="32"/>
          <w:szCs w:val="32"/>
        </w:rPr>
        <w:t>实际</w:t>
      </w:r>
      <w:r>
        <w:rPr>
          <w:rFonts w:hint="eastAsia" w:ascii="仿宋_GB2312" w:hAnsi="微软雅黑" w:eastAsia="仿宋_GB2312"/>
          <w:color w:val="000000"/>
          <w:sz w:val="32"/>
          <w:szCs w:val="32"/>
          <w:lang w:val="en-US" w:eastAsia="zh-CN"/>
        </w:rPr>
        <w:t>执行</w:t>
      </w:r>
      <w:r>
        <w:rPr>
          <w:rFonts w:hint="eastAsia" w:ascii="仿宋_GB2312" w:hAnsi="微软雅黑" w:eastAsia="仿宋_GB2312"/>
          <w:color w:val="000000"/>
          <w:sz w:val="32"/>
          <w:szCs w:val="32"/>
        </w:rPr>
        <w:t>资金</w:t>
      </w:r>
      <w:r>
        <w:rPr>
          <w:rFonts w:hint="eastAsia" w:ascii="仿宋_GB2312" w:hAnsi="微软雅黑" w:eastAsia="仿宋_GB2312"/>
          <w:color w:val="000000"/>
          <w:sz w:val="32"/>
          <w:szCs w:val="32"/>
          <w:lang w:val="en-US" w:eastAsia="zh-CN"/>
        </w:rPr>
        <w:t>248.9</w:t>
      </w:r>
      <w:r>
        <w:rPr>
          <w:rFonts w:hint="eastAsia" w:ascii="仿宋_GB2312" w:hAnsi="微软雅黑" w:eastAsia="仿宋_GB2312"/>
          <w:color w:val="000000"/>
          <w:sz w:val="32"/>
          <w:szCs w:val="32"/>
        </w:rPr>
        <w:t>万元</w:t>
      </w:r>
      <w:r>
        <w:rPr>
          <w:rFonts w:hint="eastAsia" w:ascii="仿宋_GB2312" w:hAnsi="微软雅黑" w:eastAsia="仿宋_GB2312"/>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五</w:t>
      </w:r>
      <w:r>
        <w:rPr>
          <w:rFonts w:hint="eastAsia" w:ascii="楷体_GB2312" w:hAnsi="楷体_GB2312" w:eastAsia="楷体_GB2312" w:cs="楷体_GB2312"/>
          <w:b/>
          <w:bCs/>
          <w:color w:val="000000"/>
          <w:sz w:val="32"/>
          <w:szCs w:val="32"/>
        </w:rPr>
        <w:t>）项目效益</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hAnsi="方正小标宋简体" w:eastAsia="仿宋_GB2312"/>
          <w:bCs/>
          <w:color w:val="000000"/>
          <w:sz w:val="32"/>
          <w:szCs w:val="32"/>
        </w:rPr>
        <w:t>在省厅、市局党委的正确领导和各单位的大力支持下，花溪分局“坚持政治建警全面从严治警”教育整顿试点工作取得了一定的成效，</w:t>
      </w:r>
      <w:r>
        <w:rPr>
          <w:rFonts w:hint="eastAsia" w:ascii="仿宋_GB2312" w:hAnsi="微软雅黑" w:eastAsia="仿宋_GB2312"/>
          <w:color w:val="000000"/>
          <w:sz w:val="32"/>
          <w:szCs w:val="32"/>
        </w:rPr>
        <w:t>通过认真学习、谈心谈话、排查检视、整顿整改，提高了理论水平和素养，提高了综合素质和能力，探索了清除</w:t>
      </w:r>
      <w:r>
        <w:rPr>
          <w:rFonts w:hint="eastAsia" w:ascii="仿宋_GB2312" w:eastAsia="仿宋_GB2312"/>
          <w:color w:val="000000"/>
          <w:sz w:val="32"/>
          <w:szCs w:val="32"/>
        </w:rPr>
        <w:t>“四个不纯”，实现“四个进一步”目标</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通过“建警治警管警强警兴警”各项措施的落实，全体民警树立了“争做一流民警、建设一流队伍、争创一流业绩”的意识，提高了分局队伍的整体素质和形象，打造花溪公安品牌。</w:t>
      </w:r>
      <w:r>
        <w:rPr>
          <w:rFonts w:ascii="仿宋_GB2312" w:hAnsi="仿宋" w:eastAsia="仿宋_GB2312"/>
          <w:color w:val="000000"/>
          <w:sz w:val="32"/>
          <w:szCs w:val="32"/>
        </w:rPr>
        <w:t xml:space="preserve"> </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六</w:t>
      </w:r>
      <w:r>
        <w:rPr>
          <w:rFonts w:hint="eastAsia" w:ascii="楷体_GB2312" w:hAnsi="楷体_GB2312" w:eastAsia="楷体_GB2312" w:cs="楷体_GB2312"/>
          <w:b/>
          <w:bCs/>
          <w:color w:val="000000"/>
          <w:sz w:val="32"/>
          <w:szCs w:val="32"/>
        </w:rPr>
        <w:t>）社会公众或服务对象满意度</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eastAsia="仿宋_GB2312"/>
          <w:color w:val="auto"/>
          <w:sz w:val="32"/>
          <w:szCs w:val="32"/>
          <w:highlight w:val="none"/>
        </w:rPr>
        <w:t>聚焦漠视侵害群众利益，保群众“三感”提升。</w:t>
      </w:r>
      <w:r>
        <w:rPr>
          <w:rFonts w:hint="eastAsia" w:ascii="仿宋_GB2312" w:hAnsi="方正小标宋简体" w:eastAsia="仿宋_GB2312"/>
          <w:bCs/>
          <w:color w:val="000000"/>
          <w:sz w:val="32"/>
          <w:szCs w:val="32"/>
        </w:rPr>
        <w:t>收集</w:t>
      </w:r>
      <w:r>
        <w:rPr>
          <w:rFonts w:ascii="仿宋_GB2312" w:hAnsi="方正小标宋简体" w:eastAsia="仿宋_GB2312"/>
          <w:bCs/>
          <w:color w:val="000000"/>
          <w:sz w:val="32"/>
          <w:szCs w:val="32"/>
        </w:rPr>
        <w:t>意见</w:t>
      </w:r>
      <w:r>
        <w:rPr>
          <w:rFonts w:hint="eastAsia" w:ascii="仿宋_GB2312" w:hAnsi="方正小标宋简体" w:eastAsia="仿宋_GB2312"/>
          <w:bCs/>
          <w:color w:val="000000"/>
          <w:sz w:val="32"/>
          <w:szCs w:val="32"/>
        </w:rPr>
        <w:t>反馈1068份</w:t>
      </w:r>
      <w:r>
        <w:rPr>
          <w:rFonts w:ascii="仿宋_GB2312" w:hAnsi="方正小标宋简体" w:eastAsia="仿宋_GB2312"/>
          <w:bCs/>
          <w:color w:val="000000"/>
          <w:sz w:val="32"/>
          <w:szCs w:val="32"/>
        </w:rPr>
        <w:t>，</w:t>
      </w:r>
      <w:r>
        <w:rPr>
          <w:rFonts w:hint="eastAsia" w:ascii="仿宋_GB2312" w:hAnsi="方正小标宋简体" w:eastAsia="仿宋_GB2312"/>
          <w:bCs/>
          <w:color w:val="000000"/>
          <w:sz w:val="32"/>
          <w:szCs w:val="32"/>
        </w:rPr>
        <w:t>对提出</w:t>
      </w:r>
      <w:bookmarkStart w:id="0" w:name="_GoBack"/>
      <w:bookmarkEnd w:id="0"/>
      <w:r>
        <w:rPr>
          <w:rFonts w:hint="eastAsia" w:ascii="仿宋_GB2312" w:hAnsi="方正小标宋简体" w:eastAsia="仿宋_GB2312"/>
          <w:bCs/>
          <w:color w:val="000000"/>
          <w:sz w:val="32"/>
          <w:szCs w:val="32"/>
        </w:rPr>
        <w:t>的68条</w:t>
      </w:r>
      <w:r>
        <w:rPr>
          <w:rFonts w:ascii="仿宋_GB2312" w:hAnsi="方正小标宋简体" w:eastAsia="仿宋_GB2312"/>
          <w:bCs/>
          <w:color w:val="000000"/>
          <w:sz w:val="32"/>
          <w:szCs w:val="32"/>
        </w:rPr>
        <w:t>建议，</w:t>
      </w:r>
      <w:r>
        <w:rPr>
          <w:rFonts w:hint="eastAsia" w:ascii="仿宋_GB2312" w:hAnsi="方正小标宋简体" w:eastAsia="仿宋_GB2312"/>
          <w:bCs/>
          <w:color w:val="000000"/>
          <w:sz w:val="32"/>
          <w:szCs w:val="32"/>
        </w:rPr>
        <w:t>已全部</w:t>
      </w:r>
      <w:r>
        <w:rPr>
          <w:rFonts w:ascii="仿宋_GB2312" w:hAnsi="方正小标宋简体" w:eastAsia="仿宋_GB2312"/>
          <w:bCs/>
          <w:color w:val="000000"/>
          <w:sz w:val="32"/>
          <w:szCs w:val="32"/>
        </w:rPr>
        <w:t>梳理</w:t>
      </w:r>
      <w:r>
        <w:rPr>
          <w:rFonts w:hint="eastAsia" w:ascii="仿宋_GB2312" w:hAnsi="方正小标宋简体" w:eastAsia="仿宋_GB2312"/>
          <w:bCs/>
          <w:color w:val="000000"/>
          <w:sz w:val="32"/>
          <w:szCs w:val="32"/>
        </w:rPr>
        <w:t>整改。</w:t>
      </w:r>
      <w:r>
        <w:rPr>
          <w:rFonts w:hint="eastAsia" w:ascii="仿宋_GB2312" w:eastAsia="仿宋_GB2312"/>
          <w:color w:val="000000"/>
          <w:sz w:val="32"/>
          <w:szCs w:val="32"/>
        </w:rPr>
        <w:t>对群众反映强烈的“河边路”涉黄区域进行高压、常态整治，</w:t>
      </w:r>
      <w:r>
        <w:rPr>
          <w:rFonts w:hint="eastAsia" w:ascii="仿宋_GB2312" w:hAnsi="方正小标宋简体" w:eastAsia="仿宋_GB2312"/>
          <w:bCs/>
          <w:color w:val="000000"/>
          <w:sz w:val="32"/>
          <w:szCs w:val="32"/>
        </w:rPr>
        <w:t>查获违法犯罪嫌疑人84人，行政处罚65人、刑事打击8人。创建“六零”（零发案、零事故、零火灾、零聚集、零上访、零毒情）村（居）、企业，其中：零发案村（居）11个、企事业单位279家；零事故村（居）38个、企事业单位309家；零火灾村（居）77个、企事业单位309家；零聚集村（居）81个、企事业单位309家；零上访村（居）54个、企事业单位309家；零毒情村（居）8个、企事业单位309家；群众的获得感、幸福感、安全感不断增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、综合评价情况及评价结论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hAnsi="方正小标宋简体" w:eastAsia="仿宋_GB2312"/>
          <w:bCs/>
          <w:color w:val="000000"/>
          <w:sz w:val="32"/>
          <w:szCs w:val="32"/>
        </w:rPr>
        <w:t>我局对该项目自评分为9</w:t>
      </w:r>
      <w:r>
        <w:rPr>
          <w:rFonts w:hint="eastAsia" w:ascii="仿宋_GB2312" w:hAnsi="方正小标宋简体" w:eastAsia="仿宋_GB2312"/>
          <w:bCs/>
          <w:color w:val="000000"/>
          <w:sz w:val="32"/>
          <w:szCs w:val="32"/>
          <w:lang w:val="en-US" w:eastAsia="zh-CN"/>
        </w:rPr>
        <w:t>7</w:t>
      </w:r>
      <w:r>
        <w:rPr>
          <w:rFonts w:hint="eastAsia" w:ascii="仿宋_GB2312" w:hAnsi="方正小标宋简体" w:eastAsia="仿宋_GB2312"/>
          <w:bCs/>
          <w:color w:val="000000"/>
          <w:sz w:val="32"/>
          <w:szCs w:val="32"/>
        </w:rPr>
        <w:t>分，扣分项目主要是资金使用率不高，到位资金为</w:t>
      </w:r>
      <w:r>
        <w:rPr>
          <w:rFonts w:hint="eastAsia" w:ascii="仿宋_GB2312" w:hAnsi="方正小标宋简体" w:eastAsia="仿宋_GB2312"/>
          <w:bCs/>
          <w:color w:val="000000"/>
          <w:sz w:val="32"/>
          <w:szCs w:val="32"/>
          <w:lang w:val="en-US" w:eastAsia="zh-CN"/>
        </w:rPr>
        <w:t>400</w:t>
      </w:r>
      <w:r>
        <w:rPr>
          <w:rFonts w:hint="eastAsia" w:ascii="仿宋_GB2312" w:hAnsi="方正小标宋简体" w:eastAsia="仿宋_GB2312"/>
          <w:bCs/>
          <w:color w:val="000000"/>
          <w:sz w:val="32"/>
          <w:szCs w:val="32"/>
        </w:rPr>
        <w:t>万元，因项目没有完成验收，未支付项目全部款项，实际支付资金</w:t>
      </w:r>
      <w:r>
        <w:rPr>
          <w:rFonts w:hint="eastAsia" w:ascii="仿宋_GB2312" w:hAnsi="方正小标宋简体" w:eastAsia="仿宋_GB2312"/>
          <w:bCs/>
          <w:color w:val="000000"/>
          <w:sz w:val="32"/>
          <w:szCs w:val="32"/>
          <w:lang w:val="en-US" w:eastAsia="zh-CN"/>
        </w:rPr>
        <w:t>248.9</w:t>
      </w:r>
      <w:r>
        <w:rPr>
          <w:rFonts w:hint="eastAsia" w:ascii="仿宋_GB2312" w:hAnsi="方正小标宋简体" w:eastAsia="仿宋_GB2312"/>
          <w:bCs/>
          <w:color w:val="000000"/>
          <w:sz w:val="32"/>
          <w:szCs w:val="32"/>
        </w:rPr>
        <w:t>万元，资金使用率为</w:t>
      </w:r>
      <w:r>
        <w:rPr>
          <w:rFonts w:hint="eastAsia" w:ascii="仿宋_GB2312" w:hAnsi="方正小标宋简体" w:eastAsia="仿宋_GB2312"/>
          <w:bCs/>
          <w:color w:val="000000"/>
          <w:sz w:val="32"/>
          <w:szCs w:val="32"/>
          <w:lang w:val="en-US" w:eastAsia="zh-CN"/>
        </w:rPr>
        <w:t>62.22</w:t>
      </w:r>
      <w:r>
        <w:rPr>
          <w:rFonts w:hint="eastAsia" w:ascii="仿宋_GB2312" w:hAnsi="方正小标宋简体" w:eastAsia="仿宋_GB2312"/>
          <w:bCs/>
          <w:color w:val="000000"/>
          <w:sz w:val="32"/>
          <w:szCs w:val="32"/>
        </w:rPr>
        <w:t>%，故此项扣3分。</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、主要经验及做法、存在的问题和建议</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hAnsi="永中宋体" w:eastAsia="仿宋_GB2312" w:cs="仿宋_GB2312"/>
          <w:color w:val="000000"/>
          <w:sz w:val="32"/>
          <w:szCs w:val="32"/>
        </w:rPr>
      </w:pPr>
      <w:r>
        <w:rPr>
          <w:rFonts w:hint="eastAsia" w:ascii="仿宋_GB2312" w:hAnsi="方正小标宋简体" w:eastAsia="仿宋_GB2312"/>
          <w:bCs/>
          <w:color w:val="000000"/>
          <w:sz w:val="32"/>
          <w:szCs w:val="32"/>
        </w:rPr>
        <w:t>在省厅、市局党委的正确领导和各单位的大力支持下，花溪分局“坚持政治建警全面从严治警”教育整顿试点工作取得了一定的成效，但对标省厅、市局关于教育整顿的要求，面对群众新期待，我们还有很大的差距。经验提炼总结不够，变“盆景”为“风景”的意识不足，领导干部和民警的能力不强，工作措施不准，工作落实不细等问题仍然存在。</w:t>
      </w:r>
      <w:r>
        <w:rPr>
          <w:rFonts w:hint="eastAsia" w:ascii="仿宋_GB2312" w:hAnsi="永中宋体" w:eastAsia="仿宋_GB2312" w:cs="仿宋_GB2312"/>
          <w:color w:val="000000"/>
          <w:sz w:val="32"/>
          <w:szCs w:val="32"/>
        </w:rPr>
        <w:t>下一步，分局将在省厅、市局党委的领导下，在各单位和社会各界的支持下，紧盯问题查纠不放松、强化整改落实不停顿，将“政治建警全面从严治警”教育整顿试点成果汇聚成推进新时代花溪公安工作高质量发展的强大正能量，</w:t>
      </w:r>
      <w:r>
        <w:rPr>
          <w:rFonts w:hint="eastAsia" w:ascii="仿宋_GB2312" w:hAnsi="方正小标宋简体" w:eastAsia="仿宋_GB2312"/>
          <w:bCs/>
          <w:color w:val="000000"/>
          <w:sz w:val="32"/>
          <w:szCs w:val="32"/>
        </w:rPr>
        <w:t>向省厅、市局和辖区群众交上满意的答卷。</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、其他需说明的问题</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永中宋体" w:eastAsia="仿宋_GB2312" w:cs="仿宋_GB2312"/>
          <w:color w:val="000000"/>
          <w:sz w:val="32"/>
          <w:szCs w:val="32"/>
        </w:rPr>
      </w:pPr>
      <w:r>
        <w:rPr>
          <w:rFonts w:hint="eastAsia" w:ascii="仿宋_GB2312" w:hAnsi="永中宋体" w:eastAsia="仿宋_GB2312" w:cs="仿宋_GB2312"/>
          <w:color w:val="000000"/>
          <w:sz w:val="32"/>
          <w:szCs w:val="32"/>
        </w:rPr>
        <w:t>无</w:t>
      </w:r>
    </w:p>
    <w:sectPr>
      <w:footerReference r:id="rId3" w:type="default"/>
      <w:footerReference r:id="rId4" w:type="even"/>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永中宋体">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eastAsia="宋体"/>
                              <w:lang w:eastAsia="zh-CN"/>
                            </w:rPr>
                          </w:pPr>
                          <w:r>
                            <w:rPr>
                              <w:rStyle w:val="11"/>
                              <w:rFonts w:hint="eastAsia"/>
                              <w:lang w:eastAsia="zh-CN"/>
                            </w:rPr>
                            <w:fldChar w:fldCharType="begin"/>
                          </w:r>
                          <w:r>
                            <w:rPr>
                              <w:rStyle w:val="11"/>
                              <w:rFonts w:hint="eastAsia"/>
                              <w:lang w:eastAsia="zh-CN"/>
                            </w:rPr>
                            <w:instrText xml:space="preserve"> PAGE  \* MERGEFORMAT </w:instrText>
                          </w:r>
                          <w:r>
                            <w:rPr>
                              <w:rStyle w:val="11"/>
                              <w:rFonts w:hint="eastAsia"/>
                              <w:lang w:eastAsia="zh-CN"/>
                            </w:rPr>
                            <w:fldChar w:fldCharType="separate"/>
                          </w:r>
                          <w:r>
                            <w:rPr>
                              <w:rStyle w:val="11"/>
                              <w:rFonts w:hint="eastAsia"/>
                              <w:lang w:eastAsia="zh-CN"/>
                            </w:rPr>
                            <w:t>1</w:t>
                          </w:r>
                          <w:r>
                            <w:rPr>
                              <w:rStyle w:val="11"/>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11"/>
                        <w:rFonts w:hint="eastAsia" w:eastAsia="宋体"/>
                        <w:lang w:eastAsia="zh-CN"/>
                      </w:rPr>
                    </w:pPr>
                    <w:r>
                      <w:rPr>
                        <w:rStyle w:val="11"/>
                        <w:rFonts w:hint="eastAsia"/>
                        <w:lang w:eastAsia="zh-CN"/>
                      </w:rPr>
                      <w:fldChar w:fldCharType="begin"/>
                    </w:r>
                    <w:r>
                      <w:rPr>
                        <w:rStyle w:val="11"/>
                        <w:rFonts w:hint="eastAsia"/>
                        <w:lang w:eastAsia="zh-CN"/>
                      </w:rPr>
                      <w:instrText xml:space="preserve"> PAGE  \* MERGEFORMAT </w:instrText>
                    </w:r>
                    <w:r>
                      <w:rPr>
                        <w:rStyle w:val="11"/>
                        <w:rFonts w:hint="eastAsia"/>
                        <w:lang w:eastAsia="zh-CN"/>
                      </w:rPr>
                      <w:fldChar w:fldCharType="separate"/>
                    </w:r>
                    <w:r>
                      <w:rPr>
                        <w:rStyle w:val="11"/>
                        <w:rFonts w:hint="eastAsia"/>
                        <w:lang w:eastAsia="zh-CN"/>
                      </w:rPr>
                      <w:t>1</w:t>
                    </w:r>
                    <w:r>
                      <w:rPr>
                        <w:rStyle w:val="11"/>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62"/>
    <w:rsid w:val="0001547A"/>
    <w:rsid w:val="00022BC7"/>
    <w:rsid w:val="00022E47"/>
    <w:rsid w:val="00046A3E"/>
    <w:rsid w:val="00074997"/>
    <w:rsid w:val="000B19AF"/>
    <w:rsid w:val="000B5745"/>
    <w:rsid w:val="000C6E48"/>
    <w:rsid w:val="00101BF4"/>
    <w:rsid w:val="00110276"/>
    <w:rsid w:val="00125411"/>
    <w:rsid w:val="0015132C"/>
    <w:rsid w:val="00182D48"/>
    <w:rsid w:val="001A127C"/>
    <w:rsid w:val="001C593D"/>
    <w:rsid w:val="001D07A2"/>
    <w:rsid w:val="001E5C32"/>
    <w:rsid w:val="001F0C11"/>
    <w:rsid w:val="0020480D"/>
    <w:rsid w:val="00237BF8"/>
    <w:rsid w:val="00257862"/>
    <w:rsid w:val="0026042B"/>
    <w:rsid w:val="00294983"/>
    <w:rsid w:val="002A10C6"/>
    <w:rsid w:val="002B4FFB"/>
    <w:rsid w:val="002B7C05"/>
    <w:rsid w:val="002D22F1"/>
    <w:rsid w:val="00312514"/>
    <w:rsid w:val="0032682E"/>
    <w:rsid w:val="0039557D"/>
    <w:rsid w:val="00396429"/>
    <w:rsid w:val="003A7735"/>
    <w:rsid w:val="003D74CA"/>
    <w:rsid w:val="003D7B60"/>
    <w:rsid w:val="003F1FEE"/>
    <w:rsid w:val="0041661C"/>
    <w:rsid w:val="0042020E"/>
    <w:rsid w:val="00456013"/>
    <w:rsid w:val="004A1579"/>
    <w:rsid w:val="004A6ECC"/>
    <w:rsid w:val="004F61E0"/>
    <w:rsid w:val="00502ECE"/>
    <w:rsid w:val="00543DD4"/>
    <w:rsid w:val="005754F1"/>
    <w:rsid w:val="00583C80"/>
    <w:rsid w:val="00626238"/>
    <w:rsid w:val="00634489"/>
    <w:rsid w:val="0064498D"/>
    <w:rsid w:val="00664FFE"/>
    <w:rsid w:val="00676B57"/>
    <w:rsid w:val="006A5512"/>
    <w:rsid w:val="006E6CB7"/>
    <w:rsid w:val="006E740C"/>
    <w:rsid w:val="006F4CB9"/>
    <w:rsid w:val="00703994"/>
    <w:rsid w:val="007079A4"/>
    <w:rsid w:val="007844BB"/>
    <w:rsid w:val="007A67B6"/>
    <w:rsid w:val="007C46EE"/>
    <w:rsid w:val="007D5CC5"/>
    <w:rsid w:val="00804BA9"/>
    <w:rsid w:val="00827519"/>
    <w:rsid w:val="0083799D"/>
    <w:rsid w:val="00853B98"/>
    <w:rsid w:val="00854915"/>
    <w:rsid w:val="008725B9"/>
    <w:rsid w:val="00883CD2"/>
    <w:rsid w:val="00897B74"/>
    <w:rsid w:val="008A4501"/>
    <w:rsid w:val="008B470C"/>
    <w:rsid w:val="008F0BBB"/>
    <w:rsid w:val="008F1E27"/>
    <w:rsid w:val="009118DA"/>
    <w:rsid w:val="009120CF"/>
    <w:rsid w:val="009139AB"/>
    <w:rsid w:val="00952AD7"/>
    <w:rsid w:val="00953DFC"/>
    <w:rsid w:val="00955E04"/>
    <w:rsid w:val="00973A99"/>
    <w:rsid w:val="00A13549"/>
    <w:rsid w:val="00A53A2B"/>
    <w:rsid w:val="00A55118"/>
    <w:rsid w:val="00A644E7"/>
    <w:rsid w:val="00A75BC4"/>
    <w:rsid w:val="00AA5634"/>
    <w:rsid w:val="00AF334B"/>
    <w:rsid w:val="00AF6E93"/>
    <w:rsid w:val="00B06C1A"/>
    <w:rsid w:val="00B37311"/>
    <w:rsid w:val="00B67FCD"/>
    <w:rsid w:val="00B850CF"/>
    <w:rsid w:val="00B874E6"/>
    <w:rsid w:val="00BB6781"/>
    <w:rsid w:val="00BD3808"/>
    <w:rsid w:val="00BE310B"/>
    <w:rsid w:val="00BE3170"/>
    <w:rsid w:val="00BE6F3E"/>
    <w:rsid w:val="00C05449"/>
    <w:rsid w:val="00C1405F"/>
    <w:rsid w:val="00C23FBB"/>
    <w:rsid w:val="00C3103E"/>
    <w:rsid w:val="00C33349"/>
    <w:rsid w:val="00C418E8"/>
    <w:rsid w:val="00C977D0"/>
    <w:rsid w:val="00CA61F9"/>
    <w:rsid w:val="00CB17FE"/>
    <w:rsid w:val="00CC60F0"/>
    <w:rsid w:val="00D23E86"/>
    <w:rsid w:val="00D51967"/>
    <w:rsid w:val="00D53090"/>
    <w:rsid w:val="00D624BE"/>
    <w:rsid w:val="00D63482"/>
    <w:rsid w:val="00D84D14"/>
    <w:rsid w:val="00DA7DF7"/>
    <w:rsid w:val="00DD6340"/>
    <w:rsid w:val="00E13F00"/>
    <w:rsid w:val="00E20AD0"/>
    <w:rsid w:val="00E537E7"/>
    <w:rsid w:val="00E66057"/>
    <w:rsid w:val="00E80CB4"/>
    <w:rsid w:val="00E820F7"/>
    <w:rsid w:val="00E85517"/>
    <w:rsid w:val="00EB2D54"/>
    <w:rsid w:val="00EB6422"/>
    <w:rsid w:val="00ED4AAA"/>
    <w:rsid w:val="00ED5B39"/>
    <w:rsid w:val="00EF3520"/>
    <w:rsid w:val="00EF7EE1"/>
    <w:rsid w:val="00F23495"/>
    <w:rsid w:val="00F30661"/>
    <w:rsid w:val="00F359E3"/>
    <w:rsid w:val="00F75E4D"/>
    <w:rsid w:val="00FA11DC"/>
    <w:rsid w:val="00FB59FB"/>
    <w:rsid w:val="00FD0825"/>
    <w:rsid w:val="01841752"/>
    <w:rsid w:val="026343C4"/>
    <w:rsid w:val="037F2199"/>
    <w:rsid w:val="062C3ED3"/>
    <w:rsid w:val="08FF0D32"/>
    <w:rsid w:val="0F5705EF"/>
    <w:rsid w:val="11370901"/>
    <w:rsid w:val="1F461E61"/>
    <w:rsid w:val="27735748"/>
    <w:rsid w:val="279C78AF"/>
    <w:rsid w:val="2C2E446D"/>
    <w:rsid w:val="312F6B9A"/>
    <w:rsid w:val="394E6C91"/>
    <w:rsid w:val="3CD01F93"/>
    <w:rsid w:val="41081915"/>
    <w:rsid w:val="494B641C"/>
    <w:rsid w:val="4D78463D"/>
    <w:rsid w:val="50C84C5B"/>
    <w:rsid w:val="516518E7"/>
    <w:rsid w:val="56182855"/>
    <w:rsid w:val="5BC560D0"/>
    <w:rsid w:val="5DC51642"/>
    <w:rsid w:val="5E5341CE"/>
    <w:rsid w:val="63135A87"/>
    <w:rsid w:val="670C42D9"/>
    <w:rsid w:val="6A991ADA"/>
    <w:rsid w:val="6BBD6083"/>
    <w:rsid w:val="6EB47EBE"/>
    <w:rsid w:val="6FF7460A"/>
    <w:rsid w:val="714934F1"/>
    <w:rsid w:val="7C4F2B91"/>
    <w:rsid w:val="7FE2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9"/>
    <w:semiHidden/>
    <w:qFormat/>
    <w:uiPriority w:val="0"/>
    <w:pPr>
      <w:shd w:val="clear" w:color="auto" w:fill="000080"/>
    </w:pPr>
  </w:style>
  <w:style w:type="paragraph" w:styleId="3">
    <w:name w:val="Body Text"/>
    <w:basedOn w:val="1"/>
    <w:link w:val="18"/>
    <w:qFormat/>
    <w:uiPriority w:val="0"/>
    <w:pPr>
      <w:spacing w:after="120"/>
    </w:pPr>
    <w:rPr>
      <w:rFonts w:ascii="Times New Roman" w:hAnsi="Times New Roman" w:cs="Times New Roman"/>
    </w:rPr>
  </w:style>
  <w:style w:type="paragraph" w:styleId="4">
    <w:name w:val="Body Text Indent 2"/>
    <w:basedOn w:val="1"/>
    <w:link w:val="17"/>
    <w:qFormat/>
    <w:uiPriority w:val="0"/>
    <w:pPr>
      <w:spacing w:after="120" w:line="480" w:lineRule="auto"/>
      <w:ind w:left="420" w:leftChars="200"/>
    </w:pPr>
  </w:style>
  <w:style w:type="paragraph" w:styleId="5">
    <w:name w:val="footer"/>
    <w:basedOn w:val="1"/>
    <w:link w:val="15"/>
    <w:semiHidden/>
    <w:qFormat/>
    <w:uiPriority w:val="0"/>
    <w:pPr>
      <w:tabs>
        <w:tab w:val="center" w:pos="4153"/>
        <w:tab w:val="right" w:pos="8306"/>
      </w:tabs>
      <w:snapToGrid w:val="0"/>
      <w:jc w:val="left"/>
    </w:pPr>
    <w:rPr>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rPr>
      <w:rFonts w:ascii="Times New Roman" w:hAnsi="Times New Roman" w:cs="Times New Roman"/>
    </w:rPr>
  </w:style>
  <w:style w:type="paragraph" w:styleId="8">
    <w:name w:val="Normal (Web)"/>
    <w:basedOn w:val="1"/>
    <w:qFormat/>
    <w:uiPriority w:val="99"/>
    <w:pPr>
      <w:widowControl/>
      <w:spacing w:after="150"/>
      <w:jc w:val="left"/>
    </w:pPr>
    <w:rPr>
      <w:rFonts w:ascii="宋体" w:hAnsi="宋体" w:cs="宋体"/>
      <w:kern w:val="0"/>
      <w:sz w:val="24"/>
    </w:rPr>
  </w:style>
  <w:style w:type="character" w:styleId="10">
    <w:name w:val="Strong"/>
    <w:qFormat/>
    <w:uiPriority w:val="0"/>
    <w:rPr>
      <w:rFonts w:cs="Times New Roman"/>
      <w:b/>
      <w:bCs/>
    </w:rPr>
  </w:style>
  <w:style w:type="character" w:styleId="11">
    <w:name w:val="page number"/>
    <w:qFormat/>
    <w:uiPriority w:val="0"/>
    <w:rPr>
      <w:rFonts w:cs="Times New Roman"/>
    </w:rPr>
  </w:style>
  <w:style w:type="character" w:styleId="12">
    <w:name w:val="Hyperlink"/>
    <w:qFormat/>
    <w:uiPriority w:val="0"/>
    <w:rPr>
      <w:rFonts w:cs="Times New Roman"/>
      <w:color w:val="0000FF"/>
      <w:u w:val="single"/>
    </w:rPr>
  </w:style>
  <w:style w:type="character" w:customStyle="1" w:styleId="14">
    <w:name w:val="页眉 字符"/>
    <w:link w:val="6"/>
    <w:semiHidden/>
    <w:qFormat/>
    <w:locked/>
    <w:uiPriority w:val="0"/>
    <w:rPr>
      <w:rFonts w:ascii="Calibri" w:hAnsi="Calibri" w:eastAsia="宋体" w:cs="Calibri"/>
      <w:kern w:val="2"/>
      <w:sz w:val="18"/>
      <w:szCs w:val="18"/>
      <w:lang w:val="en-US" w:eastAsia="zh-CN" w:bidi="ar-SA"/>
    </w:rPr>
  </w:style>
  <w:style w:type="character" w:customStyle="1" w:styleId="15">
    <w:name w:val="页脚 字符"/>
    <w:link w:val="5"/>
    <w:semiHidden/>
    <w:qFormat/>
    <w:locked/>
    <w:uiPriority w:val="0"/>
    <w:rPr>
      <w:rFonts w:ascii="Calibri" w:hAnsi="Calibri" w:eastAsia="宋体" w:cs="Calibri"/>
      <w:kern w:val="2"/>
      <w:sz w:val="18"/>
      <w:szCs w:val="18"/>
      <w:lang w:val="en-US" w:eastAsia="zh-CN" w:bidi="ar-SA"/>
    </w:rPr>
  </w:style>
  <w:style w:type="character" w:customStyle="1" w:styleId="16">
    <w:name w:val="正文文本 2 字符"/>
    <w:link w:val="7"/>
    <w:semiHidden/>
    <w:qFormat/>
    <w:locked/>
    <w:uiPriority w:val="0"/>
    <w:rPr>
      <w:rFonts w:eastAsia="宋体"/>
      <w:kern w:val="2"/>
      <w:sz w:val="21"/>
      <w:szCs w:val="21"/>
      <w:lang w:val="en-US" w:eastAsia="zh-CN" w:bidi="ar-SA"/>
    </w:rPr>
  </w:style>
  <w:style w:type="character" w:customStyle="1" w:styleId="17">
    <w:name w:val="正文文本缩进 2 字符"/>
    <w:link w:val="4"/>
    <w:semiHidden/>
    <w:qFormat/>
    <w:locked/>
    <w:uiPriority w:val="0"/>
    <w:rPr>
      <w:rFonts w:ascii="Calibri" w:hAnsi="Calibri" w:eastAsia="宋体" w:cs="Calibri"/>
      <w:kern w:val="2"/>
      <w:sz w:val="21"/>
      <w:szCs w:val="21"/>
      <w:lang w:val="en-US" w:eastAsia="zh-CN" w:bidi="ar-SA"/>
    </w:rPr>
  </w:style>
  <w:style w:type="character" w:customStyle="1" w:styleId="18">
    <w:name w:val="正文文本 字符"/>
    <w:link w:val="3"/>
    <w:semiHidden/>
    <w:qFormat/>
    <w:locked/>
    <w:uiPriority w:val="0"/>
    <w:rPr>
      <w:rFonts w:eastAsia="宋体"/>
      <w:kern w:val="2"/>
      <w:sz w:val="21"/>
      <w:szCs w:val="21"/>
      <w:lang w:val="en-US" w:eastAsia="zh-CN" w:bidi="ar-SA"/>
    </w:rPr>
  </w:style>
  <w:style w:type="character" w:customStyle="1" w:styleId="19">
    <w:name w:val="文档结构图 字符"/>
    <w:link w:val="2"/>
    <w:semiHidden/>
    <w:qFormat/>
    <w:locked/>
    <w:uiPriority w:val="0"/>
    <w:rPr>
      <w:rFonts w:ascii="Calibri" w:hAnsi="Calibri" w:eastAsia="宋体" w:cs="Calibri"/>
      <w:kern w:val="2"/>
      <w:sz w:val="21"/>
      <w:szCs w:val="21"/>
      <w:lang w:val="en-US" w:eastAsia="zh-CN" w:bidi="ar-SA"/>
    </w:rPr>
  </w:style>
  <w:style w:type="character" w:customStyle="1" w:styleId="20">
    <w:name w:val="Char Char3"/>
    <w:qFormat/>
    <w:uiPriority w:val="0"/>
    <w:rPr>
      <w:rFonts w:ascii="Calibri" w:hAnsi="Calibri" w:eastAsia="宋体" w:cs="Calibri"/>
      <w:kern w:val="2"/>
      <w:sz w:val="18"/>
      <w:szCs w:val="18"/>
      <w:lang w:val="en-US" w:eastAsia="zh-CN"/>
    </w:rPr>
  </w:style>
  <w:style w:type="character" w:customStyle="1" w:styleId="21">
    <w:name w:val="Char Char2"/>
    <w:qFormat/>
    <w:uiPriority w:val="0"/>
    <w:rPr>
      <w:rFonts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655</Words>
  <Characters>3738</Characters>
  <Lines>31</Lines>
  <Paragraphs>8</Paragraphs>
  <TotalTime>43</TotalTime>
  <ScaleCrop>false</ScaleCrop>
  <LinksUpToDate>false</LinksUpToDate>
  <CharactersWithSpaces>4385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2020-06-02T07:13:00Z</dcterms:created>
  <dc:creator>微软用户</dc:creator>
  <cp:lastModifiedBy>Administrator</cp:lastModifiedBy>
  <cp:lastPrinted>2021-08-05T09:54:00Z</cp:lastPrinted>
  <dcterms:modified xsi:type="dcterms:W3CDTF">2021-09-09T01:28:02Z</dcterms:modified>
  <dc:title>附件1：贵阳市财政支出绩效评价共性指标框架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F983587342444097BF294D9B1850ABCD</vt:lpwstr>
  </property>
</Properties>
</file>