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64D371">
      <w:pPr>
        <w:spacing w:line="440" w:lineRule="exact"/>
        <w:rPr>
          <w:rFonts w:hint="eastAsia"/>
        </w:rPr>
      </w:pPr>
    </w:p>
    <w:p w14:paraId="4DF88F21">
      <w:pPr>
        <w:jc w:val="center"/>
        <w:rPr>
          <w:rFonts w:hint="eastAsia" w:ascii="方正小标宋简体" w:eastAsia="方正小标宋简体"/>
          <w:sz w:val="44"/>
          <w:szCs w:val="44"/>
        </w:rPr>
      </w:pPr>
      <w:bookmarkStart w:id="0" w:name="_Hlk32918922"/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贵阳市花溪区</w:t>
      </w:r>
      <w:r>
        <w:rPr>
          <w:rFonts w:hint="eastAsia" w:ascii="方正小标宋简体" w:eastAsia="方正小标宋简体"/>
          <w:sz w:val="44"/>
          <w:szCs w:val="44"/>
        </w:rPr>
        <w:t>麦坪镇中心完小简介</w:t>
      </w:r>
      <w:bookmarkEnd w:id="0"/>
    </w:p>
    <w:p w14:paraId="173932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宋体" w:hAnsi="宋体"/>
          <w:sz w:val="32"/>
          <w:szCs w:val="32"/>
        </w:rPr>
      </w:pPr>
      <w:r>
        <w:rPr>
          <w:rFonts w:hint="eastAsia" w:ascii="黑体" w:hAnsi="微软雅黑" w:eastAsia="黑体" w:cs="微软雅黑"/>
          <w:b/>
          <w:sz w:val="32"/>
          <w:szCs w:val="32"/>
        </w:rPr>
        <w:t>一、学校概况</w:t>
      </w:r>
    </w:p>
    <w:p w14:paraId="108143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微软雅黑" w:eastAsia="仿宋_GB2312" w:cs="微软雅黑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微软雅黑" w:eastAsia="仿宋_GB2312" w:cs="微软雅黑"/>
          <w:color w:val="000000"/>
          <w:sz w:val="32"/>
          <w:szCs w:val="32"/>
          <w:shd w:val="clear" w:color="auto" w:fill="FFFFFF"/>
          <w:lang w:val="en-US" w:eastAsia="zh-CN"/>
        </w:rPr>
        <w:t>贵阳市花溪区</w:t>
      </w:r>
      <w:r>
        <w:rPr>
          <w:rFonts w:hint="eastAsia" w:ascii="仿宋_GB2312" w:hAnsi="微软雅黑" w:eastAsia="仿宋_GB2312" w:cs="微软雅黑"/>
          <w:color w:val="000000"/>
          <w:sz w:val="32"/>
          <w:szCs w:val="32"/>
          <w:shd w:val="clear" w:color="auto" w:fill="FFFFFF"/>
        </w:rPr>
        <w:t>麦坪镇中心完小始建于</w:t>
      </w:r>
      <w:r>
        <w:rPr>
          <w:rFonts w:hint="eastAsia" w:ascii="仿宋_GB2312" w:hAnsi="微软雅黑" w:eastAsia="仿宋_GB2312" w:cs="微软雅黑"/>
          <w:color w:val="000000"/>
          <w:sz w:val="32"/>
          <w:szCs w:val="32"/>
          <w:shd w:val="clear" w:color="auto" w:fill="FFFFFF"/>
          <w:lang w:val="en-US" w:eastAsia="zh-CN"/>
        </w:rPr>
        <w:t>上世纪五十年代，先后经历了麦坪小学、麦坪中心完小、麦坪乡中心完小、麦坪镇中心完小几个阶段，学校与2017年8月从原校址（现为麦坪幼儿园）搬迁至现校址，与花溪区麦坪中学共用一个校园。</w:t>
      </w:r>
    </w:p>
    <w:p w14:paraId="129D6D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黑体" w:hAnsi="微软雅黑" w:eastAsia="黑体" w:cs="微软雅黑"/>
          <w:b/>
          <w:sz w:val="32"/>
          <w:szCs w:val="32"/>
          <w:lang w:val="en-US" w:eastAsia="zh-CN"/>
        </w:rPr>
      </w:pPr>
      <w:r>
        <w:rPr>
          <w:rFonts w:hint="eastAsia" w:ascii="黑体" w:hAnsi="微软雅黑" w:eastAsia="黑体" w:cs="微软雅黑"/>
          <w:b/>
          <w:sz w:val="32"/>
          <w:szCs w:val="32"/>
          <w:lang w:val="en-US" w:eastAsia="zh-CN"/>
        </w:rPr>
        <w:t>二、办学理念</w:t>
      </w:r>
    </w:p>
    <w:p w14:paraId="045027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微软雅黑" w:eastAsia="仿宋_GB2312" w:cs="微软雅黑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shd w:val="clear" w:color="auto" w:fill="FFFFFF"/>
        </w:rPr>
        <w:t>办学思想：</w:t>
      </w:r>
      <w:r>
        <w:rPr>
          <w:rFonts w:hint="eastAsia" w:ascii="仿宋_GB2312" w:hAnsi="微软雅黑" w:eastAsia="仿宋_GB2312" w:cs="微软雅黑"/>
          <w:color w:val="000000"/>
          <w:sz w:val="32"/>
          <w:szCs w:val="32"/>
          <w:shd w:val="clear" w:color="auto" w:fill="FFFFFF"/>
          <w:lang w:val="en-US" w:eastAsia="zh-CN"/>
        </w:rPr>
        <w:t>让每个学生自信、健康、快乐的学习，让”学会做人、学会求知、学会参与、学会感恩”的理念伴随学生成长。</w:t>
      </w:r>
    </w:p>
    <w:p w14:paraId="17B8925F">
      <w:pPr>
        <w:pStyle w:val="2"/>
        <w:tabs>
          <w:tab w:val="left" w:pos="3960"/>
        </w:tabs>
        <w:spacing w:before="4" w:line="350" w:lineRule="auto"/>
        <w:ind w:left="1080" w:right="2324"/>
        <w:jc w:val="both"/>
      </w:pPr>
      <w:r>
        <w:rPr>
          <w:b/>
          <w:bCs/>
        </w:rPr>
        <w:t>校风：</w:t>
      </w:r>
      <w:r>
        <w:t>会做人</w:t>
      </w:r>
      <w:r>
        <w:rPr>
          <w:spacing w:val="-9"/>
        </w:rPr>
        <w:t xml:space="preserve"> </w:t>
      </w:r>
      <w:r>
        <w:t>会求知</w:t>
      </w:r>
      <w:r>
        <w:rPr>
          <w:spacing w:val="80"/>
        </w:rPr>
        <w:t xml:space="preserve"> </w:t>
      </w:r>
      <w:r>
        <w:t>会参与</w:t>
      </w:r>
      <w:r>
        <w:rPr>
          <w:spacing w:val="80"/>
        </w:rPr>
        <w:t xml:space="preserve"> </w:t>
      </w:r>
      <w:r>
        <w:t>会感恩</w:t>
      </w:r>
      <w:r>
        <w:rPr>
          <w:b/>
          <w:bCs/>
          <w:spacing w:val="-2"/>
        </w:rPr>
        <w:t>教风：</w:t>
      </w:r>
      <w:r>
        <w:rPr>
          <w:spacing w:val="-2"/>
        </w:rPr>
        <w:t>立足岗位</w:t>
      </w:r>
      <w:r>
        <w:tab/>
      </w:r>
      <w:r>
        <w:rPr>
          <w:spacing w:val="-4"/>
        </w:rPr>
        <w:t>用心教学</w:t>
      </w:r>
    </w:p>
    <w:p w14:paraId="7A989102">
      <w:pPr>
        <w:pStyle w:val="2"/>
        <w:tabs>
          <w:tab w:val="left" w:pos="3159"/>
          <w:tab w:val="left" w:pos="4440"/>
          <w:tab w:val="left" w:pos="5719"/>
          <w:tab w:val="left" w:pos="5880"/>
        </w:tabs>
        <w:spacing w:before="3" w:line="350" w:lineRule="auto"/>
        <w:ind w:left="1080" w:right="2485"/>
        <w:jc w:val="both"/>
        <w:rPr>
          <w:rFonts w:hint="eastAsia" w:ascii="仿宋_GB2312" w:hAnsi="微软雅黑" w:eastAsia="仿宋_GB2312" w:cs="微软雅黑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b/>
          <w:bCs/>
          <w:spacing w:val="-2"/>
        </w:rPr>
        <w:t>学风：</w:t>
      </w:r>
      <w:r>
        <w:rPr>
          <w:spacing w:val="-2"/>
        </w:rPr>
        <w:t>多看</w:t>
      </w:r>
      <w:r>
        <w:tab/>
      </w:r>
      <w:r>
        <w:rPr>
          <w:spacing w:val="-6"/>
        </w:rPr>
        <w:t>多问</w:t>
      </w:r>
      <w:r>
        <w:tab/>
      </w:r>
      <w:r>
        <w:rPr>
          <w:spacing w:val="-6"/>
        </w:rPr>
        <w:t>多思</w:t>
      </w:r>
      <w:r>
        <w:tab/>
      </w:r>
      <w:r>
        <w:rPr>
          <w:spacing w:val="-6"/>
        </w:rPr>
        <w:t>多练</w:t>
      </w:r>
      <w:r>
        <w:rPr>
          <w:b/>
          <w:bCs/>
          <w:w w:val="95"/>
        </w:rPr>
        <w:t>校训：</w:t>
      </w:r>
      <w:r>
        <w:rPr>
          <w:w w:val="95"/>
        </w:rPr>
        <w:t>健</w:t>
      </w:r>
      <w:r>
        <w:rPr>
          <w:spacing w:val="-10"/>
          <w:w w:val="95"/>
        </w:rPr>
        <w:t>康</w:t>
      </w:r>
      <w:r>
        <w:tab/>
      </w:r>
      <w:r>
        <w:rPr>
          <w:w w:val="95"/>
        </w:rPr>
        <w:t>阳</w:t>
      </w:r>
      <w:r>
        <w:rPr>
          <w:spacing w:val="-10"/>
        </w:rPr>
        <w:t>光</w:t>
      </w:r>
      <w:r>
        <w:tab/>
      </w:r>
      <w:r>
        <w:rPr>
          <w:w w:val="95"/>
        </w:rPr>
        <w:t>勤</w:t>
      </w:r>
      <w:r>
        <w:rPr>
          <w:spacing w:val="-10"/>
        </w:rPr>
        <w:t>奋</w:t>
      </w:r>
      <w:r>
        <w:tab/>
      </w:r>
      <w:r>
        <w:rPr>
          <w:rFonts w:hint="eastAsia"/>
          <w:lang w:val="en-US" w:eastAsia="zh-CN"/>
        </w:rPr>
        <w:t>进</w:t>
      </w:r>
      <w:r>
        <w:rPr>
          <w:spacing w:val="-10"/>
        </w:rPr>
        <w:t>取</w:t>
      </w:r>
    </w:p>
    <w:p w14:paraId="1CAD19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微软雅黑" w:eastAsia="仿宋_GB2312" w:cs="微软雅黑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shd w:val="clear" w:color="auto" w:fill="FFFFFF"/>
          <w:lang w:val="en-US" w:eastAsia="zh-CN"/>
        </w:rPr>
        <w:t>办学特色</w:t>
      </w:r>
      <w:r>
        <w:rPr>
          <w:rFonts w:hint="eastAsia" w:ascii="仿宋_GB2312" w:hAnsi="微软雅黑" w:eastAsia="仿宋_GB2312" w:cs="微软雅黑"/>
          <w:color w:val="000000"/>
          <w:sz w:val="32"/>
          <w:szCs w:val="32"/>
          <w:shd w:val="clear" w:color="auto" w:fill="FFFFFF"/>
          <w:lang w:val="en-US" w:eastAsia="zh-CN"/>
        </w:rPr>
        <w:t>：经典诵读、学生合唱</w:t>
      </w:r>
    </w:p>
    <w:p w14:paraId="51D1796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黑体" w:hAnsi="微软雅黑" w:eastAsia="黑体" w:cs="微软雅黑"/>
          <w:b/>
          <w:sz w:val="32"/>
          <w:szCs w:val="32"/>
          <w:lang w:val="en-US" w:eastAsia="zh-CN"/>
        </w:rPr>
      </w:pPr>
      <w:r>
        <w:rPr>
          <w:rFonts w:hint="eastAsia" w:ascii="黑体" w:hAnsi="微软雅黑" w:eastAsia="黑体" w:cs="微软雅黑"/>
          <w:b/>
          <w:sz w:val="32"/>
          <w:szCs w:val="32"/>
          <w:lang w:val="en-US" w:eastAsia="zh-CN"/>
        </w:rPr>
        <w:t>办学优势</w:t>
      </w:r>
    </w:p>
    <w:p w14:paraId="2E0A58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微软雅黑" w:eastAsia="仿宋_GB2312" w:cs="微软雅黑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shd w:val="clear" w:color="auto" w:fill="FFFFFF"/>
          <w:lang w:val="en-US" w:eastAsia="zh-CN"/>
        </w:rPr>
        <w:t>师资力量：</w:t>
      </w:r>
      <w:r>
        <w:rPr>
          <w:rFonts w:hint="eastAsia" w:ascii="仿宋_GB2312" w:hAnsi="微软雅黑" w:eastAsia="仿宋_GB2312" w:cs="微软雅黑"/>
          <w:color w:val="000000"/>
          <w:sz w:val="32"/>
          <w:szCs w:val="32"/>
          <w:shd w:val="clear" w:color="auto" w:fill="FFFFFF"/>
          <w:lang w:val="en-US" w:eastAsia="zh-CN"/>
        </w:rPr>
        <w:t>我校共有教职工43人，专任教师32人，一级教师9人，占专任教师28%；骨干（卓越）教师7人，占比22%。拥有贵州省乡村名师1人、贵阳市骨干教师1人、花溪区骨干教师3人、贵阳市教坛新秀3人、花溪区教坛新秀4人、花溪区卓越教师3人。</w:t>
      </w:r>
    </w:p>
    <w:p w14:paraId="2A07F7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shd w:val="clear" w:color="auto" w:fill="FFFFFF"/>
          <w:lang w:val="en-US" w:eastAsia="zh-CN"/>
        </w:rPr>
        <w:t>硬件设施：有教学楼、厕所、食堂、操场，满足学校日常教学需求。</w:t>
      </w:r>
    </w:p>
    <w:p w14:paraId="37331C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shd w:val="clear" w:color="auto" w:fill="FFFFFF"/>
          <w:lang w:val="en-US" w:eastAsia="zh-CN"/>
        </w:rPr>
        <w:t>课程体系：采用情境教学、小组合作学习等创新方法，帮助学生夯实知识基础；以乡村少年宫为基础，开设特色课程艺术、体育、传统文化等多个领域，让学生在多元体验中发现兴趣、培养特长；实践课程以研学旅行、劳动教育为载体，引导学生将知识应用于实际，提升综合素养。同时，推行分层教学与个性化辅导相结合的模式，关注每位学生的成长节奏，助力学生全面发展、个性成长。</w:t>
      </w:r>
    </w:p>
    <w:p w14:paraId="5B0CB7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微软雅黑" w:eastAsia="仿宋_GB2312" w:cs="微软雅黑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微软雅黑" w:eastAsia="黑体" w:cs="微软雅黑"/>
          <w:b/>
          <w:sz w:val="32"/>
          <w:szCs w:val="32"/>
          <w:lang w:val="en-US" w:eastAsia="zh-CN"/>
        </w:rPr>
        <w:t xml:space="preserve">    四、办学成果</w:t>
      </w:r>
    </w:p>
    <w:p w14:paraId="6EE7DF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shd w:val="clear" w:color="auto" w:fill="FFFFFF"/>
          <w:lang w:val="en-US" w:eastAsia="zh-CN"/>
        </w:rPr>
        <w:t>荣誉资质：2024年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“花漾杯”劳动技能大赛二等奖；2024年获第二届“花漾杯”体育、艺术活动之第八届“班班有歌声”合唱比赛小学组优秀组织奖；</w:t>
      </w:r>
      <w:r>
        <w:rPr>
          <w:rFonts w:hint="eastAsia" w:ascii="楷体_GB2312" w:hAnsi="楷体_GB2312" w:eastAsia="楷体_GB2312" w:cs="楷体_GB2312"/>
          <w:color w:val="000000"/>
          <w:sz w:val="32"/>
          <w:szCs w:val="32"/>
          <w:shd w:val="clear" w:color="auto" w:fill="FFFFFF"/>
          <w:lang w:val="en-US" w:eastAsia="zh-CN"/>
        </w:rPr>
        <w:t>2025年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“花漾杯”劳动技能大赛二等奖；</w:t>
      </w:r>
    </w:p>
    <w:p w14:paraId="3A1CC1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微软雅黑" w:eastAsia="仿宋_GB2312" w:cs="微软雅黑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shd w:val="clear" w:color="auto" w:fill="FFFFFF"/>
          <w:lang w:val="en-US" w:eastAsia="zh-CN"/>
        </w:rPr>
        <w:t>师生风采：</w:t>
      </w:r>
      <w:r>
        <w:rPr>
          <w:rFonts w:hint="eastAsia" w:ascii="仿宋_GB2312" w:hAnsi="微软雅黑" w:eastAsia="仿宋_GB2312" w:cs="微软雅黑"/>
          <w:color w:val="000000"/>
          <w:sz w:val="32"/>
          <w:szCs w:val="32"/>
          <w:shd w:val="clear" w:color="auto" w:fill="FFFFFF"/>
          <w:lang w:val="en-US" w:eastAsia="zh-CN"/>
        </w:rPr>
        <w:t>教师乐教、学生自信、健康、快乐的学习和成长、教育教学质量稳步上升，在各类比赛中取得较好成绩，张红香优质课、教学设计、优质课件在2023年区级廉洁教育系列竞赛活动中获二、三等奖；周生琼、付明欢教学设计在2024年贵阳市中小学教师学科评选中获三等奖；周生琼论文在2024年花溪区优秀教育教学论文评比活动中荣获一等奖；张红香、翟敏论文在2024年花溪区优秀教育教学论文评比活动中荣获三等奖；付明欢论文在2024年花溪区优秀教育教学论文评比活动三等奖；张红香在2024年区级廉洁教育微视频创作竞赛活动中获二等奖；吕方柳援同学征文获2023年贵阳市毒品预防教育系列竞赛活动三等奖；宋佳怡同学在2023年市级廉洁文化征文竞赛中获三等奖；曹夏菡同学在2024年区级禁毒书法竞赛中获优秀奖；何雨竺同学在2024年区级禁毒征文竞赛中获优秀奖；吕方柳援同学在2025年区级心理健康手抄报竞赛中获一等奖；宋佳怡同学在2025年区级心理健康手抄报竞赛中获二等奖；陆雅琪、刘璟夕两位同学在2025年区级心理健康征文中获优秀奖。</w:t>
      </w:r>
    </w:p>
    <w:p w14:paraId="3457C8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eastAsia="黑体"/>
          <w:color w:val="auto"/>
          <w:sz w:val="32"/>
          <w:szCs w:val="32"/>
        </w:rPr>
      </w:pPr>
    </w:p>
    <w:p w14:paraId="04D09D23">
      <w:pPr>
        <w:rPr>
          <w:rFonts w:hint="eastAsia" w:ascii="黑体" w:hAnsi="宋体" w:eastAsia="黑体"/>
          <w:color w:val="FF0000"/>
          <w:sz w:val="28"/>
          <w:szCs w:val="28"/>
          <w:lang w:eastAsia="zh-CN"/>
        </w:rPr>
      </w:pPr>
      <w:r>
        <w:rPr>
          <w:rFonts w:hint="eastAsia" w:ascii="黑体" w:hAnsi="宋体" w:eastAsia="黑体"/>
          <w:color w:val="FF0000"/>
          <w:sz w:val="28"/>
          <w:szCs w:val="28"/>
          <w:lang w:eastAsia="zh-CN"/>
        </w:rPr>
        <w:drawing>
          <wp:inline distT="0" distB="0" distL="114300" distR="114300">
            <wp:extent cx="5638800" cy="3230880"/>
            <wp:effectExtent l="0" t="0" r="1905" b="9525"/>
            <wp:docPr id="1" name="图片 1" descr="527fe6f2fdc9fbf5e8b88810543b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27fe6f2fdc9fbf5e8b88810543b9f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EA40">
      <w:pPr>
        <w:rPr>
          <w:rFonts w:hint="eastAsia" w:ascii="黑体" w:hAnsi="宋体" w:eastAsia="黑体"/>
          <w:color w:val="FF0000"/>
          <w:sz w:val="28"/>
          <w:szCs w:val="28"/>
          <w:lang w:eastAsia="zh-CN"/>
        </w:rPr>
      </w:pPr>
      <w:r>
        <w:rPr>
          <w:rFonts w:hint="eastAsia" w:ascii="黑体" w:hAnsi="宋体" w:eastAsia="黑体"/>
          <w:color w:val="FF0000"/>
          <w:sz w:val="28"/>
          <w:szCs w:val="28"/>
          <w:lang w:eastAsia="zh-CN"/>
        </w:rPr>
        <w:drawing>
          <wp:inline distT="0" distB="0" distL="114300" distR="114300">
            <wp:extent cx="5611495" cy="3720465"/>
            <wp:effectExtent l="0" t="0" r="12065" b="0"/>
            <wp:docPr id="2" name="图片 2" descr="18270ece6dde052f762495f84c71c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270ece6dde052f762495f84c71c2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32FE3">
      <w:bookmarkStart w:id="1" w:name="_GoBack"/>
      <w:bookmarkEnd w:id="1"/>
    </w:p>
    <w:sectPr>
      <w:footerReference r:id="rId3" w:type="default"/>
      <w:footerReference r:id="rId4" w:type="even"/>
      <w:pgSz w:w="11906" w:h="16838"/>
      <w:pgMar w:top="2098" w:right="1474" w:bottom="1984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12DF8">
    <w:pPr>
      <w:pStyle w:val="3"/>
      <w:framePr w:wrap="around" w:vAnchor="text" w:hAnchor="margin" w:xAlign="center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separate"/>
    </w:r>
    <w:r>
      <w:rPr>
        <w:rStyle w:val="6"/>
      </w:rPr>
      <w:t>2</w:t>
    </w:r>
    <w:r>
      <w:fldChar w:fldCharType="end"/>
    </w:r>
  </w:p>
  <w:p w14:paraId="63BDB046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2A5402">
    <w:pPr>
      <w:pStyle w:val="3"/>
      <w:framePr w:wrap="around" w:vAnchor="text" w:hAnchor="margin" w:xAlign="center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end"/>
    </w:r>
  </w:p>
  <w:p w14:paraId="04357230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7EEAFD"/>
    <w:multiLevelType w:val="singleLevel"/>
    <w:tmpl w:val="C17EEAF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A2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" w:hAnsi="仿宋" w:eastAsia="仿宋" w:cs="仿宋"/>
      <w:sz w:val="32"/>
      <w:szCs w:val="32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2025-07-08T08:27:50Z</dcterms:created>
  <dc:creator>hx</dc:creator>
  <cp:lastModifiedBy>微</cp:lastModifiedBy>
  <dcterms:modified xsi:type="dcterms:W3CDTF">2025-07-08T08:28:05Z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eyJoZGlkIjoiMGQ3NGQyYzAxYmMzYWYwMDcxYTY4OWRlZmMzMzc0ZjciLCJ1c2VySWQiOiIxMjAwOTUzNDYxIn0=</vt:lpwstr>
  </property>
  <property fmtid="{D5CDD505-2E9C-101B-9397-08002B2CF9AE}" pid="4" name="ICV">
    <vt:lpwstr>032FC62DC9804D478F688C0916F2E06E_12</vt:lpwstr>
  </property>
</Properties>
</file>